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E7" w:rsidRPr="00D9190B" w:rsidRDefault="00D9190B" w:rsidP="00335C0D">
      <w:pPr>
        <w:pStyle w:val="Heading1"/>
        <w:rPr>
          <w:rFonts w:ascii="Chiller" w:hAnsi="Chiller"/>
          <w:color w:val="E11303"/>
          <w:sz w:val="36"/>
          <w:szCs w:val="36"/>
          <w:lang w:val="en-AU"/>
        </w:rPr>
      </w:pPr>
      <w:r>
        <w:rPr>
          <w:rFonts w:ascii="Chiller" w:hAnsi="Chiller"/>
          <w:color w:val="E11303"/>
          <w:sz w:val="36"/>
          <w:szCs w:val="36"/>
          <w:lang w:val="en-AU"/>
        </w:rPr>
        <w:t>2030: ZOMBIE ROAD APOCALYPSE</w:t>
      </w:r>
      <w:r w:rsidR="00335C0D" w:rsidRPr="00D9190B">
        <w:rPr>
          <w:rFonts w:ascii="Chiller" w:hAnsi="Chiller"/>
          <w:color w:val="E11303"/>
          <w:sz w:val="36"/>
          <w:szCs w:val="36"/>
          <w:lang w:val="en-AU"/>
        </w:rPr>
        <w:t>!!!</w:t>
      </w:r>
    </w:p>
    <w:p w:rsidR="00335C0D" w:rsidRPr="00D9190B" w:rsidRDefault="008A6FC2" w:rsidP="00952AB0">
      <w:pPr>
        <w:ind w:left="567"/>
        <w:rPr>
          <w:rFonts w:cs="Helvetica"/>
          <w:color w:val="333333"/>
          <w:sz w:val="20"/>
          <w:szCs w:val="20"/>
          <w:shd w:val="clear" w:color="auto" w:fill="FFFFFF"/>
        </w:rPr>
      </w:pPr>
      <w:r w:rsidRPr="00D9190B">
        <w:rPr>
          <w:rFonts w:cs="Helvetica"/>
          <w:b/>
          <w:i/>
          <w:color w:val="333333"/>
          <w:sz w:val="20"/>
          <w:szCs w:val="20"/>
          <w:shd w:val="clear" w:color="auto" w:fill="FFFFFF"/>
        </w:rPr>
        <w:t>‘</w:t>
      </w:r>
      <w:r w:rsidR="00335C0D" w:rsidRPr="00D9190B">
        <w:rPr>
          <w:rFonts w:cs="Helvetica"/>
          <w:b/>
          <w:i/>
          <w:color w:val="333333"/>
          <w:sz w:val="20"/>
          <w:szCs w:val="20"/>
          <w:shd w:val="clear" w:color="auto" w:fill="FFFFFF"/>
        </w:rPr>
        <w:t xml:space="preserve">Santa </w:t>
      </w:r>
      <w:r w:rsidR="00E72B9F" w:rsidRPr="00D9190B">
        <w:rPr>
          <w:rFonts w:cs="Helvetica"/>
          <w:b/>
          <w:i/>
          <w:color w:val="333333"/>
          <w:sz w:val="20"/>
          <w:szCs w:val="20"/>
          <w:shd w:val="clear" w:color="auto" w:fill="FFFFFF"/>
        </w:rPr>
        <w:t>Claus</w:t>
      </w:r>
      <w:r w:rsidR="00335C0D" w:rsidRPr="00D9190B">
        <w:rPr>
          <w:rFonts w:cs="Helvetica"/>
          <w:b/>
          <w:i/>
          <w:color w:val="333333"/>
          <w:sz w:val="20"/>
          <w:szCs w:val="20"/>
          <w:shd w:val="clear" w:color="auto" w:fill="FFFFFF"/>
        </w:rPr>
        <w:t xml:space="preserve"> is drinking beer trying not to worry</w:t>
      </w:r>
      <w:r w:rsidR="00563317" w:rsidRPr="00D9190B">
        <w:rPr>
          <w:rFonts w:cs="Helvetica"/>
          <w:b/>
          <w:i/>
          <w:color w:val="333333"/>
          <w:sz w:val="20"/>
          <w:szCs w:val="20"/>
          <w:shd w:val="clear" w:color="auto" w:fill="FFFFFF"/>
        </w:rPr>
        <w:t>,</w:t>
      </w:r>
      <w:r w:rsidR="00335C0D" w:rsidRPr="00D9190B">
        <w:rPr>
          <w:rFonts w:cs="Helvetica"/>
          <w:b/>
          <w:i/>
          <w:color w:val="333333"/>
          <w:sz w:val="20"/>
          <w:szCs w:val="20"/>
          <w:shd w:val="clear" w:color="auto" w:fill="FFFFFF"/>
        </w:rPr>
        <w:t xml:space="preserve"> hearing things he doesn't want to hear cause he's in a hurry …….</w:t>
      </w:r>
      <w:r w:rsidR="00563317" w:rsidRPr="00D9190B">
        <w:rPr>
          <w:rFonts w:cs="Helvetica"/>
          <w:b/>
          <w:i/>
          <w:color w:val="333333"/>
          <w:sz w:val="20"/>
          <w:szCs w:val="20"/>
          <w:shd w:val="clear" w:color="auto" w:fill="FFFFFF"/>
        </w:rPr>
        <w:t>a</w:t>
      </w:r>
      <w:r w:rsidR="00335C0D" w:rsidRPr="00D9190B">
        <w:rPr>
          <w:rFonts w:cs="Helvetica"/>
          <w:b/>
          <w:i/>
          <w:color w:val="333333"/>
          <w:sz w:val="20"/>
          <w:szCs w:val="20"/>
          <w:shd w:val="clear" w:color="auto" w:fill="FFFFFF"/>
        </w:rPr>
        <w:t xml:space="preserve">pocalypso - tell me </w:t>
      </w:r>
      <w:r w:rsidR="00B52F2C">
        <w:rPr>
          <w:rFonts w:cs="Helvetica"/>
          <w:b/>
          <w:i/>
          <w:color w:val="333333"/>
          <w:sz w:val="20"/>
          <w:szCs w:val="20"/>
          <w:shd w:val="clear" w:color="auto" w:fill="FFFFFF"/>
        </w:rPr>
        <w:t>why they're trying to wipe the s</w:t>
      </w:r>
      <w:r w:rsidR="00335C0D" w:rsidRPr="00D9190B">
        <w:rPr>
          <w:rFonts w:cs="Helvetica"/>
          <w:b/>
          <w:i/>
          <w:color w:val="333333"/>
          <w:sz w:val="20"/>
          <w:szCs w:val="20"/>
          <w:shd w:val="clear" w:color="auto" w:fill="FFFFFF"/>
        </w:rPr>
        <w:t xml:space="preserve">mile off </w:t>
      </w:r>
      <w:r w:rsidR="00E72B9F" w:rsidRPr="00D9190B">
        <w:rPr>
          <w:rFonts w:cs="Helvetica"/>
          <w:b/>
          <w:i/>
          <w:color w:val="333333"/>
          <w:sz w:val="20"/>
          <w:szCs w:val="20"/>
          <w:shd w:val="clear" w:color="auto" w:fill="FFFFFF"/>
        </w:rPr>
        <w:t>Santa’s</w:t>
      </w:r>
      <w:r w:rsidR="00335C0D" w:rsidRPr="00D9190B">
        <w:rPr>
          <w:rFonts w:cs="Helvetica"/>
          <w:b/>
          <w:i/>
          <w:color w:val="333333"/>
          <w:sz w:val="20"/>
          <w:szCs w:val="20"/>
          <w:shd w:val="clear" w:color="auto" w:fill="FFFFFF"/>
        </w:rPr>
        <w:t xml:space="preserve"> face</w:t>
      </w:r>
      <w:r w:rsidRPr="00D9190B">
        <w:rPr>
          <w:rFonts w:cs="Helvetica"/>
          <w:b/>
          <w:color w:val="333333"/>
          <w:sz w:val="20"/>
          <w:szCs w:val="20"/>
          <w:shd w:val="clear" w:color="auto" w:fill="FFFFFF"/>
        </w:rPr>
        <w:t>‘.</w:t>
      </w:r>
      <w:r w:rsidR="003D47E4">
        <w:rPr>
          <w:rStyle w:val="EndnoteReference"/>
          <w:rFonts w:cs="Helvetica"/>
          <w:b/>
          <w:color w:val="333333"/>
          <w:sz w:val="20"/>
          <w:szCs w:val="20"/>
          <w:shd w:val="clear" w:color="auto" w:fill="FFFFFF"/>
        </w:rPr>
        <w:endnoteReference w:id="1"/>
      </w:r>
    </w:p>
    <w:p w:rsidR="006C78C0" w:rsidRPr="00F43E3D" w:rsidRDefault="006C78C0" w:rsidP="006C78C0">
      <w:pPr>
        <w:pStyle w:val="Heading2"/>
        <w:rPr>
          <w:sz w:val="24"/>
          <w:szCs w:val="24"/>
          <w:shd w:val="clear" w:color="auto" w:fill="FFFFFF"/>
        </w:rPr>
      </w:pPr>
      <w:r w:rsidRPr="00F43E3D">
        <w:rPr>
          <w:sz w:val="24"/>
          <w:szCs w:val="24"/>
          <w:shd w:val="clear" w:color="auto" w:fill="FFFFFF"/>
        </w:rPr>
        <w:t>Merry Christmas</w:t>
      </w:r>
    </w:p>
    <w:p w:rsidR="006F1436" w:rsidRPr="00F776CE" w:rsidRDefault="00BF6F52" w:rsidP="00F776CE">
      <w:pPr>
        <w:tabs>
          <w:tab w:val="left" w:pos="6237"/>
        </w:tabs>
        <w:spacing w:after="0"/>
        <w:rPr>
          <w:lang w:val="en-AU"/>
        </w:rPr>
      </w:pPr>
      <w:r w:rsidRPr="00F776CE">
        <w:rPr>
          <w:lang w:val="en-AU"/>
        </w:rPr>
        <w:t xml:space="preserve">Friends, merry Christmas and </w:t>
      </w:r>
      <w:r w:rsidR="008A6FC2" w:rsidRPr="00F776CE">
        <w:rPr>
          <w:lang w:val="en-AU"/>
        </w:rPr>
        <w:t xml:space="preserve">may </w:t>
      </w:r>
      <w:r w:rsidR="00DF3A6A" w:rsidRPr="00F776CE">
        <w:rPr>
          <w:lang w:val="en-AU"/>
        </w:rPr>
        <w:t>many</w:t>
      </w:r>
      <w:r w:rsidR="008A6FC2" w:rsidRPr="00F776CE">
        <w:rPr>
          <w:lang w:val="en-AU"/>
        </w:rPr>
        <w:t xml:space="preserve"> gain the </w:t>
      </w:r>
      <w:r w:rsidRPr="00F776CE">
        <w:rPr>
          <w:lang w:val="en-AU"/>
        </w:rPr>
        <w:t xml:space="preserve">gift of prophecy </w:t>
      </w:r>
      <w:r w:rsidR="00DF3A6A" w:rsidRPr="00F776CE">
        <w:rPr>
          <w:lang w:val="en-AU"/>
        </w:rPr>
        <w:t>for</w:t>
      </w:r>
      <w:r w:rsidRPr="00F776CE">
        <w:rPr>
          <w:lang w:val="en-AU"/>
        </w:rPr>
        <w:t xml:space="preserve"> the new year.</w:t>
      </w:r>
      <w:r w:rsidR="008A6FC2" w:rsidRPr="00F776CE">
        <w:rPr>
          <w:lang w:val="en-AU"/>
        </w:rPr>
        <w:t xml:space="preserve">  </w:t>
      </w:r>
      <w:r w:rsidR="000A20D0" w:rsidRPr="00F776CE">
        <w:rPr>
          <w:lang w:val="en-AU"/>
        </w:rPr>
        <w:t>Before start</w:t>
      </w:r>
      <w:r w:rsidR="00DF3A6A" w:rsidRPr="00F776CE">
        <w:rPr>
          <w:lang w:val="en-AU"/>
        </w:rPr>
        <w:t>ing</w:t>
      </w:r>
      <w:r w:rsidR="000A20D0" w:rsidRPr="00F776CE">
        <w:rPr>
          <w:lang w:val="en-AU"/>
        </w:rPr>
        <w:t xml:space="preserve"> read: </w:t>
      </w:r>
      <w:hyperlink r:id="rId8" w:history="1">
        <w:r w:rsidR="000A20D0" w:rsidRPr="00F776CE">
          <w:rPr>
            <w:rStyle w:val="Hyperlink"/>
            <w:lang w:val="en-AU"/>
          </w:rPr>
          <w:t>http://www.cnet.com/au/news/joy-apocalypse-delayed-until-2030/</w:t>
        </w:r>
      </w:hyperlink>
      <w:r w:rsidR="00D9190B" w:rsidRPr="00F776CE">
        <w:rPr>
          <w:rStyle w:val="Hyperlink"/>
          <w:lang w:val="en-AU"/>
        </w:rPr>
        <w:t xml:space="preserve">.  </w:t>
      </w:r>
      <w:r w:rsidR="006F1436" w:rsidRPr="00F776CE">
        <w:rPr>
          <w:lang w:val="en-AU"/>
        </w:rPr>
        <w:t>Apparently th</w:t>
      </w:r>
      <w:r w:rsidR="00862DCB" w:rsidRPr="00F776CE">
        <w:rPr>
          <w:lang w:val="en-AU"/>
        </w:rPr>
        <w:t>e</w:t>
      </w:r>
      <w:r w:rsidR="006F1436" w:rsidRPr="00F776CE">
        <w:rPr>
          <w:lang w:val="en-AU"/>
        </w:rPr>
        <w:t xml:space="preserve"> Mayan thing </w:t>
      </w:r>
      <w:r w:rsidR="00862DCB" w:rsidRPr="00F776CE">
        <w:rPr>
          <w:lang w:val="en-AU"/>
        </w:rPr>
        <w:t>miscalculated</w:t>
      </w:r>
      <w:r w:rsidR="006F1436" w:rsidRPr="00F776CE">
        <w:rPr>
          <w:lang w:val="en-AU"/>
        </w:rPr>
        <w:t xml:space="preserve">; it should have said </w:t>
      </w:r>
      <w:r w:rsidR="00862DCB" w:rsidRPr="00F776CE">
        <w:rPr>
          <w:lang w:val="en-AU"/>
        </w:rPr>
        <w:t>‘betwe</w:t>
      </w:r>
      <w:r w:rsidR="006F1436" w:rsidRPr="00F776CE">
        <w:rPr>
          <w:lang w:val="en-AU"/>
        </w:rPr>
        <w:t>en 201</w:t>
      </w:r>
      <w:r w:rsidR="00952AB0" w:rsidRPr="00F776CE">
        <w:rPr>
          <w:lang w:val="en-AU"/>
        </w:rPr>
        <w:t>2</w:t>
      </w:r>
      <w:r w:rsidR="006F1436" w:rsidRPr="00F776CE">
        <w:rPr>
          <w:lang w:val="en-AU"/>
        </w:rPr>
        <w:t xml:space="preserve"> and 20</w:t>
      </w:r>
      <w:r w:rsidR="00952AB0" w:rsidRPr="00F776CE">
        <w:rPr>
          <w:lang w:val="en-AU"/>
        </w:rPr>
        <w:t>47</w:t>
      </w:r>
      <w:r w:rsidR="00862DCB" w:rsidRPr="00F776CE">
        <w:rPr>
          <w:lang w:val="en-AU"/>
        </w:rPr>
        <w:t>’</w:t>
      </w:r>
      <w:r w:rsidR="003D47E4" w:rsidRPr="00F776CE">
        <w:rPr>
          <w:lang w:val="en-AU"/>
        </w:rPr>
        <w:t>.</w:t>
      </w:r>
      <w:r w:rsidR="006F1436" w:rsidRPr="00F776CE">
        <w:rPr>
          <w:lang w:val="en-AU"/>
        </w:rPr>
        <w:t xml:space="preserve">  </w:t>
      </w:r>
      <w:r w:rsidR="006C78C0" w:rsidRPr="00F776CE">
        <w:rPr>
          <w:lang w:val="en-AU"/>
        </w:rPr>
        <w:t>How about midpoint: 2030?</w:t>
      </w:r>
      <w:r w:rsidR="00DF55DD" w:rsidRPr="00F776CE">
        <w:rPr>
          <w:rStyle w:val="EndnoteReference"/>
          <w:lang w:val="en-AU"/>
        </w:rPr>
        <w:t xml:space="preserve"> </w:t>
      </w:r>
      <w:r w:rsidR="00DF55DD" w:rsidRPr="00F776CE">
        <w:rPr>
          <w:rStyle w:val="EndnoteReference"/>
          <w:lang w:val="en-AU"/>
        </w:rPr>
        <w:endnoteReference w:id="2"/>
      </w:r>
    </w:p>
    <w:p w:rsidR="000A20D0" w:rsidRDefault="002122F0" w:rsidP="00F776CE">
      <w:pPr>
        <w:spacing w:after="0"/>
        <w:rPr>
          <w:lang w:val="en-AU"/>
        </w:rPr>
      </w:pPr>
      <w:r w:rsidRPr="00F776CE">
        <w:rPr>
          <w:lang w:val="en-AU"/>
        </w:rPr>
        <w:t>Australia’s</w:t>
      </w:r>
      <w:r w:rsidR="000A20D0" w:rsidRPr="00F776CE">
        <w:rPr>
          <w:lang w:val="en-AU"/>
        </w:rPr>
        <w:t xml:space="preserve"> road</w:t>
      </w:r>
      <w:r w:rsidRPr="00F776CE">
        <w:rPr>
          <w:lang w:val="en-AU"/>
        </w:rPr>
        <w:t>s</w:t>
      </w:r>
      <w:r w:rsidR="00BC30A2" w:rsidRPr="00F776CE">
        <w:rPr>
          <w:lang w:val="en-AU"/>
        </w:rPr>
        <w:t xml:space="preserve"> </w:t>
      </w:r>
      <w:r w:rsidR="000A20D0" w:rsidRPr="00F776CE">
        <w:rPr>
          <w:lang w:val="en-AU"/>
        </w:rPr>
        <w:t>Armageddon</w:t>
      </w:r>
      <w:r w:rsidR="00BC30A2" w:rsidRPr="00F776CE">
        <w:rPr>
          <w:lang w:val="en-AU"/>
        </w:rPr>
        <w:t>,</w:t>
      </w:r>
      <w:r w:rsidR="000A20D0" w:rsidRPr="00F776CE">
        <w:rPr>
          <w:lang w:val="en-AU"/>
        </w:rPr>
        <w:t xml:space="preserve"> originally due in 2020, </w:t>
      </w:r>
      <w:r w:rsidR="00DF3A6A" w:rsidRPr="00F776CE">
        <w:rPr>
          <w:lang w:val="en-AU"/>
        </w:rPr>
        <w:t xml:space="preserve">also </w:t>
      </w:r>
      <w:r w:rsidR="000A20D0" w:rsidRPr="00F776CE">
        <w:rPr>
          <w:lang w:val="en-AU"/>
        </w:rPr>
        <w:t>has been pushed back to 2030.</w:t>
      </w:r>
    </w:p>
    <w:p w:rsidR="00F776CE" w:rsidRPr="00F776CE" w:rsidRDefault="00F776CE" w:rsidP="00F776CE">
      <w:pPr>
        <w:spacing w:after="0"/>
        <w:rPr>
          <w:lang w:val="en-AU"/>
        </w:rPr>
      </w:pPr>
    </w:p>
    <w:p w:rsidR="00BF6F52" w:rsidRDefault="00BF6F52" w:rsidP="00F776CE">
      <w:pPr>
        <w:spacing w:after="0"/>
        <w:rPr>
          <w:lang w:val="en-AU"/>
        </w:rPr>
      </w:pPr>
      <w:r w:rsidRPr="00F776CE">
        <w:rPr>
          <w:lang w:val="en-AU"/>
        </w:rPr>
        <w:t xml:space="preserve">You might recall </w:t>
      </w:r>
      <w:r w:rsidR="00563317" w:rsidRPr="00F776CE">
        <w:rPr>
          <w:lang w:val="en-AU"/>
        </w:rPr>
        <w:t xml:space="preserve">Infrastructure Australia’s </w:t>
      </w:r>
      <w:r w:rsidR="00CF4048" w:rsidRPr="00F776CE">
        <w:rPr>
          <w:lang w:val="en-AU"/>
        </w:rPr>
        <w:t xml:space="preserve">May </w:t>
      </w:r>
      <w:r w:rsidRPr="00F776CE">
        <w:rPr>
          <w:lang w:val="en-AU"/>
        </w:rPr>
        <w:t xml:space="preserve">national infrastructure audit </w:t>
      </w:r>
      <w:r w:rsidR="00862DCB" w:rsidRPr="00F776CE">
        <w:rPr>
          <w:lang w:val="en-AU"/>
        </w:rPr>
        <w:t>warning</w:t>
      </w:r>
      <w:r w:rsidRPr="00F776CE">
        <w:rPr>
          <w:lang w:val="en-AU"/>
        </w:rPr>
        <w:t xml:space="preserve"> </w:t>
      </w:r>
      <w:r w:rsidR="004B5957" w:rsidRPr="00F776CE">
        <w:rPr>
          <w:lang w:val="en-AU"/>
        </w:rPr>
        <w:t xml:space="preserve">of </w:t>
      </w:r>
      <w:r w:rsidR="00C30C57" w:rsidRPr="00F776CE">
        <w:rPr>
          <w:lang w:val="en-AU"/>
        </w:rPr>
        <w:t xml:space="preserve">metropolitan </w:t>
      </w:r>
      <w:r w:rsidRPr="00F776CE">
        <w:rPr>
          <w:lang w:val="en-AU"/>
        </w:rPr>
        <w:t xml:space="preserve">road congestion </w:t>
      </w:r>
      <w:r w:rsidR="004B5957" w:rsidRPr="00F776CE">
        <w:rPr>
          <w:lang w:val="en-AU"/>
        </w:rPr>
        <w:t>c</w:t>
      </w:r>
      <w:r w:rsidR="00563317" w:rsidRPr="00F776CE">
        <w:rPr>
          <w:lang w:val="en-AU"/>
        </w:rPr>
        <w:t>ost</w:t>
      </w:r>
      <w:r w:rsidR="004B5957" w:rsidRPr="00F776CE">
        <w:rPr>
          <w:lang w:val="en-AU"/>
        </w:rPr>
        <w:t>s;</w:t>
      </w:r>
      <w:r w:rsidRPr="00F776CE">
        <w:rPr>
          <w:lang w:val="en-AU"/>
        </w:rPr>
        <w:t xml:space="preserve"> $53bn</w:t>
      </w:r>
      <w:r w:rsidR="00563317" w:rsidRPr="00F776CE">
        <w:rPr>
          <w:lang w:val="en-AU"/>
        </w:rPr>
        <w:t xml:space="preserve"> by 2031</w:t>
      </w:r>
      <w:r w:rsidRPr="00F776CE">
        <w:rPr>
          <w:lang w:val="en-AU"/>
        </w:rPr>
        <w:t xml:space="preserve">.  </w:t>
      </w:r>
      <w:r w:rsidR="00862DCB" w:rsidRPr="00F776CE">
        <w:rPr>
          <w:lang w:val="en-AU"/>
        </w:rPr>
        <w:t>I</w:t>
      </w:r>
      <w:r w:rsidRPr="00F776CE">
        <w:rPr>
          <w:lang w:val="en-AU"/>
        </w:rPr>
        <w:t xml:space="preserve">n November you might have heard </w:t>
      </w:r>
      <w:r w:rsidR="00D17DB0" w:rsidRPr="00F776CE">
        <w:rPr>
          <w:lang w:val="en-AU"/>
        </w:rPr>
        <w:t xml:space="preserve">some say </w:t>
      </w:r>
      <w:r w:rsidR="00563317" w:rsidRPr="00F776CE">
        <w:rPr>
          <w:lang w:val="en-AU"/>
        </w:rPr>
        <w:t>the Bureau of Infrastructure Transport and Regional Economics pro</w:t>
      </w:r>
      <w:r w:rsidR="00862DCB" w:rsidRPr="00F776CE">
        <w:rPr>
          <w:lang w:val="en-AU"/>
        </w:rPr>
        <w:t>ject</w:t>
      </w:r>
      <w:r w:rsidR="00B52F2C" w:rsidRPr="00F776CE">
        <w:rPr>
          <w:lang w:val="en-AU"/>
        </w:rPr>
        <w:t>ed</w:t>
      </w:r>
      <w:r w:rsidR="00563317" w:rsidRPr="00F776CE">
        <w:rPr>
          <w:lang w:val="en-AU"/>
        </w:rPr>
        <w:t xml:space="preserve"> </w:t>
      </w:r>
      <w:r w:rsidRPr="00F776CE">
        <w:rPr>
          <w:lang w:val="en-AU"/>
        </w:rPr>
        <w:t>congestion cost</w:t>
      </w:r>
      <w:r w:rsidR="00DF55DD" w:rsidRPr="00F776CE">
        <w:rPr>
          <w:lang w:val="en-AU"/>
        </w:rPr>
        <w:t>s</w:t>
      </w:r>
      <w:r w:rsidRPr="00F776CE">
        <w:rPr>
          <w:lang w:val="en-AU"/>
        </w:rPr>
        <w:t xml:space="preserve"> </w:t>
      </w:r>
      <w:r w:rsidR="004B5957" w:rsidRPr="00F776CE">
        <w:rPr>
          <w:lang w:val="en-AU"/>
        </w:rPr>
        <w:t>to be $37bn in</w:t>
      </w:r>
      <w:r w:rsidRPr="00F776CE">
        <w:rPr>
          <w:lang w:val="en-AU"/>
        </w:rPr>
        <w:t xml:space="preserve"> 2030</w:t>
      </w:r>
      <w:r w:rsidR="008A6FC2" w:rsidRPr="00F776CE">
        <w:rPr>
          <w:lang w:val="en-AU"/>
        </w:rPr>
        <w:t>.</w:t>
      </w:r>
      <w:r w:rsidR="00862DCB" w:rsidRPr="00F776CE">
        <w:rPr>
          <w:lang w:val="en-AU"/>
        </w:rPr>
        <w:t xml:space="preserve">  </w:t>
      </w:r>
      <w:r w:rsidR="00D9190B" w:rsidRPr="00F776CE">
        <w:rPr>
          <w:lang w:val="en-AU"/>
        </w:rPr>
        <w:t>H</w:t>
      </w:r>
      <w:r w:rsidR="00563317" w:rsidRPr="00F776CE">
        <w:rPr>
          <w:lang w:val="en-AU"/>
        </w:rPr>
        <w:t>ave</w:t>
      </w:r>
      <w:r w:rsidRPr="00F776CE">
        <w:rPr>
          <w:lang w:val="en-AU"/>
        </w:rPr>
        <w:t xml:space="preserve"> </w:t>
      </w:r>
      <w:r w:rsidR="00DF3A6A" w:rsidRPr="00F776CE">
        <w:rPr>
          <w:lang w:val="en-AU"/>
        </w:rPr>
        <w:t xml:space="preserve">you </w:t>
      </w:r>
      <w:r w:rsidR="00563317" w:rsidRPr="00F776CE">
        <w:rPr>
          <w:lang w:val="en-AU"/>
        </w:rPr>
        <w:t>seen</w:t>
      </w:r>
      <w:r w:rsidRPr="00F776CE">
        <w:rPr>
          <w:lang w:val="en-AU"/>
        </w:rPr>
        <w:t xml:space="preserve"> </w:t>
      </w:r>
      <w:r w:rsidR="00DF3A6A" w:rsidRPr="00F776CE">
        <w:rPr>
          <w:lang w:val="en-AU"/>
        </w:rPr>
        <w:t>a comparison</w:t>
      </w:r>
      <w:r w:rsidR="00CF4048" w:rsidRPr="00F776CE">
        <w:rPr>
          <w:lang w:val="en-AU"/>
        </w:rPr>
        <w:t>;</w:t>
      </w:r>
      <w:r w:rsidRPr="00F776CE">
        <w:rPr>
          <w:lang w:val="en-AU"/>
        </w:rPr>
        <w:t xml:space="preserve"> </w:t>
      </w:r>
      <w:r w:rsidR="00CF4048" w:rsidRPr="00F776CE">
        <w:rPr>
          <w:lang w:val="en-AU"/>
        </w:rPr>
        <w:t>m</w:t>
      </w:r>
      <w:r w:rsidRPr="00F776CE">
        <w:rPr>
          <w:lang w:val="en-AU"/>
        </w:rPr>
        <w:t xml:space="preserve">aybe </w:t>
      </w:r>
      <w:r w:rsidR="00DF3A6A" w:rsidRPr="00F776CE">
        <w:rPr>
          <w:lang w:val="en-AU"/>
        </w:rPr>
        <w:t xml:space="preserve">both </w:t>
      </w:r>
      <w:r w:rsidRPr="00F776CE">
        <w:rPr>
          <w:lang w:val="en-AU"/>
        </w:rPr>
        <w:t>are right</w:t>
      </w:r>
      <w:r w:rsidR="00563317" w:rsidRPr="00F776CE">
        <w:rPr>
          <w:lang w:val="en-AU"/>
        </w:rPr>
        <w:t>?</w:t>
      </w:r>
      <w:r w:rsidRPr="00F776CE">
        <w:rPr>
          <w:lang w:val="en-AU"/>
        </w:rPr>
        <w:t xml:space="preserve">  </w:t>
      </w:r>
      <w:r w:rsidR="00862DCB" w:rsidRPr="00F776CE">
        <w:rPr>
          <w:lang w:val="en-AU"/>
        </w:rPr>
        <w:t>Figure 1</w:t>
      </w:r>
      <w:r w:rsidRPr="00F776CE">
        <w:rPr>
          <w:lang w:val="en-AU"/>
        </w:rPr>
        <w:t xml:space="preserve"> </w:t>
      </w:r>
      <w:r w:rsidR="00E976D2" w:rsidRPr="00F776CE">
        <w:rPr>
          <w:lang w:val="en-AU"/>
        </w:rPr>
        <w:t>put</w:t>
      </w:r>
      <w:r w:rsidR="00862DCB" w:rsidRPr="00F776CE">
        <w:rPr>
          <w:lang w:val="en-AU"/>
        </w:rPr>
        <w:t>s</w:t>
      </w:r>
      <w:r w:rsidR="00E976D2" w:rsidRPr="00F776CE">
        <w:rPr>
          <w:lang w:val="en-AU"/>
        </w:rPr>
        <w:t xml:space="preserve"> them together</w:t>
      </w:r>
      <w:r w:rsidR="00862DCB" w:rsidRPr="00F776CE">
        <w:rPr>
          <w:lang w:val="en-AU"/>
        </w:rPr>
        <w:t>.</w:t>
      </w:r>
      <w:r w:rsidR="00DF55DD" w:rsidRPr="00F776CE">
        <w:rPr>
          <w:rStyle w:val="EndnoteReference"/>
          <w:lang w:val="en-AU"/>
        </w:rPr>
        <w:endnoteReference w:id="3"/>
      </w:r>
    </w:p>
    <w:p w:rsidR="00F776CE" w:rsidRPr="00F776CE" w:rsidRDefault="00F776CE" w:rsidP="00F776CE">
      <w:pPr>
        <w:spacing w:after="0"/>
        <w:rPr>
          <w:lang w:val="en-AU"/>
        </w:rPr>
      </w:pPr>
    </w:p>
    <w:p w:rsidR="00563317" w:rsidRPr="00F776CE" w:rsidRDefault="00381D2E" w:rsidP="00F776CE">
      <w:pPr>
        <w:spacing w:after="0"/>
        <w:rPr>
          <w:b/>
          <w:lang w:val="en-AU"/>
        </w:rPr>
      </w:pPr>
      <w:r w:rsidRPr="00F776CE">
        <w:rPr>
          <w:noProof/>
          <w:lang w:eastAsia="en-GB"/>
        </w:rPr>
        <w:drawing>
          <wp:anchor distT="0" distB="0" distL="114300" distR="114300" simplePos="0" relativeHeight="251658240" behindDoc="0" locked="0" layoutInCell="1" allowOverlap="1" wp14:anchorId="7535B22C" wp14:editId="28013873">
            <wp:simplePos x="0" y="0"/>
            <wp:positionH relativeFrom="margin">
              <wp:align>left</wp:align>
            </wp:positionH>
            <wp:positionV relativeFrom="paragraph">
              <wp:posOffset>285750</wp:posOffset>
            </wp:positionV>
            <wp:extent cx="5579745" cy="3305810"/>
            <wp:effectExtent l="0" t="0" r="1905" b="889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563317" w:rsidRPr="00F776CE">
        <w:rPr>
          <w:b/>
          <w:lang w:val="en-AU"/>
        </w:rPr>
        <w:t>Figure 1:</w:t>
      </w:r>
      <w:r w:rsidR="001B1440" w:rsidRPr="00F776CE">
        <w:rPr>
          <w:b/>
          <w:lang w:val="en-AU"/>
        </w:rPr>
        <w:t xml:space="preserve"> </w:t>
      </w:r>
      <w:r w:rsidR="00A21F28">
        <w:rPr>
          <w:b/>
          <w:lang w:val="en-AU"/>
        </w:rPr>
        <w:t>C</w:t>
      </w:r>
      <w:r w:rsidR="001B1440" w:rsidRPr="00F776CE">
        <w:rPr>
          <w:b/>
          <w:lang w:val="en-AU"/>
        </w:rPr>
        <w:t>ombining Bureau and Infrastructure Australia projections</w:t>
      </w:r>
      <w:r w:rsidR="00A21F28">
        <w:rPr>
          <w:b/>
          <w:lang w:val="en-AU"/>
        </w:rPr>
        <w:t>???(a)</w:t>
      </w:r>
    </w:p>
    <w:p w:rsidR="004B7D68" w:rsidRDefault="00A21F28" w:rsidP="00A21F28">
      <w:pPr>
        <w:pStyle w:val="ListParagraph"/>
        <w:numPr>
          <w:ilvl w:val="0"/>
          <w:numId w:val="6"/>
        </w:numPr>
        <w:spacing w:after="0"/>
        <w:rPr>
          <w:sz w:val="16"/>
          <w:szCs w:val="16"/>
          <w:lang w:val="en-AU"/>
        </w:rPr>
      </w:pPr>
      <w:r w:rsidRPr="00A21F28">
        <w:rPr>
          <w:sz w:val="16"/>
          <w:szCs w:val="16"/>
          <w:lang w:val="en-AU"/>
        </w:rPr>
        <w:t>Linear estimate of Bureau projection to 2030, then Infrastructure Australia projection in 2031.</w:t>
      </w:r>
    </w:p>
    <w:p w:rsidR="00A21F28" w:rsidRPr="00856E52" w:rsidRDefault="00A21F28" w:rsidP="00856E52">
      <w:pPr>
        <w:spacing w:after="0"/>
        <w:ind w:left="360"/>
        <w:rPr>
          <w:sz w:val="16"/>
          <w:szCs w:val="16"/>
          <w:lang w:val="en-AU"/>
        </w:rPr>
      </w:pPr>
    </w:p>
    <w:p w:rsidR="006B3382" w:rsidRDefault="003D47E4" w:rsidP="00F776CE">
      <w:pPr>
        <w:spacing w:after="0"/>
        <w:rPr>
          <w:lang w:val="en-AU"/>
        </w:rPr>
      </w:pPr>
      <w:r w:rsidRPr="00F776CE">
        <w:rPr>
          <w:lang w:val="en-AU"/>
        </w:rPr>
        <w:t>S</w:t>
      </w:r>
      <w:r w:rsidR="000A20D0" w:rsidRPr="00F776CE">
        <w:rPr>
          <w:lang w:val="en-AU"/>
        </w:rPr>
        <w:t xml:space="preserve">hows </w:t>
      </w:r>
      <w:r w:rsidR="006C78C0" w:rsidRPr="00F776CE">
        <w:rPr>
          <w:lang w:val="en-AU"/>
        </w:rPr>
        <w:t>a veritable</w:t>
      </w:r>
      <w:r w:rsidR="000A20D0" w:rsidRPr="00F776CE">
        <w:rPr>
          <w:lang w:val="en-AU"/>
        </w:rPr>
        <w:t xml:space="preserve"> apocalypse 2030; </w:t>
      </w:r>
      <w:r w:rsidR="00DF55DD" w:rsidRPr="00F776CE">
        <w:rPr>
          <w:lang w:val="en-AU"/>
        </w:rPr>
        <w:t>congesti</w:t>
      </w:r>
      <w:r w:rsidR="000A20D0" w:rsidRPr="00F776CE">
        <w:rPr>
          <w:lang w:val="en-AU"/>
        </w:rPr>
        <w:t xml:space="preserve">on </w:t>
      </w:r>
      <w:r w:rsidR="00C30C57" w:rsidRPr="00F776CE">
        <w:rPr>
          <w:lang w:val="en-AU"/>
        </w:rPr>
        <w:t xml:space="preserve">costs </w:t>
      </w:r>
      <w:r w:rsidR="000A20D0" w:rsidRPr="00F776CE">
        <w:rPr>
          <w:lang w:val="en-AU"/>
        </w:rPr>
        <w:t>nearly doubling in a year.</w:t>
      </w:r>
      <w:r w:rsidR="00DF55DD" w:rsidRPr="00F776CE">
        <w:rPr>
          <w:rStyle w:val="EndnoteReference"/>
          <w:lang w:val="en-AU"/>
        </w:rPr>
        <w:endnoteReference w:id="4"/>
      </w:r>
      <w:r w:rsidR="000A20D0" w:rsidRPr="00F776CE">
        <w:rPr>
          <w:lang w:val="en-AU"/>
        </w:rPr>
        <w:t xml:space="preserve">  </w:t>
      </w:r>
    </w:p>
    <w:p w:rsidR="00F776CE" w:rsidRPr="00F776CE" w:rsidRDefault="00F776CE" w:rsidP="00F776CE">
      <w:pPr>
        <w:spacing w:after="0"/>
        <w:rPr>
          <w:lang w:val="en-AU"/>
        </w:rPr>
      </w:pPr>
    </w:p>
    <w:p w:rsidR="00824A5A" w:rsidRDefault="000A20D0" w:rsidP="00F776CE">
      <w:pPr>
        <w:spacing w:after="0"/>
        <w:rPr>
          <w:rFonts w:cs="Arial"/>
          <w:color w:val="252525"/>
          <w:shd w:val="clear" w:color="auto" w:fill="FFFFFF"/>
        </w:rPr>
      </w:pPr>
      <w:r w:rsidRPr="00F776CE">
        <w:rPr>
          <w:lang w:val="en-AU"/>
        </w:rPr>
        <w:t>What about zombies?</w:t>
      </w:r>
      <w:r w:rsidR="008F0774" w:rsidRPr="00F776CE">
        <w:rPr>
          <w:lang w:val="en-AU"/>
        </w:rPr>
        <w:t xml:space="preserve">  Driverless cars</w:t>
      </w:r>
      <w:r w:rsidR="00C30C57" w:rsidRPr="00F776CE">
        <w:rPr>
          <w:lang w:val="en-AU"/>
        </w:rPr>
        <w:t xml:space="preserve">; a recent discussion point.  </w:t>
      </w:r>
      <w:r w:rsidR="00F43E3D" w:rsidRPr="00F776CE">
        <w:rPr>
          <w:lang w:val="en-AU"/>
        </w:rPr>
        <w:t>T</w:t>
      </w:r>
      <w:r w:rsidR="00C30C57" w:rsidRPr="00F776CE">
        <w:rPr>
          <w:lang w:val="en-AU"/>
        </w:rPr>
        <w:t xml:space="preserve">he Bureau </w:t>
      </w:r>
      <w:r w:rsidR="00F43E3D" w:rsidRPr="00F776CE">
        <w:rPr>
          <w:lang w:val="en-AU"/>
        </w:rPr>
        <w:t>and others</w:t>
      </w:r>
      <w:r w:rsidR="00DF3A6A" w:rsidRPr="00F776CE">
        <w:rPr>
          <w:lang w:val="en-AU"/>
        </w:rPr>
        <w:t xml:space="preserve"> </w:t>
      </w:r>
      <w:r w:rsidR="00C30C57" w:rsidRPr="00F776CE">
        <w:rPr>
          <w:lang w:val="en-AU"/>
        </w:rPr>
        <w:t xml:space="preserve">think </w:t>
      </w:r>
      <w:r w:rsidR="00F43E3D" w:rsidRPr="00F776CE">
        <w:rPr>
          <w:lang w:val="en-AU"/>
        </w:rPr>
        <w:t>the</w:t>
      </w:r>
      <w:r w:rsidR="00B52F2C" w:rsidRPr="00F776CE">
        <w:rPr>
          <w:lang w:val="en-AU"/>
        </w:rPr>
        <w:t>se cars</w:t>
      </w:r>
      <w:r w:rsidR="00F43E3D" w:rsidRPr="00F776CE">
        <w:rPr>
          <w:lang w:val="en-AU"/>
        </w:rPr>
        <w:t xml:space="preserve"> </w:t>
      </w:r>
      <w:r w:rsidR="00C30C57" w:rsidRPr="00F776CE">
        <w:rPr>
          <w:lang w:val="en-AU"/>
        </w:rPr>
        <w:t>may reduc</w:t>
      </w:r>
      <w:r w:rsidR="00DF3A6A" w:rsidRPr="00F776CE">
        <w:rPr>
          <w:lang w:val="en-AU"/>
        </w:rPr>
        <w:t>e</w:t>
      </w:r>
      <w:r w:rsidR="00C30C57" w:rsidRPr="00F776CE">
        <w:rPr>
          <w:lang w:val="en-AU"/>
        </w:rPr>
        <w:t xml:space="preserve"> congestion in the future</w:t>
      </w:r>
      <w:r w:rsidR="003D47E4" w:rsidRPr="00F776CE">
        <w:rPr>
          <w:lang w:val="en-AU"/>
        </w:rPr>
        <w:t>.</w:t>
      </w:r>
      <w:r w:rsidR="00DF55DD" w:rsidRPr="00F776CE">
        <w:rPr>
          <w:lang w:val="en-AU"/>
        </w:rPr>
        <w:t xml:space="preserve"> Are </w:t>
      </w:r>
      <w:r w:rsidR="00F43E3D" w:rsidRPr="00F776CE">
        <w:rPr>
          <w:lang w:val="en-AU"/>
        </w:rPr>
        <w:t>such</w:t>
      </w:r>
      <w:r w:rsidR="00DF55DD" w:rsidRPr="00F776CE">
        <w:rPr>
          <w:lang w:val="en-AU"/>
        </w:rPr>
        <w:t xml:space="preserve"> cars </w:t>
      </w:r>
      <w:r w:rsidR="00DF55DD" w:rsidRPr="00F776CE">
        <w:rPr>
          <w:rFonts w:cs="Arial"/>
          <w:color w:val="252525"/>
          <w:shd w:val="clear" w:color="auto" w:fill="FFFFFF"/>
        </w:rPr>
        <w:t xml:space="preserve">mindless, unthinking </w:t>
      </w:r>
      <w:r w:rsidR="00B52F2C" w:rsidRPr="00F776CE">
        <w:rPr>
          <w:rFonts w:cs="Arial"/>
          <w:color w:val="252525"/>
          <w:shd w:val="clear" w:color="auto" w:fill="FFFFFF"/>
        </w:rPr>
        <w:t>creatures</w:t>
      </w:r>
      <w:r w:rsidR="00DF55DD" w:rsidRPr="00F776CE">
        <w:rPr>
          <w:rFonts w:cs="Arial"/>
          <w:color w:val="252525"/>
          <w:shd w:val="clear" w:color="auto" w:fill="FFFFFF"/>
        </w:rPr>
        <w:t xml:space="preserve"> under </w:t>
      </w:r>
      <w:r w:rsidR="00F43E3D" w:rsidRPr="00F776CE">
        <w:rPr>
          <w:rFonts w:cs="Arial"/>
          <w:color w:val="252525"/>
          <w:shd w:val="clear" w:color="auto" w:fill="FFFFFF"/>
        </w:rPr>
        <w:t>a</w:t>
      </w:r>
      <w:r w:rsidR="00DF55DD" w:rsidRPr="00F776CE">
        <w:rPr>
          <w:rFonts w:cs="Arial"/>
          <w:color w:val="252525"/>
          <w:shd w:val="clear" w:color="auto" w:fill="FFFFFF"/>
        </w:rPr>
        <w:t xml:space="preserve"> spell?  Honda says they won’t be use</w:t>
      </w:r>
      <w:r w:rsidR="00F43E3D" w:rsidRPr="00F776CE">
        <w:rPr>
          <w:rFonts w:cs="Arial"/>
          <w:color w:val="252525"/>
          <w:shd w:val="clear" w:color="auto" w:fill="FFFFFF"/>
        </w:rPr>
        <w:t>d</w:t>
      </w:r>
      <w:r w:rsidR="00DF55DD" w:rsidRPr="00F776CE">
        <w:rPr>
          <w:rFonts w:cs="Arial"/>
          <w:color w:val="252525"/>
          <w:shd w:val="clear" w:color="auto" w:fill="FFFFFF"/>
        </w:rPr>
        <w:t xml:space="preserve"> until</w:t>
      </w:r>
      <w:r w:rsidR="00F43E3D" w:rsidRPr="00F776CE">
        <w:rPr>
          <w:rFonts w:cs="Arial"/>
          <w:color w:val="252525"/>
          <w:shd w:val="clear" w:color="auto" w:fill="FFFFFF"/>
        </w:rPr>
        <w:t xml:space="preserve">… </w:t>
      </w:r>
      <w:r w:rsidR="00DF55DD" w:rsidRPr="00F776CE">
        <w:rPr>
          <w:rFonts w:cs="Arial"/>
          <w:color w:val="252525"/>
          <w:shd w:val="clear" w:color="auto" w:fill="FFFFFF"/>
        </w:rPr>
        <w:t>2030.</w:t>
      </w:r>
      <w:r w:rsidR="003D47E4" w:rsidRPr="00F776CE">
        <w:rPr>
          <w:rStyle w:val="EndnoteReference"/>
          <w:lang w:val="en-AU"/>
        </w:rPr>
        <w:endnoteReference w:id="5"/>
      </w:r>
    </w:p>
    <w:p w:rsidR="00F776CE" w:rsidRPr="00F776CE" w:rsidRDefault="00F776CE" w:rsidP="00F776CE">
      <w:pPr>
        <w:spacing w:after="0"/>
        <w:rPr>
          <w:rFonts w:cs="Arial"/>
          <w:color w:val="252525"/>
          <w:shd w:val="clear" w:color="auto" w:fill="FFFFFF"/>
        </w:rPr>
      </w:pPr>
    </w:p>
    <w:p w:rsidR="00055E24" w:rsidRPr="00F776CE" w:rsidRDefault="00055E24" w:rsidP="00F776CE">
      <w:pPr>
        <w:spacing w:after="0"/>
        <w:rPr>
          <w:rFonts w:cs="Arial"/>
          <w:color w:val="252525"/>
          <w:shd w:val="clear" w:color="auto" w:fill="FFFFFF"/>
        </w:rPr>
      </w:pPr>
      <w:r w:rsidRPr="00F776CE">
        <w:rPr>
          <w:rFonts w:cs="Arial"/>
          <w:color w:val="252525"/>
          <w:shd w:val="clear" w:color="auto" w:fill="FFFFFF"/>
        </w:rPr>
        <w:t>There it</w:t>
      </w:r>
      <w:r w:rsidR="006C78C0" w:rsidRPr="00F776CE">
        <w:rPr>
          <w:rFonts w:cs="Arial"/>
          <w:color w:val="252525"/>
          <w:shd w:val="clear" w:color="auto" w:fill="FFFFFF"/>
        </w:rPr>
        <w:t xml:space="preserve"> is: </w:t>
      </w:r>
      <w:r w:rsidRPr="00F776CE">
        <w:rPr>
          <w:rFonts w:cs="Arial"/>
          <w:color w:val="252525"/>
          <w:shd w:val="clear" w:color="auto" w:fill="FFFFFF"/>
        </w:rPr>
        <w:t>Zombie cars with apocalyptic road congestion in 2030. Where is Ed Wood</w:t>
      </w:r>
      <w:r w:rsidR="00DF55DD" w:rsidRPr="00F776CE">
        <w:rPr>
          <w:rFonts w:cs="Arial"/>
          <w:color w:val="252525"/>
          <w:shd w:val="clear" w:color="auto" w:fill="FFFFFF"/>
        </w:rPr>
        <w:t>?</w:t>
      </w:r>
      <w:r w:rsidR="003D47E4" w:rsidRPr="00F776CE">
        <w:rPr>
          <w:rStyle w:val="EndnoteReference"/>
          <w:rFonts w:cs="Arial"/>
          <w:color w:val="252525"/>
          <w:shd w:val="clear" w:color="auto" w:fill="FFFFFF"/>
        </w:rPr>
        <w:endnoteReference w:id="6"/>
      </w:r>
    </w:p>
    <w:p w:rsidR="00055E24" w:rsidRDefault="006C78C0" w:rsidP="00F776CE">
      <w:pPr>
        <w:spacing w:after="0"/>
        <w:rPr>
          <w:rFonts w:cs="Arial"/>
          <w:color w:val="252525"/>
          <w:shd w:val="clear" w:color="auto" w:fill="FFFFFF"/>
        </w:rPr>
      </w:pPr>
      <w:r w:rsidRPr="00F776CE">
        <w:rPr>
          <w:rFonts w:cs="Arial"/>
          <w:color w:val="252525"/>
          <w:shd w:val="clear" w:color="auto" w:fill="FFFFFF"/>
        </w:rPr>
        <w:t>Infrastructure buffs</w:t>
      </w:r>
      <w:r w:rsidR="002122F0" w:rsidRPr="00F776CE">
        <w:rPr>
          <w:rFonts w:cs="Arial"/>
          <w:color w:val="252525"/>
          <w:shd w:val="clear" w:color="auto" w:fill="FFFFFF"/>
        </w:rPr>
        <w:t xml:space="preserve"> read no further</w:t>
      </w:r>
      <w:r w:rsidR="00824A5A" w:rsidRPr="00F776CE">
        <w:rPr>
          <w:rFonts w:cs="Arial"/>
          <w:color w:val="252525"/>
          <w:shd w:val="clear" w:color="auto" w:fill="FFFFFF"/>
        </w:rPr>
        <w:t>.</w:t>
      </w:r>
      <w:r w:rsidR="00A31D11" w:rsidRPr="00F776CE">
        <w:rPr>
          <w:rFonts w:cs="Arial"/>
          <w:color w:val="252525"/>
          <w:shd w:val="clear" w:color="auto" w:fill="FFFFFF"/>
        </w:rPr>
        <w:t xml:space="preserve"> </w:t>
      </w:r>
      <w:r w:rsidR="00AF0D20" w:rsidRPr="00F776CE">
        <w:rPr>
          <w:rFonts w:cs="Arial"/>
          <w:color w:val="252525"/>
          <w:shd w:val="clear" w:color="auto" w:fill="FFFFFF"/>
        </w:rPr>
        <w:t xml:space="preserve"> </w:t>
      </w:r>
      <w:r w:rsidR="00824A5A" w:rsidRPr="00F776CE">
        <w:rPr>
          <w:rFonts w:cs="Arial"/>
          <w:color w:val="252525"/>
          <w:shd w:val="clear" w:color="auto" w:fill="FFFFFF"/>
        </w:rPr>
        <w:t>I</w:t>
      </w:r>
      <w:r w:rsidR="00A31D11" w:rsidRPr="00F776CE">
        <w:rPr>
          <w:rFonts w:cs="Arial"/>
          <w:color w:val="252525"/>
          <w:shd w:val="clear" w:color="auto" w:fill="FFFFFF"/>
        </w:rPr>
        <w:t>t</w:t>
      </w:r>
      <w:r w:rsidR="003D47E4" w:rsidRPr="00F776CE">
        <w:rPr>
          <w:rFonts w:cs="Arial"/>
          <w:color w:val="252525"/>
          <w:shd w:val="clear" w:color="auto" w:fill="FFFFFF"/>
        </w:rPr>
        <w:t>’</w:t>
      </w:r>
      <w:r w:rsidR="00055E24" w:rsidRPr="00F776CE">
        <w:rPr>
          <w:rFonts w:cs="Arial"/>
          <w:color w:val="252525"/>
          <w:shd w:val="clear" w:color="auto" w:fill="FFFFFF"/>
        </w:rPr>
        <w:t>s about to get less entertaining</w:t>
      </w:r>
      <w:r w:rsidR="00A21F28">
        <w:rPr>
          <w:rFonts w:cs="Arial"/>
          <w:color w:val="252525"/>
          <w:shd w:val="clear" w:color="auto" w:fill="FFFFFF"/>
        </w:rPr>
        <w:t>, and silly,</w:t>
      </w:r>
      <w:r w:rsidR="00055E24" w:rsidRPr="00F776CE">
        <w:rPr>
          <w:rFonts w:cs="Arial"/>
          <w:color w:val="252525"/>
          <w:shd w:val="clear" w:color="auto" w:fill="FFFFFF"/>
        </w:rPr>
        <w:t xml:space="preserve"> as </w:t>
      </w:r>
      <w:r w:rsidR="00B52F2C" w:rsidRPr="00F776CE">
        <w:rPr>
          <w:rFonts w:cs="Arial"/>
          <w:color w:val="252525"/>
          <w:shd w:val="clear" w:color="auto" w:fill="FFFFFF"/>
        </w:rPr>
        <w:t xml:space="preserve">we look at </w:t>
      </w:r>
      <w:r w:rsidR="00E72B9F" w:rsidRPr="00F776CE">
        <w:rPr>
          <w:rFonts w:cs="Arial"/>
          <w:color w:val="252525"/>
          <w:shd w:val="clear" w:color="auto" w:fill="FFFFFF"/>
        </w:rPr>
        <w:t>Santa’s</w:t>
      </w:r>
      <w:r w:rsidR="002122F0" w:rsidRPr="00F776CE">
        <w:rPr>
          <w:rFonts w:cs="Arial"/>
          <w:color w:val="252525"/>
          <w:shd w:val="clear" w:color="auto" w:fill="FFFFFF"/>
        </w:rPr>
        <w:t xml:space="preserve"> smile</w:t>
      </w:r>
      <w:r w:rsidR="00055E24" w:rsidRPr="00F776CE">
        <w:rPr>
          <w:rFonts w:cs="Arial"/>
          <w:color w:val="252525"/>
          <w:shd w:val="clear" w:color="auto" w:fill="FFFFFF"/>
        </w:rPr>
        <w:t>.</w:t>
      </w:r>
      <w:r w:rsidR="008A6FC2"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6C78C0" w:rsidRPr="00F776CE" w:rsidRDefault="00D9190B" w:rsidP="00F776CE">
      <w:pPr>
        <w:pStyle w:val="Heading2"/>
        <w:spacing w:before="0"/>
        <w:rPr>
          <w:rFonts w:asciiTheme="minorHAnsi" w:hAnsiTheme="minorHAnsi"/>
          <w:sz w:val="24"/>
          <w:szCs w:val="24"/>
          <w:shd w:val="clear" w:color="auto" w:fill="FFFFFF"/>
        </w:rPr>
      </w:pPr>
      <w:r w:rsidRPr="00F776CE">
        <w:rPr>
          <w:rFonts w:asciiTheme="minorHAnsi" w:hAnsiTheme="minorHAnsi"/>
          <w:sz w:val="24"/>
          <w:szCs w:val="24"/>
          <w:shd w:val="clear" w:color="auto" w:fill="FFFFFF"/>
        </w:rPr>
        <w:lastRenderedPageBreak/>
        <w:t>The smile on S</w:t>
      </w:r>
      <w:r w:rsidR="006C78C0" w:rsidRPr="00F776CE">
        <w:rPr>
          <w:rFonts w:asciiTheme="minorHAnsi" w:hAnsiTheme="minorHAnsi"/>
          <w:sz w:val="24"/>
          <w:szCs w:val="24"/>
          <w:shd w:val="clear" w:color="auto" w:fill="FFFFFF"/>
        </w:rPr>
        <w:t>anta’s face</w:t>
      </w:r>
      <w:r w:rsidR="00524760" w:rsidRPr="00F776CE">
        <w:rPr>
          <w:rFonts w:asciiTheme="minorHAnsi" w:hAnsiTheme="minorHAnsi"/>
          <w:sz w:val="24"/>
          <w:szCs w:val="24"/>
          <w:shd w:val="clear" w:color="auto" w:fill="FFFFFF"/>
        </w:rPr>
        <w:t xml:space="preserve"> (1)</w:t>
      </w:r>
      <w:r w:rsidR="006C78C0" w:rsidRPr="00F776CE">
        <w:rPr>
          <w:rFonts w:asciiTheme="minorHAnsi" w:hAnsiTheme="minorHAnsi"/>
          <w:sz w:val="24"/>
          <w:szCs w:val="24"/>
          <w:shd w:val="clear" w:color="auto" w:fill="FFFFFF"/>
        </w:rPr>
        <w:t>?</w:t>
      </w:r>
    </w:p>
    <w:p w:rsidR="00524760" w:rsidRDefault="006C78C0" w:rsidP="00F776CE">
      <w:pPr>
        <w:spacing w:after="0"/>
        <w:rPr>
          <w:rFonts w:cs="Arial"/>
          <w:color w:val="252525"/>
          <w:shd w:val="clear" w:color="auto" w:fill="FFFFFF"/>
        </w:rPr>
      </w:pPr>
      <w:r w:rsidRPr="00F776CE">
        <w:rPr>
          <w:rFonts w:cs="Arial"/>
          <w:color w:val="252525"/>
          <w:shd w:val="clear" w:color="auto" w:fill="FFFFFF"/>
        </w:rPr>
        <w:t>Previous articles referred to a</w:t>
      </w:r>
      <w:r w:rsidR="00524760" w:rsidRPr="00F776CE">
        <w:rPr>
          <w:rFonts w:cs="Arial"/>
          <w:color w:val="252525"/>
          <w:shd w:val="clear" w:color="auto" w:fill="FFFFFF"/>
        </w:rPr>
        <w:t>n (invalid)</w:t>
      </w:r>
      <w:r w:rsidRPr="00F776CE">
        <w:rPr>
          <w:rFonts w:cs="Arial"/>
          <w:color w:val="252525"/>
          <w:shd w:val="clear" w:color="auto" w:fill="FFFFFF"/>
        </w:rPr>
        <w:t xml:space="preserve"> tradition of Commonwealth gift giving</w:t>
      </w:r>
      <w:r w:rsidR="008D3FE7" w:rsidRPr="00F776CE">
        <w:rPr>
          <w:rFonts w:cs="Arial"/>
          <w:color w:val="252525"/>
          <w:shd w:val="clear" w:color="auto" w:fill="FFFFFF"/>
        </w:rPr>
        <w:t xml:space="preserve"> for roads</w:t>
      </w:r>
      <w:r w:rsidRPr="00F776CE">
        <w:rPr>
          <w:rFonts w:cs="Arial"/>
          <w:color w:val="252525"/>
          <w:shd w:val="clear" w:color="auto" w:fill="FFFFFF"/>
        </w:rPr>
        <w:t xml:space="preserve">.  In less complimentary terms; </w:t>
      </w:r>
      <w:r w:rsidR="00D9190B" w:rsidRPr="00F776CE">
        <w:rPr>
          <w:rFonts w:cs="Arial"/>
          <w:color w:val="252525"/>
          <w:shd w:val="clear" w:color="auto" w:fill="FFFFFF"/>
        </w:rPr>
        <w:t>Commonwealth as piggy bank</w:t>
      </w:r>
      <w:r w:rsidRPr="00F776CE">
        <w:rPr>
          <w:rFonts w:cs="Arial"/>
          <w:color w:val="252525"/>
          <w:shd w:val="clear" w:color="auto" w:fill="FFFFFF"/>
        </w:rPr>
        <w:t>.</w:t>
      </w:r>
      <w:r w:rsidR="002122F0" w:rsidRPr="00F776CE">
        <w:rPr>
          <w:rFonts w:cs="Arial"/>
          <w:color w:val="252525"/>
          <w:shd w:val="clear" w:color="auto" w:fill="FFFFFF"/>
        </w:rPr>
        <w:t xml:space="preserve">  </w:t>
      </w:r>
      <w:r w:rsidR="00524760" w:rsidRPr="00F776CE">
        <w:rPr>
          <w:rFonts w:cs="Arial"/>
          <w:color w:val="252525"/>
          <w:shd w:val="clear" w:color="auto" w:fill="FFFFFF"/>
        </w:rPr>
        <w:t>The excuse</w:t>
      </w:r>
      <w:r w:rsidR="001B1440" w:rsidRPr="00F776CE">
        <w:rPr>
          <w:rFonts w:cs="Arial"/>
          <w:color w:val="252525"/>
          <w:shd w:val="clear" w:color="auto" w:fill="FFFFFF"/>
        </w:rPr>
        <w:t>: there is</w:t>
      </w:r>
      <w:r w:rsidR="00524760" w:rsidRPr="00F776CE">
        <w:rPr>
          <w:rFonts w:cs="Arial"/>
          <w:color w:val="252525"/>
          <w:shd w:val="clear" w:color="auto" w:fill="FFFFFF"/>
        </w:rPr>
        <w:t xml:space="preserve"> a big problem.  No</w:t>
      </w:r>
      <w:r w:rsidR="00B52F2C" w:rsidRPr="00F776CE">
        <w:rPr>
          <w:rFonts w:cs="Arial"/>
          <w:color w:val="252525"/>
          <w:shd w:val="clear" w:color="auto" w:fill="FFFFFF"/>
        </w:rPr>
        <w:t>w problematic</w:t>
      </w:r>
      <w:r w:rsidR="00524760" w:rsidRPr="00F776CE">
        <w:rPr>
          <w:rFonts w:cs="Arial"/>
          <w:color w:val="252525"/>
          <w:shd w:val="clear" w:color="auto" w:fill="FFFFFF"/>
        </w:rPr>
        <w:t xml:space="preserve">, but suspend disbelief for </w:t>
      </w:r>
      <w:r w:rsidR="00B52F2C" w:rsidRPr="00F776CE">
        <w:rPr>
          <w:rFonts w:cs="Arial"/>
          <w:color w:val="252525"/>
          <w:shd w:val="clear" w:color="auto" w:fill="FFFFFF"/>
        </w:rPr>
        <w:t>a while</w:t>
      </w:r>
      <w:r w:rsidR="00524760" w:rsidRPr="00F776CE">
        <w:rPr>
          <w:rFonts w:cs="Arial"/>
          <w:color w:val="252525"/>
          <w:shd w:val="clear" w:color="auto" w:fill="FFFFFF"/>
        </w:rPr>
        <w:t xml:space="preserve"> to comprehend the congestion problem.</w:t>
      </w:r>
      <w:r w:rsidR="002122F0" w:rsidRPr="00F776CE">
        <w:rPr>
          <w:rStyle w:val="EndnoteReference"/>
          <w:rFonts w:cs="Arial"/>
          <w:color w:val="252525"/>
          <w:shd w:val="clear" w:color="auto" w:fill="FFFFFF"/>
        </w:rPr>
        <w:endnoteReference w:id="7"/>
      </w:r>
    </w:p>
    <w:p w:rsidR="00F776CE" w:rsidRPr="00F776CE" w:rsidRDefault="00F776CE" w:rsidP="00F776CE">
      <w:pPr>
        <w:spacing w:after="0"/>
        <w:rPr>
          <w:rFonts w:cs="Arial"/>
          <w:color w:val="252525"/>
          <w:shd w:val="clear" w:color="auto" w:fill="FFFFFF"/>
        </w:rPr>
      </w:pPr>
    </w:p>
    <w:p w:rsidR="00AB34B0" w:rsidRDefault="00524760" w:rsidP="00F776CE">
      <w:pPr>
        <w:spacing w:after="0"/>
        <w:rPr>
          <w:rFonts w:cs="Arial"/>
          <w:color w:val="252525"/>
          <w:shd w:val="clear" w:color="auto" w:fill="FFFFFF"/>
        </w:rPr>
      </w:pPr>
      <w:r w:rsidRPr="00F776CE">
        <w:rPr>
          <w:rFonts w:cs="Arial"/>
          <w:color w:val="252525"/>
          <w:shd w:val="clear" w:color="auto" w:fill="FFFFFF"/>
        </w:rPr>
        <w:t>First point</w:t>
      </w:r>
      <w:r w:rsidR="008A6FC2" w:rsidRPr="00F776CE">
        <w:rPr>
          <w:rFonts w:cs="Arial"/>
          <w:color w:val="252525"/>
          <w:shd w:val="clear" w:color="auto" w:fill="FFFFFF"/>
        </w:rPr>
        <w:t>:</w:t>
      </w:r>
      <w:r w:rsidRPr="00F776CE">
        <w:rPr>
          <w:rFonts w:cs="Arial"/>
          <w:color w:val="252525"/>
          <w:shd w:val="clear" w:color="auto" w:fill="FFFFFF"/>
        </w:rPr>
        <w:t xml:space="preserve"> $53bn</w:t>
      </w:r>
      <w:r w:rsidR="00D9190B" w:rsidRPr="00F776CE">
        <w:rPr>
          <w:rFonts w:cs="Arial"/>
          <w:color w:val="252525"/>
          <w:shd w:val="clear" w:color="auto" w:fill="FFFFFF"/>
        </w:rPr>
        <w:t xml:space="preserve"> (Infrastructure Australia) or </w:t>
      </w:r>
      <w:r w:rsidR="00A31D11" w:rsidRPr="00F776CE">
        <w:rPr>
          <w:rFonts w:cs="Arial"/>
          <w:color w:val="252525"/>
          <w:shd w:val="clear" w:color="auto" w:fill="FFFFFF"/>
        </w:rPr>
        <w:t>$30bn</w:t>
      </w:r>
      <w:r w:rsidR="00D9190B" w:rsidRPr="00F776CE">
        <w:rPr>
          <w:rFonts w:cs="Arial"/>
          <w:color w:val="252525"/>
          <w:shd w:val="clear" w:color="auto" w:fill="FFFFFF"/>
        </w:rPr>
        <w:t xml:space="preserve"> (Bureau)</w:t>
      </w:r>
      <w:r w:rsidR="00AF0D20" w:rsidRPr="00F776CE">
        <w:rPr>
          <w:rFonts w:cs="Arial"/>
          <w:color w:val="252525"/>
          <w:shd w:val="clear" w:color="auto" w:fill="FFFFFF"/>
        </w:rPr>
        <w:t>?</w:t>
      </w:r>
      <w:r w:rsidR="00BC30A2"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524760" w:rsidRDefault="00524760" w:rsidP="00F776CE">
      <w:pPr>
        <w:spacing w:after="0"/>
        <w:rPr>
          <w:rFonts w:cs="Arial"/>
          <w:color w:val="252525"/>
          <w:shd w:val="clear" w:color="auto" w:fill="FFFFFF"/>
        </w:rPr>
      </w:pPr>
      <w:r w:rsidRPr="00F776CE">
        <w:rPr>
          <w:rFonts w:cs="Arial"/>
          <w:color w:val="252525"/>
          <w:shd w:val="clear" w:color="auto" w:fill="FFFFFF"/>
        </w:rPr>
        <w:t>Previous articles argued the methodology and meaning of Infrastructure Australia</w:t>
      </w:r>
      <w:r w:rsidR="003D33C3" w:rsidRPr="00F776CE">
        <w:rPr>
          <w:rFonts w:cs="Arial"/>
          <w:color w:val="252525"/>
          <w:shd w:val="clear" w:color="auto" w:fill="FFFFFF"/>
        </w:rPr>
        <w:t>’s</w:t>
      </w:r>
      <w:r w:rsidRPr="00F776CE">
        <w:rPr>
          <w:rFonts w:cs="Arial"/>
          <w:color w:val="252525"/>
          <w:shd w:val="clear" w:color="auto" w:fill="FFFFFF"/>
        </w:rPr>
        <w:t xml:space="preserve"> estimate was unclear.</w:t>
      </w:r>
      <w:r w:rsidR="00BC30A2" w:rsidRPr="00F776CE">
        <w:rPr>
          <w:rFonts w:cs="Arial"/>
          <w:color w:val="252525"/>
          <w:shd w:val="clear" w:color="auto" w:fill="FFFFFF"/>
        </w:rPr>
        <w:t xml:space="preserve"> </w:t>
      </w:r>
      <w:r w:rsidRPr="00F776CE">
        <w:rPr>
          <w:rFonts w:cs="Arial"/>
          <w:color w:val="252525"/>
          <w:shd w:val="clear" w:color="auto" w:fill="FFFFFF"/>
        </w:rPr>
        <w:t xml:space="preserve"> The Bureau’s estimate is based on published data and methodology</w:t>
      </w:r>
      <w:r w:rsidR="00DF3A6A" w:rsidRPr="00F776CE">
        <w:rPr>
          <w:rFonts w:cs="Arial"/>
          <w:color w:val="252525"/>
          <w:shd w:val="clear" w:color="auto" w:fill="FFFFFF"/>
        </w:rPr>
        <w:t>; i</w:t>
      </w:r>
      <w:r w:rsidRPr="00F776CE">
        <w:rPr>
          <w:rFonts w:cs="Arial"/>
          <w:color w:val="252525"/>
          <w:shd w:val="clear" w:color="auto" w:fill="FFFFFF"/>
        </w:rPr>
        <w:t>t is to be preferred.</w:t>
      </w:r>
      <w:r w:rsidR="00CF4048" w:rsidRPr="00F776CE">
        <w:rPr>
          <w:rStyle w:val="EndnoteReference"/>
          <w:rFonts w:cs="Arial"/>
          <w:color w:val="252525"/>
          <w:shd w:val="clear" w:color="auto" w:fill="FFFFFF"/>
        </w:rPr>
        <w:endnoteReference w:id="8"/>
      </w:r>
    </w:p>
    <w:p w:rsidR="00F776CE" w:rsidRPr="00F776CE" w:rsidRDefault="00F776CE" w:rsidP="00F776CE">
      <w:pPr>
        <w:spacing w:after="0"/>
        <w:rPr>
          <w:rFonts w:cs="Arial"/>
          <w:color w:val="252525"/>
          <w:shd w:val="clear" w:color="auto" w:fill="FFFFFF"/>
        </w:rPr>
      </w:pPr>
    </w:p>
    <w:p w:rsidR="00D17DB0" w:rsidRDefault="00D17DB0" w:rsidP="00F776CE">
      <w:pPr>
        <w:spacing w:after="0"/>
        <w:rPr>
          <w:rFonts w:cs="Arial"/>
          <w:color w:val="252525"/>
          <w:shd w:val="clear" w:color="auto" w:fill="FFFFFF"/>
        </w:rPr>
      </w:pPr>
      <w:r w:rsidRPr="00F776CE">
        <w:rPr>
          <w:rFonts w:cs="Arial"/>
          <w:color w:val="252525"/>
          <w:shd w:val="clear" w:color="auto" w:fill="FFFFFF"/>
        </w:rPr>
        <w:t>But…..</w:t>
      </w:r>
      <w:r w:rsidR="003D33C3" w:rsidRPr="00F776CE">
        <w:rPr>
          <w:rFonts w:cs="Arial"/>
          <w:color w:val="252525"/>
          <w:shd w:val="clear" w:color="auto" w:fill="FFFFFF"/>
        </w:rPr>
        <w:t xml:space="preserve">  </w:t>
      </w:r>
      <w:r w:rsidRPr="00F776CE">
        <w:rPr>
          <w:rFonts w:cs="Arial"/>
          <w:color w:val="252525"/>
          <w:shd w:val="clear" w:color="auto" w:fill="FFFFFF"/>
        </w:rPr>
        <w:t xml:space="preserve">the Bureau </w:t>
      </w:r>
      <w:r w:rsidR="000764B0" w:rsidRPr="00F776CE">
        <w:rPr>
          <w:rFonts w:cs="Arial"/>
          <w:color w:val="252525"/>
          <w:shd w:val="clear" w:color="auto" w:fill="FFFFFF"/>
        </w:rPr>
        <w:t xml:space="preserve">says that it </w:t>
      </w:r>
      <w:r w:rsidR="00DF3A6A" w:rsidRPr="00F776CE">
        <w:rPr>
          <w:rFonts w:cs="Arial"/>
          <w:color w:val="252525"/>
          <w:shd w:val="clear" w:color="auto" w:fill="FFFFFF"/>
        </w:rPr>
        <w:t xml:space="preserve">too </w:t>
      </w:r>
      <w:r w:rsidR="00CF4048" w:rsidRPr="00F776CE">
        <w:rPr>
          <w:rFonts w:cs="Arial"/>
          <w:color w:val="252525"/>
          <w:shd w:val="clear" w:color="auto" w:fill="FFFFFF"/>
        </w:rPr>
        <w:t>c</w:t>
      </w:r>
      <w:r w:rsidR="000764B0" w:rsidRPr="00F776CE">
        <w:rPr>
          <w:rFonts w:cs="Arial"/>
          <w:color w:val="252525"/>
          <w:shd w:val="clear" w:color="auto" w:fill="FFFFFF"/>
        </w:rPr>
        <w:t>ould have come up with an over</w:t>
      </w:r>
      <w:r w:rsidR="008C6E19" w:rsidRPr="00F776CE">
        <w:rPr>
          <w:rFonts w:cs="Arial"/>
          <w:color w:val="252525"/>
          <w:shd w:val="clear" w:color="auto" w:fill="FFFFFF"/>
        </w:rPr>
        <w:t>-</w:t>
      </w:r>
      <w:r w:rsidR="000764B0" w:rsidRPr="00F776CE">
        <w:rPr>
          <w:rFonts w:cs="Arial"/>
          <w:color w:val="252525"/>
          <w:shd w:val="clear" w:color="auto" w:fill="FFFFFF"/>
        </w:rPr>
        <w:t>$50bn figure.  The difference, it claims, is</w:t>
      </w:r>
      <w:r w:rsidR="00D625D4" w:rsidRPr="00F776CE">
        <w:rPr>
          <w:rFonts w:cs="Arial"/>
          <w:color w:val="252525"/>
          <w:shd w:val="clear" w:color="auto" w:fill="FFFFFF"/>
        </w:rPr>
        <w:t xml:space="preserve"> largely</w:t>
      </w:r>
      <w:r w:rsidR="000764B0" w:rsidRPr="00F776CE">
        <w:rPr>
          <w:rFonts w:cs="Arial"/>
          <w:color w:val="252525"/>
          <w:shd w:val="clear" w:color="auto" w:fill="FFFFFF"/>
        </w:rPr>
        <w:t xml:space="preserve"> due to assuming more roads will be built.</w:t>
      </w:r>
      <w:r w:rsidR="00A21F28">
        <w:rPr>
          <w:rFonts w:cs="Arial"/>
          <w:color w:val="252525"/>
          <w:shd w:val="clear" w:color="auto" w:fill="FFFFFF"/>
        </w:rPr>
        <w:t xml:space="preserve"> </w:t>
      </w:r>
      <w:r w:rsidR="000764B0" w:rsidRPr="00F776CE">
        <w:rPr>
          <w:rFonts w:cs="Arial"/>
          <w:color w:val="252525"/>
          <w:shd w:val="clear" w:color="auto" w:fill="FFFFFF"/>
        </w:rPr>
        <w:t xml:space="preserve"> </w:t>
      </w:r>
      <w:r w:rsidR="006B3382" w:rsidRPr="00F776CE">
        <w:rPr>
          <w:rFonts w:cs="Arial"/>
          <w:color w:val="252525"/>
          <w:shd w:val="clear" w:color="auto" w:fill="FFFFFF"/>
        </w:rPr>
        <w:t>Hmmm.  The</w:t>
      </w:r>
      <w:r w:rsidR="00930E09" w:rsidRPr="00F776CE">
        <w:rPr>
          <w:rFonts w:cs="Arial"/>
          <w:color w:val="252525"/>
          <w:shd w:val="clear" w:color="auto" w:fill="FFFFFF"/>
        </w:rPr>
        <w:t xml:space="preserve"> mountain of debt</w:t>
      </w:r>
      <w:r w:rsidR="00BC30A2" w:rsidRPr="00F776CE">
        <w:rPr>
          <w:rFonts w:cs="Arial"/>
          <w:color w:val="252525"/>
          <w:shd w:val="clear" w:color="auto" w:fill="FFFFFF"/>
        </w:rPr>
        <w:t>?</w:t>
      </w:r>
      <w:r w:rsidR="00696BF5" w:rsidRPr="00F776CE">
        <w:rPr>
          <w:rStyle w:val="EndnoteReference"/>
          <w:rFonts w:cs="Arial"/>
          <w:color w:val="252525"/>
          <w:shd w:val="clear" w:color="auto" w:fill="FFFFFF"/>
        </w:rPr>
        <w:endnoteReference w:id="9"/>
      </w:r>
      <w:r w:rsidR="000764B0"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524760" w:rsidRPr="00F776CE" w:rsidRDefault="00524760" w:rsidP="00F776CE">
      <w:pPr>
        <w:pStyle w:val="Heading2"/>
        <w:spacing w:before="0"/>
        <w:rPr>
          <w:rFonts w:asciiTheme="minorHAnsi" w:hAnsiTheme="minorHAnsi"/>
          <w:sz w:val="24"/>
          <w:szCs w:val="24"/>
          <w:shd w:val="clear" w:color="auto" w:fill="FFFFFF"/>
        </w:rPr>
      </w:pPr>
      <w:r w:rsidRPr="00F776CE">
        <w:rPr>
          <w:rFonts w:asciiTheme="minorHAnsi" w:hAnsiTheme="minorHAnsi"/>
          <w:sz w:val="24"/>
          <w:szCs w:val="24"/>
          <w:shd w:val="clear" w:color="auto" w:fill="FFFFFF"/>
        </w:rPr>
        <w:t xml:space="preserve">The smile on </w:t>
      </w:r>
      <w:r w:rsidR="00B52F2C" w:rsidRPr="00F776CE">
        <w:rPr>
          <w:rFonts w:asciiTheme="minorHAnsi" w:hAnsiTheme="minorHAnsi"/>
          <w:sz w:val="24"/>
          <w:szCs w:val="24"/>
          <w:shd w:val="clear" w:color="auto" w:fill="FFFFFF"/>
        </w:rPr>
        <w:t>S</w:t>
      </w:r>
      <w:r w:rsidRPr="00F776CE">
        <w:rPr>
          <w:rFonts w:asciiTheme="minorHAnsi" w:hAnsiTheme="minorHAnsi"/>
          <w:sz w:val="24"/>
          <w:szCs w:val="24"/>
          <w:shd w:val="clear" w:color="auto" w:fill="FFFFFF"/>
        </w:rPr>
        <w:t>anta’s face (2)?</w:t>
      </w:r>
    </w:p>
    <w:p w:rsidR="00524760" w:rsidRDefault="00524760" w:rsidP="00F776CE">
      <w:pPr>
        <w:spacing w:after="0"/>
        <w:rPr>
          <w:rFonts w:cs="Arial"/>
          <w:color w:val="252525"/>
          <w:shd w:val="clear" w:color="auto" w:fill="FFFFFF"/>
        </w:rPr>
      </w:pPr>
      <w:r w:rsidRPr="00F776CE">
        <w:rPr>
          <w:rFonts w:cs="Arial"/>
          <w:color w:val="252525"/>
          <w:shd w:val="clear" w:color="auto" w:fill="FFFFFF"/>
        </w:rPr>
        <w:t xml:space="preserve">Second point; how much faith </w:t>
      </w:r>
      <w:r w:rsidR="00B52F2C" w:rsidRPr="00F776CE">
        <w:rPr>
          <w:rFonts w:cs="Arial"/>
          <w:color w:val="252525"/>
          <w:shd w:val="clear" w:color="auto" w:fill="FFFFFF"/>
        </w:rPr>
        <w:t>should</w:t>
      </w:r>
      <w:r w:rsidRPr="00F776CE">
        <w:rPr>
          <w:rFonts w:cs="Arial"/>
          <w:color w:val="252525"/>
          <w:shd w:val="clear" w:color="auto" w:fill="FFFFFF"/>
        </w:rPr>
        <w:t xml:space="preserve"> be put into the </w:t>
      </w:r>
      <w:r w:rsidR="00AB34B0" w:rsidRPr="00F776CE">
        <w:rPr>
          <w:rFonts w:cs="Arial"/>
          <w:color w:val="252525"/>
          <w:shd w:val="clear" w:color="auto" w:fill="FFFFFF"/>
        </w:rPr>
        <w:t xml:space="preserve">Bureau’s </w:t>
      </w:r>
      <w:r w:rsidRPr="00F776CE">
        <w:rPr>
          <w:rFonts w:cs="Arial"/>
          <w:color w:val="252525"/>
          <w:shd w:val="clear" w:color="auto" w:fill="FFFFFF"/>
        </w:rPr>
        <w:t>$30bn figure?</w:t>
      </w:r>
    </w:p>
    <w:p w:rsidR="00F776CE" w:rsidRPr="00F776CE" w:rsidRDefault="00F776CE" w:rsidP="00F776CE">
      <w:pPr>
        <w:spacing w:after="0"/>
        <w:rPr>
          <w:rFonts w:cs="Arial"/>
          <w:color w:val="252525"/>
          <w:shd w:val="clear" w:color="auto" w:fill="FFFFFF"/>
        </w:rPr>
      </w:pPr>
    </w:p>
    <w:p w:rsidR="00EE0175" w:rsidRDefault="00AB34B0" w:rsidP="00F776CE">
      <w:pPr>
        <w:spacing w:after="0"/>
        <w:rPr>
          <w:rFonts w:cs="Arial"/>
          <w:color w:val="252525"/>
          <w:shd w:val="clear" w:color="auto" w:fill="FFFFFF"/>
        </w:rPr>
      </w:pPr>
      <w:r w:rsidRPr="00F776CE">
        <w:rPr>
          <w:rFonts w:cs="Arial"/>
          <w:color w:val="252525"/>
          <w:shd w:val="clear" w:color="auto" w:fill="FFFFFF"/>
        </w:rPr>
        <w:t xml:space="preserve">The </w:t>
      </w:r>
      <w:r w:rsidR="00BB4664" w:rsidRPr="00F776CE">
        <w:rPr>
          <w:rFonts w:cs="Arial"/>
          <w:color w:val="252525"/>
          <w:shd w:val="clear" w:color="auto" w:fill="FFFFFF"/>
        </w:rPr>
        <w:t xml:space="preserve">author’s </w:t>
      </w:r>
      <w:r w:rsidRPr="00F776CE">
        <w:rPr>
          <w:rFonts w:cs="Arial"/>
          <w:color w:val="252525"/>
          <w:shd w:val="clear" w:color="auto" w:fill="FFFFFF"/>
        </w:rPr>
        <w:t>article</w:t>
      </w:r>
      <w:r w:rsidR="00BB4664" w:rsidRPr="00F776CE">
        <w:rPr>
          <w:rFonts w:cs="Arial"/>
          <w:color w:val="252525"/>
          <w:shd w:val="clear" w:color="auto" w:fill="FFFFFF"/>
        </w:rPr>
        <w:t>s</w:t>
      </w:r>
      <w:r w:rsidRPr="00F776CE">
        <w:rPr>
          <w:rFonts w:cs="Arial"/>
          <w:color w:val="252525"/>
          <w:shd w:val="clear" w:color="auto" w:fill="FFFFFF"/>
        </w:rPr>
        <w:t xml:space="preserve"> on roads and submission to Infrastructure Australia indicated concerns about previous congestion projections.  Principally</w:t>
      </w:r>
      <w:r w:rsidR="002122F0" w:rsidRPr="00F776CE">
        <w:rPr>
          <w:rFonts w:cs="Arial"/>
          <w:color w:val="252525"/>
          <w:shd w:val="clear" w:color="auto" w:fill="FFFFFF"/>
        </w:rPr>
        <w:t>;</w:t>
      </w:r>
      <w:r w:rsidR="00BF0466" w:rsidRPr="00F776CE">
        <w:rPr>
          <w:rFonts w:cs="Arial"/>
          <w:color w:val="252525"/>
          <w:shd w:val="clear" w:color="auto" w:fill="FFFFFF"/>
        </w:rPr>
        <w:t xml:space="preserve"> </w:t>
      </w:r>
      <w:r w:rsidRPr="00F776CE">
        <w:rPr>
          <w:rFonts w:cs="Arial"/>
          <w:color w:val="252525"/>
          <w:shd w:val="clear" w:color="auto" w:fill="FFFFFF"/>
        </w:rPr>
        <w:t>levels of traffic growth actually experienced</w:t>
      </w:r>
      <w:r w:rsidR="00B52F2C" w:rsidRPr="00F776CE">
        <w:rPr>
          <w:rFonts w:cs="Arial"/>
          <w:color w:val="252525"/>
          <w:shd w:val="clear" w:color="auto" w:fill="FFFFFF"/>
        </w:rPr>
        <w:t xml:space="preserve"> were far </w:t>
      </w:r>
      <w:r w:rsidR="00A13FAE">
        <w:rPr>
          <w:rFonts w:cs="Arial"/>
          <w:color w:val="252525"/>
          <w:shd w:val="clear" w:color="auto" w:fill="FFFFFF"/>
        </w:rPr>
        <w:t>lower</w:t>
      </w:r>
      <w:r w:rsidR="004B7D68">
        <w:rPr>
          <w:rFonts w:cs="Arial"/>
          <w:color w:val="252525"/>
          <w:shd w:val="clear" w:color="auto" w:fill="FFFFFF"/>
        </w:rPr>
        <w:t xml:space="preserve"> </w:t>
      </w:r>
      <w:r w:rsidR="00B52F2C" w:rsidRPr="00F776CE">
        <w:rPr>
          <w:rFonts w:cs="Arial"/>
          <w:color w:val="252525"/>
          <w:shd w:val="clear" w:color="auto" w:fill="FFFFFF"/>
        </w:rPr>
        <w:t>than projected</w:t>
      </w:r>
      <w:r w:rsidRPr="00F776CE">
        <w:rPr>
          <w:rFonts w:cs="Arial"/>
          <w:color w:val="252525"/>
          <w:shd w:val="clear" w:color="auto" w:fill="FFFFFF"/>
        </w:rPr>
        <w:t>.</w:t>
      </w:r>
      <w:r w:rsidR="00C63BF3" w:rsidRPr="00F776CE">
        <w:rPr>
          <w:rFonts w:cs="Arial"/>
          <w:color w:val="252525"/>
          <w:shd w:val="clear" w:color="auto" w:fill="FFFFFF"/>
        </w:rPr>
        <w:t xml:space="preserve">  The Bureau now confirms this is a problem; Figure 2.</w:t>
      </w:r>
      <w:r w:rsidR="00696BF5" w:rsidRPr="00F776CE">
        <w:rPr>
          <w:rStyle w:val="EndnoteReference"/>
          <w:rFonts w:cs="Arial"/>
          <w:color w:val="252525"/>
          <w:shd w:val="clear" w:color="auto" w:fill="FFFFFF"/>
        </w:rPr>
        <w:endnoteReference w:id="10"/>
      </w:r>
      <w:r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3045B2" w:rsidRPr="00F776CE" w:rsidRDefault="00BB6096" w:rsidP="00F776CE">
      <w:pPr>
        <w:spacing w:after="0"/>
        <w:rPr>
          <w:rFonts w:cs="Arial"/>
          <w:b/>
          <w:color w:val="252525"/>
          <w:shd w:val="clear" w:color="auto" w:fill="FFFFFF"/>
        </w:rPr>
      </w:pPr>
      <w:r w:rsidRPr="00F776CE">
        <w:rPr>
          <w:noProof/>
          <w:lang w:eastAsia="en-GB"/>
        </w:rPr>
        <w:drawing>
          <wp:anchor distT="0" distB="0" distL="114300" distR="114300" simplePos="0" relativeHeight="251660288" behindDoc="0" locked="0" layoutInCell="1" allowOverlap="1" wp14:anchorId="1A282C2B" wp14:editId="12332B84">
            <wp:simplePos x="0" y="0"/>
            <wp:positionH relativeFrom="margin">
              <wp:align>left</wp:align>
            </wp:positionH>
            <wp:positionV relativeFrom="paragraph">
              <wp:posOffset>284480</wp:posOffset>
            </wp:positionV>
            <wp:extent cx="5403850" cy="2819400"/>
            <wp:effectExtent l="0" t="0" r="635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045B2" w:rsidRPr="00F776CE">
        <w:rPr>
          <w:rFonts w:cs="Arial"/>
          <w:b/>
          <w:color w:val="252525"/>
          <w:shd w:val="clear" w:color="auto" w:fill="FFFFFF"/>
        </w:rPr>
        <w:t>Figure 2</w:t>
      </w:r>
      <w:r w:rsidR="001B1440" w:rsidRPr="00F776CE">
        <w:rPr>
          <w:rFonts w:cs="Arial"/>
          <w:b/>
          <w:color w:val="252525"/>
          <w:shd w:val="clear" w:color="auto" w:fill="FFFFFF"/>
        </w:rPr>
        <w:t xml:space="preserve">: Previous Bureau </w:t>
      </w:r>
      <w:r w:rsidR="00CF7443" w:rsidRPr="00F776CE">
        <w:rPr>
          <w:rFonts w:cs="Arial"/>
          <w:b/>
          <w:color w:val="252525"/>
          <w:shd w:val="clear" w:color="auto" w:fill="FFFFFF"/>
        </w:rPr>
        <w:t xml:space="preserve">traffic growth rates; </w:t>
      </w:r>
      <w:r w:rsidR="001B1440" w:rsidRPr="00F776CE">
        <w:rPr>
          <w:rFonts w:cs="Arial"/>
          <w:b/>
          <w:color w:val="252525"/>
          <w:shd w:val="clear" w:color="auto" w:fill="FFFFFF"/>
        </w:rPr>
        <w:t>projection versus actual</w:t>
      </w:r>
    </w:p>
    <w:p w:rsidR="004B7D68" w:rsidRDefault="004B7D68" w:rsidP="00F776CE">
      <w:pPr>
        <w:spacing w:after="0"/>
        <w:rPr>
          <w:rFonts w:cs="Arial"/>
          <w:color w:val="252525"/>
          <w:shd w:val="clear" w:color="auto" w:fill="FFFFFF"/>
        </w:rPr>
      </w:pPr>
    </w:p>
    <w:p w:rsidR="000764B0" w:rsidRDefault="000764B0" w:rsidP="00F776CE">
      <w:pPr>
        <w:spacing w:after="0"/>
        <w:rPr>
          <w:rFonts w:cs="Arial"/>
          <w:color w:val="252525"/>
          <w:shd w:val="clear" w:color="auto" w:fill="FFFFFF"/>
        </w:rPr>
      </w:pPr>
      <w:r w:rsidRPr="00F776CE">
        <w:rPr>
          <w:rFonts w:cs="Arial"/>
          <w:color w:val="252525"/>
          <w:shd w:val="clear" w:color="auto" w:fill="FFFFFF"/>
        </w:rPr>
        <w:t xml:space="preserve">Yet the Bureau </w:t>
      </w:r>
      <w:r w:rsidR="002122F0" w:rsidRPr="00F776CE">
        <w:rPr>
          <w:rFonts w:cs="Arial"/>
          <w:color w:val="252525"/>
          <w:shd w:val="clear" w:color="auto" w:fill="FFFFFF"/>
        </w:rPr>
        <w:t>say</w:t>
      </w:r>
      <w:r w:rsidRPr="00F776CE">
        <w:rPr>
          <w:rFonts w:cs="Arial"/>
          <w:color w:val="252525"/>
          <w:shd w:val="clear" w:color="auto" w:fill="FFFFFF"/>
        </w:rPr>
        <w:t xml:space="preserve">s </w:t>
      </w:r>
      <w:r w:rsidR="008C6E19" w:rsidRPr="00F776CE">
        <w:rPr>
          <w:rFonts w:cs="Arial"/>
          <w:color w:val="252525"/>
          <w:shd w:val="clear" w:color="auto" w:fill="FFFFFF"/>
        </w:rPr>
        <w:t xml:space="preserve">its former projection of </w:t>
      </w:r>
      <w:r w:rsidRPr="00F776CE">
        <w:rPr>
          <w:rFonts w:cs="Arial"/>
          <w:color w:val="252525"/>
          <w:shd w:val="clear" w:color="auto" w:fill="FFFFFF"/>
        </w:rPr>
        <w:t xml:space="preserve">$20bn congestion cost by 2020 is </w:t>
      </w:r>
      <w:r w:rsidR="00BB4664" w:rsidRPr="00F776CE">
        <w:rPr>
          <w:rFonts w:cs="Arial"/>
          <w:color w:val="252525"/>
          <w:shd w:val="clear" w:color="auto" w:fill="FFFFFF"/>
        </w:rPr>
        <w:t>too low</w:t>
      </w:r>
      <w:r w:rsidRPr="00F776CE">
        <w:rPr>
          <w:rFonts w:cs="Arial"/>
          <w:color w:val="252525"/>
          <w:shd w:val="clear" w:color="auto" w:fill="FFFFFF"/>
        </w:rPr>
        <w:t>.</w:t>
      </w:r>
      <w:r w:rsidR="00D625D4" w:rsidRPr="00F776CE">
        <w:rPr>
          <w:rFonts w:cs="Arial"/>
          <w:color w:val="252525"/>
          <w:shd w:val="clear" w:color="auto" w:fill="FFFFFF"/>
        </w:rPr>
        <w:t xml:space="preserve">  Yes</w:t>
      </w:r>
      <w:r w:rsidR="00B52F2C" w:rsidRPr="00F776CE">
        <w:rPr>
          <w:rFonts w:cs="Arial"/>
          <w:color w:val="252525"/>
          <w:shd w:val="clear" w:color="auto" w:fill="FFFFFF"/>
        </w:rPr>
        <w:t>:</w:t>
      </w:r>
      <w:r w:rsidR="00381D2E" w:rsidRPr="00F776CE">
        <w:rPr>
          <w:rFonts w:cs="Arial"/>
          <w:color w:val="252525"/>
          <w:shd w:val="clear" w:color="auto" w:fill="FFFFFF"/>
        </w:rPr>
        <w:t xml:space="preserve"> it</w:t>
      </w:r>
      <w:r w:rsidR="003D33C3" w:rsidRPr="00F776CE">
        <w:rPr>
          <w:rFonts w:cs="Arial"/>
          <w:color w:val="252525"/>
          <w:shd w:val="clear" w:color="auto" w:fill="FFFFFF"/>
        </w:rPr>
        <w:t xml:space="preserve"> </w:t>
      </w:r>
      <w:r w:rsidR="00D625D4" w:rsidRPr="00F776CE">
        <w:rPr>
          <w:rFonts w:cs="Arial"/>
          <w:color w:val="252525"/>
          <w:shd w:val="clear" w:color="auto" w:fill="FFFFFF"/>
        </w:rPr>
        <w:t>overestimat</w:t>
      </w:r>
      <w:r w:rsidR="007A3665" w:rsidRPr="00F776CE">
        <w:rPr>
          <w:rFonts w:cs="Arial"/>
          <w:color w:val="252525"/>
          <w:shd w:val="clear" w:color="auto" w:fill="FFFFFF"/>
        </w:rPr>
        <w:t>ed</w:t>
      </w:r>
      <w:r w:rsidR="00D625D4" w:rsidRPr="00F776CE">
        <w:rPr>
          <w:rFonts w:cs="Arial"/>
          <w:color w:val="252525"/>
          <w:shd w:val="clear" w:color="auto" w:fill="FFFFFF"/>
        </w:rPr>
        <w:t xml:space="preserve"> growth in traffic </w:t>
      </w:r>
      <w:r w:rsidR="00381D2E" w:rsidRPr="00F776CE">
        <w:rPr>
          <w:rFonts w:cs="Arial"/>
          <w:color w:val="252525"/>
          <w:shd w:val="clear" w:color="auto" w:fill="FFFFFF"/>
        </w:rPr>
        <w:t>to date</w:t>
      </w:r>
      <w:r w:rsidR="00025896" w:rsidRPr="00F776CE">
        <w:rPr>
          <w:rFonts w:cs="Arial"/>
          <w:color w:val="252525"/>
          <w:shd w:val="clear" w:color="auto" w:fill="FFFFFF"/>
        </w:rPr>
        <w:t xml:space="preserve"> by more than a </w:t>
      </w:r>
      <w:r w:rsidR="00D625D4" w:rsidRPr="00F776CE">
        <w:rPr>
          <w:rFonts w:cs="Arial"/>
          <w:color w:val="252525"/>
          <w:shd w:val="clear" w:color="auto" w:fill="FFFFFF"/>
        </w:rPr>
        <w:t xml:space="preserve">factor of </w:t>
      </w:r>
      <w:r w:rsidR="00025896" w:rsidRPr="00F776CE">
        <w:rPr>
          <w:rFonts w:cs="Arial"/>
          <w:color w:val="252525"/>
          <w:shd w:val="clear" w:color="auto" w:fill="FFFFFF"/>
        </w:rPr>
        <w:t>2</w:t>
      </w:r>
      <w:r w:rsidR="00D625D4" w:rsidRPr="00F776CE">
        <w:rPr>
          <w:rFonts w:cs="Arial"/>
          <w:color w:val="252525"/>
          <w:shd w:val="clear" w:color="auto" w:fill="FFFFFF"/>
        </w:rPr>
        <w:t xml:space="preserve">; </w:t>
      </w:r>
      <w:r w:rsidR="004B7D68">
        <w:rPr>
          <w:rFonts w:cs="Arial"/>
          <w:color w:val="252525"/>
          <w:shd w:val="clear" w:color="auto" w:fill="FFFFFF"/>
        </w:rPr>
        <w:t xml:space="preserve">it </w:t>
      </w:r>
      <w:r w:rsidR="00381D2E" w:rsidRPr="00F776CE">
        <w:rPr>
          <w:rFonts w:cs="Arial"/>
          <w:color w:val="252525"/>
          <w:shd w:val="clear" w:color="auto" w:fill="FFFFFF"/>
        </w:rPr>
        <w:t>cut</w:t>
      </w:r>
      <w:r w:rsidR="00A21F28">
        <w:rPr>
          <w:rFonts w:cs="Arial"/>
          <w:color w:val="252525"/>
          <w:shd w:val="clear" w:color="auto" w:fill="FFFFFF"/>
        </w:rPr>
        <w:t>s</w:t>
      </w:r>
      <w:r w:rsidR="00381D2E" w:rsidRPr="00F776CE">
        <w:rPr>
          <w:rFonts w:cs="Arial"/>
          <w:color w:val="252525"/>
          <w:shd w:val="clear" w:color="auto" w:fill="FFFFFF"/>
        </w:rPr>
        <w:t xml:space="preserve"> </w:t>
      </w:r>
      <w:r w:rsidR="00025896" w:rsidRPr="00F776CE">
        <w:rPr>
          <w:rFonts w:cs="Arial"/>
          <w:color w:val="252525"/>
          <w:shd w:val="clear" w:color="auto" w:fill="FFFFFF"/>
        </w:rPr>
        <w:t>project</w:t>
      </w:r>
      <w:r w:rsidR="000114DD" w:rsidRPr="00F776CE">
        <w:rPr>
          <w:rFonts w:cs="Arial"/>
          <w:color w:val="252525"/>
          <w:shd w:val="clear" w:color="auto" w:fill="FFFFFF"/>
        </w:rPr>
        <w:t>ed</w:t>
      </w:r>
      <w:r w:rsidR="00025896" w:rsidRPr="00F776CE">
        <w:rPr>
          <w:rFonts w:cs="Arial"/>
          <w:color w:val="252525"/>
          <w:shd w:val="clear" w:color="auto" w:fill="FFFFFF"/>
        </w:rPr>
        <w:t xml:space="preserve"> traffic </w:t>
      </w:r>
      <w:r w:rsidR="000114DD" w:rsidRPr="00F776CE">
        <w:rPr>
          <w:rFonts w:cs="Arial"/>
          <w:color w:val="252525"/>
          <w:shd w:val="clear" w:color="auto" w:fill="FFFFFF"/>
        </w:rPr>
        <w:t>growth to 2020</w:t>
      </w:r>
      <w:r w:rsidR="00994104">
        <w:rPr>
          <w:rFonts w:cs="Arial"/>
          <w:color w:val="252525"/>
          <w:shd w:val="clear" w:color="auto" w:fill="FFFFFF"/>
        </w:rPr>
        <w:t xml:space="preserve"> by 23%</w:t>
      </w:r>
      <w:r w:rsidR="00B52F2C" w:rsidRPr="00F776CE">
        <w:rPr>
          <w:rFonts w:cs="Arial"/>
          <w:color w:val="252525"/>
          <w:shd w:val="clear" w:color="auto" w:fill="FFFFFF"/>
        </w:rPr>
        <w:t>; b</w:t>
      </w:r>
      <w:r w:rsidR="00381D2E" w:rsidRPr="00F776CE">
        <w:rPr>
          <w:rFonts w:cs="Arial"/>
          <w:color w:val="252525"/>
          <w:shd w:val="clear" w:color="auto" w:fill="FFFFFF"/>
        </w:rPr>
        <w:t xml:space="preserve">ut </w:t>
      </w:r>
      <w:r w:rsidR="004B7D68">
        <w:rPr>
          <w:rFonts w:cs="Arial"/>
          <w:color w:val="252525"/>
          <w:shd w:val="clear" w:color="auto" w:fill="FFFFFF"/>
        </w:rPr>
        <w:t xml:space="preserve">it </w:t>
      </w:r>
      <w:r w:rsidR="00025896" w:rsidRPr="00F776CE">
        <w:rPr>
          <w:rFonts w:cs="Arial"/>
          <w:color w:val="252525"/>
          <w:shd w:val="clear" w:color="auto" w:fill="FFFFFF"/>
        </w:rPr>
        <w:t>increase</w:t>
      </w:r>
      <w:r w:rsidR="00A21F28">
        <w:rPr>
          <w:rFonts w:cs="Arial"/>
          <w:color w:val="252525"/>
          <w:shd w:val="clear" w:color="auto" w:fill="FFFFFF"/>
        </w:rPr>
        <w:t>s</w:t>
      </w:r>
      <w:r w:rsidR="00025896" w:rsidRPr="00F776CE">
        <w:rPr>
          <w:rFonts w:cs="Arial"/>
          <w:color w:val="252525"/>
          <w:shd w:val="clear" w:color="auto" w:fill="FFFFFF"/>
        </w:rPr>
        <w:t xml:space="preserve"> </w:t>
      </w:r>
      <w:r w:rsidR="00EE0175" w:rsidRPr="00F776CE">
        <w:rPr>
          <w:rFonts w:cs="Arial"/>
          <w:color w:val="252525"/>
          <w:shd w:val="clear" w:color="auto" w:fill="FFFFFF"/>
        </w:rPr>
        <w:t>project</w:t>
      </w:r>
      <w:r w:rsidR="00BC30A2" w:rsidRPr="00F776CE">
        <w:rPr>
          <w:rFonts w:cs="Arial"/>
          <w:color w:val="252525"/>
          <w:shd w:val="clear" w:color="auto" w:fill="FFFFFF"/>
        </w:rPr>
        <w:t>ed</w:t>
      </w:r>
      <w:r w:rsidR="00EE0175" w:rsidRPr="00F776CE">
        <w:rPr>
          <w:rFonts w:cs="Arial"/>
          <w:color w:val="252525"/>
          <w:shd w:val="clear" w:color="auto" w:fill="FFFFFF"/>
        </w:rPr>
        <w:t xml:space="preserve"> </w:t>
      </w:r>
      <w:r w:rsidR="00D625D4" w:rsidRPr="00F776CE">
        <w:rPr>
          <w:rFonts w:cs="Arial"/>
          <w:color w:val="252525"/>
          <w:shd w:val="clear" w:color="auto" w:fill="FFFFFF"/>
        </w:rPr>
        <w:t>congestion cost</w:t>
      </w:r>
      <w:r w:rsidR="00EE0175" w:rsidRPr="00F776CE">
        <w:rPr>
          <w:rFonts w:cs="Arial"/>
          <w:color w:val="252525"/>
          <w:shd w:val="clear" w:color="auto" w:fill="FFFFFF"/>
        </w:rPr>
        <w:t>s</w:t>
      </w:r>
      <w:r w:rsidR="00BB4664" w:rsidRPr="00F776CE">
        <w:rPr>
          <w:rFonts w:cs="Arial"/>
          <w:color w:val="252525"/>
          <w:shd w:val="clear" w:color="auto" w:fill="FFFFFF"/>
        </w:rPr>
        <w:t xml:space="preserve"> </w:t>
      </w:r>
      <w:r w:rsidR="00381D2E" w:rsidRPr="00F776CE">
        <w:rPr>
          <w:rFonts w:cs="Arial"/>
          <w:color w:val="252525"/>
          <w:shd w:val="clear" w:color="auto" w:fill="FFFFFF"/>
        </w:rPr>
        <w:t xml:space="preserve">at 2020 </w:t>
      </w:r>
      <w:r w:rsidR="00D625D4" w:rsidRPr="00F776CE">
        <w:rPr>
          <w:rFonts w:cs="Arial"/>
          <w:color w:val="252525"/>
          <w:shd w:val="clear" w:color="auto" w:fill="FFFFFF"/>
        </w:rPr>
        <w:t>by 10%.  Hmmm.</w:t>
      </w:r>
      <w:r w:rsidR="00C63BF3" w:rsidRPr="00F776CE">
        <w:rPr>
          <w:rStyle w:val="EndnoteReference"/>
          <w:rFonts w:cs="Arial"/>
          <w:color w:val="252525"/>
          <w:shd w:val="clear" w:color="auto" w:fill="FFFFFF"/>
        </w:rPr>
        <w:endnoteReference w:id="11"/>
      </w:r>
    </w:p>
    <w:p w:rsidR="00F776CE" w:rsidRPr="00F776CE" w:rsidRDefault="00F776CE" w:rsidP="00F776CE">
      <w:pPr>
        <w:spacing w:after="0"/>
        <w:rPr>
          <w:rFonts w:cs="Arial"/>
          <w:color w:val="252525"/>
          <w:shd w:val="clear" w:color="auto" w:fill="FFFFFF"/>
        </w:rPr>
      </w:pPr>
    </w:p>
    <w:p w:rsidR="00F776CE" w:rsidRDefault="003045B2" w:rsidP="00F776CE">
      <w:pPr>
        <w:spacing w:after="0"/>
        <w:rPr>
          <w:rFonts w:cs="Arial"/>
          <w:color w:val="252525"/>
          <w:shd w:val="clear" w:color="auto" w:fill="FFFFFF"/>
        </w:rPr>
      </w:pPr>
      <w:r w:rsidRPr="00F776CE">
        <w:rPr>
          <w:rFonts w:cs="Arial"/>
          <w:color w:val="252525"/>
          <w:shd w:val="clear" w:color="auto" w:fill="FFFFFF"/>
        </w:rPr>
        <w:t xml:space="preserve">The </w:t>
      </w:r>
      <w:r w:rsidR="00EE0175" w:rsidRPr="00F776CE">
        <w:rPr>
          <w:rFonts w:cs="Arial"/>
          <w:color w:val="252525"/>
          <w:shd w:val="clear" w:color="auto" w:fill="FFFFFF"/>
        </w:rPr>
        <w:t xml:space="preserve">new projection uses </w:t>
      </w:r>
      <w:r w:rsidR="0091670B" w:rsidRPr="00F776CE">
        <w:rPr>
          <w:rFonts w:cs="Arial"/>
          <w:color w:val="252525"/>
          <w:shd w:val="clear" w:color="auto" w:fill="FFFFFF"/>
        </w:rPr>
        <w:t>previous</w:t>
      </w:r>
      <w:r w:rsidR="00EE0175" w:rsidRPr="00F776CE">
        <w:rPr>
          <w:rFonts w:cs="Arial"/>
          <w:color w:val="252525"/>
          <w:shd w:val="clear" w:color="auto" w:fill="FFFFFF"/>
        </w:rPr>
        <w:t xml:space="preserve"> </w:t>
      </w:r>
      <w:r w:rsidRPr="00F776CE">
        <w:rPr>
          <w:rFonts w:cs="Arial"/>
          <w:color w:val="252525"/>
          <w:shd w:val="clear" w:color="auto" w:fill="FFFFFF"/>
        </w:rPr>
        <w:t>methodology</w:t>
      </w:r>
      <w:r w:rsidR="00EE0175" w:rsidRPr="00F776CE">
        <w:rPr>
          <w:rFonts w:cs="Arial"/>
          <w:color w:val="252525"/>
          <w:shd w:val="clear" w:color="auto" w:fill="FFFFFF"/>
        </w:rPr>
        <w:t>.  A</w:t>
      </w:r>
      <w:r w:rsidRPr="00F776CE">
        <w:rPr>
          <w:rFonts w:cs="Arial"/>
          <w:color w:val="252525"/>
          <w:shd w:val="clear" w:color="auto" w:fill="FFFFFF"/>
        </w:rPr>
        <w:t xml:space="preserve"> very long time series</w:t>
      </w:r>
      <w:r w:rsidR="003D33C3" w:rsidRPr="00F776CE">
        <w:rPr>
          <w:rFonts w:cs="Arial"/>
          <w:color w:val="252525"/>
          <w:shd w:val="clear" w:color="auto" w:fill="FFFFFF"/>
        </w:rPr>
        <w:t xml:space="preserve"> </w:t>
      </w:r>
      <w:r w:rsidR="008C6E19" w:rsidRPr="00F776CE">
        <w:rPr>
          <w:rFonts w:cs="Arial"/>
          <w:color w:val="252525"/>
          <w:shd w:val="clear" w:color="auto" w:fill="FFFFFF"/>
        </w:rPr>
        <w:t xml:space="preserve">seems to </w:t>
      </w:r>
      <w:r w:rsidR="004B5957" w:rsidRPr="00F776CE">
        <w:rPr>
          <w:rFonts w:cs="Arial"/>
          <w:color w:val="252525"/>
          <w:shd w:val="clear" w:color="auto" w:fill="FFFFFF"/>
        </w:rPr>
        <w:t>breathe new life into</w:t>
      </w:r>
      <w:r w:rsidR="003D33C3" w:rsidRPr="00F776CE">
        <w:rPr>
          <w:rFonts w:cs="Arial"/>
          <w:color w:val="252525"/>
          <w:shd w:val="clear" w:color="auto" w:fill="FFFFFF"/>
        </w:rPr>
        <w:t xml:space="preserve"> </w:t>
      </w:r>
      <w:r w:rsidR="008C6E19" w:rsidRPr="00F776CE">
        <w:rPr>
          <w:rFonts w:cs="Arial"/>
          <w:color w:val="252525"/>
          <w:shd w:val="clear" w:color="auto" w:fill="FFFFFF"/>
        </w:rPr>
        <w:t>traffic growth</w:t>
      </w:r>
      <w:r w:rsidR="0091670B" w:rsidRPr="00F776CE">
        <w:rPr>
          <w:rFonts w:cs="Arial"/>
          <w:color w:val="252525"/>
          <w:shd w:val="clear" w:color="auto" w:fill="FFFFFF"/>
        </w:rPr>
        <w:t xml:space="preserve">.  </w:t>
      </w:r>
      <w:r w:rsidR="002122F0" w:rsidRPr="00F776CE">
        <w:rPr>
          <w:rFonts w:cs="Arial"/>
          <w:color w:val="252525"/>
          <w:shd w:val="clear" w:color="auto" w:fill="FFFFFF"/>
        </w:rPr>
        <w:t xml:space="preserve">Another way of looking at the future is to consider what happened in an equivalent </w:t>
      </w:r>
      <w:r w:rsidR="00A21F28">
        <w:rPr>
          <w:rFonts w:cs="Arial"/>
          <w:color w:val="252525"/>
          <w:shd w:val="clear" w:color="auto" w:fill="FFFFFF"/>
        </w:rPr>
        <w:t>duration</w:t>
      </w:r>
      <w:r w:rsidR="002122F0" w:rsidRPr="00F776CE">
        <w:rPr>
          <w:rFonts w:cs="Arial"/>
          <w:color w:val="252525"/>
          <w:shd w:val="clear" w:color="auto" w:fill="FFFFFF"/>
        </w:rPr>
        <w:t>; Figure 3.</w:t>
      </w:r>
      <w:r w:rsidR="008C6E19" w:rsidRPr="00F776CE">
        <w:rPr>
          <w:rFonts w:cs="Arial"/>
          <w:color w:val="252525"/>
          <w:shd w:val="clear" w:color="auto" w:fill="FFFFFF"/>
        </w:rPr>
        <w:t xml:space="preserve"> </w:t>
      </w:r>
    </w:p>
    <w:p w:rsidR="003045B2" w:rsidRPr="00F776CE" w:rsidRDefault="00381D2E" w:rsidP="00F776CE">
      <w:pPr>
        <w:spacing w:after="0"/>
        <w:rPr>
          <w:rFonts w:cs="Arial"/>
          <w:b/>
          <w:color w:val="252525"/>
          <w:shd w:val="clear" w:color="auto" w:fill="FFFFFF"/>
        </w:rPr>
      </w:pPr>
      <w:r w:rsidRPr="00F776CE">
        <w:rPr>
          <w:noProof/>
          <w:lang w:eastAsia="en-GB"/>
        </w:rPr>
        <w:lastRenderedPageBreak/>
        <w:drawing>
          <wp:anchor distT="0" distB="0" distL="114300" distR="114300" simplePos="0" relativeHeight="251659264" behindDoc="0" locked="0" layoutInCell="1" allowOverlap="1" wp14:anchorId="5DF94337" wp14:editId="3E9482E7">
            <wp:simplePos x="0" y="0"/>
            <wp:positionH relativeFrom="margin">
              <wp:align>left</wp:align>
            </wp:positionH>
            <wp:positionV relativeFrom="paragraph">
              <wp:posOffset>286385</wp:posOffset>
            </wp:positionV>
            <wp:extent cx="5462905" cy="2613660"/>
            <wp:effectExtent l="0" t="0" r="4445" b="152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CD3021" w:rsidRPr="00F776CE">
        <w:rPr>
          <w:rFonts w:cs="Arial"/>
          <w:b/>
          <w:color w:val="252525"/>
          <w:shd w:val="clear" w:color="auto" w:fill="FFFFFF"/>
        </w:rPr>
        <w:t xml:space="preserve">Figure </w:t>
      </w:r>
      <w:r w:rsidR="0091670B" w:rsidRPr="00F776CE">
        <w:rPr>
          <w:rFonts w:cs="Arial"/>
          <w:b/>
          <w:color w:val="252525"/>
          <w:shd w:val="clear" w:color="auto" w:fill="FFFFFF"/>
        </w:rPr>
        <w:t>3</w:t>
      </w:r>
      <w:r w:rsidR="003045B2" w:rsidRPr="00F776CE">
        <w:rPr>
          <w:rFonts w:cs="Arial"/>
          <w:b/>
          <w:color w:val="252525"/>
          <w:shd w:val="clear" w:color="auto" w:fill="FFFFFF"/>
        </w:rPr>
        <w:t>:</w:t>
      </w:r>
      <w:r w:rsidR="00CF7443" w:rsidRPr="00F776CE">
        <w:rPr>
          <w:rFonts w:cs="Arial"/>
          <w:b/>
          <w:color w:val="252525"/>
          <w:shd w:val="clear" w:color="auto" w:fill="FFFFFF"/>
        </w:rPr>
        <w:t xml:space="preserve"> Bureau traffic growth rate last 15 years, </w:t>
      </w:r>
      <w:r w:rsidR="00450CC0" w:rsidRPr="00F776CE">
        <w:rPr>
          <w:rFonts w:cs="Arial"/>
          <w:b/>
          <w:color w:val="252525"/>
          <w:shd w:val="clear" w:color="auto" w:fill="FFFFFF"/>
        </w:rPr>
        <w:t xml:space="preserve">projection for </w:t>
      </w:r>
      <w:r w:rsidR="00CF7443" w:rsidRPr="00F776CE">
        <w:rPr>
          <w:rFonts w:cs="Arial"/>
          <w:b/>
          <w:color w:val="252525"/>
          <w:shd w:val="clear" w:color="auto" w:fill="FFFFFF"/>
        </w:rPr>
        <w:t>next 15 years</w:t>
      </w:r>
    </w:p>
    <w:p w:rsidR="004B7D68" w:rsidRDefault="004B7D68" w:rsidP="00F776CE">
      <w:pPr>
        <w:spacing w:after="0"/>
        <w:rPr>
          <w:rFonts w:cs="Arial"/>
          <w:color w:val="252525"/>
          <w:shd w:val="clear" w:color="auto" w:fill="FFFFFF"/>
        </w:rPr>
      </w:pPr>
    </w:p>
    <w:p w:rsidR="006B3382" w:rsidRPr="00F776CE" w:rsidRDefault="00CD3021" w:rsidP="00F776CE">
      <w:pPr>
        <w:spacing w:after="0"/>
        <w:rPr>
          <w:rFonts w:cs="Arial"/>
          <w:color w:val="252525"/>
          <w:shd w:val="clear" w:color="auto" w:fill="FFFFFF"/>
        </w:rPr>
      </w:pPr>
      <w:r w:rsidRPr="00F776CE">
        <w:rPr>
          <w:rFonts w:cs="Arial"/>
          <w:color w:val="252525"/>
          <w:shd w:val="clear" w:color="auto" w:fill="FFFFFF"/>
        </w:rPr>
        <w:t xml:space="preserve">Figure </w:t>
      </w:r>
      <w:r w:rsidR="00417CC2" w:rsidRPr="00F776CE">
        <w:rPr>
          <w:rFonts w:cs="Arial"/>
          <w:color w:val="252525"/>
          <w:shd w:val="clear" w:color="auto" w:fill="FFFFFF"/>
        </w:rPr>
        <w:t>3</w:t>
      </w:r>
      <w:r w:rsidR="00A978CF" w:rsidRPr="00F776CE">
        <w:rPr>
          <w:rFonts w:cs="Arial"/>
          <w:color w:val="252525"/>
          <w:shd w:val="clear" w:color="auto" w:fill="FFFFFF"/>
        </w:rPr>
        <w:t xml:space="preserve"> </w:t>
      </w:r>
      <w:r w:rsidR="006D04FF" w:rsidRPr="00F776CE">
        <w:rPr>
          <w:rFonts w:cs="Arial"/>
          <w:color w:val="252525"/>
          <w:shd w:val="clear" w:color="auto" w:fill="FFFFFF"/>
        </w:rPr>
        <w:t>implies</w:t>
      </w:r>
      <w:r w:rsidR="00A978CF" w:rsidRPr="00F776CE">
        <w:rPr>
          <w:rFonts w:cs="Arial"/>
          <w:color w:val="252525"/>
          <w:shd w:val="clear" w:color="auto" w:fill="FFFFFF"/>
        </w:rPr>
        <w:t xml:space="preserve"> the Bureau </w:t>
      </w:r>
      <w:r w:rsidR="006D04FF" w:rsidRPr="00F776CE">
        <w:rPr>
          <w:rFonts w:cs="Arial"/>
          <w:color w:val="252525"/>
          <w:shd w:val="clear" w:color="auto" w:fill="FFFFFF"/>
        </w:rPr>
        <w:t>considers</w:t>
      </w:r>
      <w:r w:rsidR="00A978CF" w:rsidRPr="00F776CE">
        <w:rPr>
          <w:rFonts w:cs="Arial"/>
          <w:color w:val="252525"/>
          <w:shd w:val="clear" w:color="auto" w:fill="FFFFFF"/>
        </w:rPr>
        <w:t xml:space="preserve"> the last 15 years to be a</w:t>
      </w:r>
      <w:r w:rsidR="00AF0D20" w:rsidRPr="00F776CE">
        <w:rPr>
          <w:rFonts w:cs="Arial"/>
          <w:color w:val="252525"/>
          <w:shd w:val="clear" w:color="auto" w:fill="FFFFFF"/>
        </w:rPr>
        <w:t>n</w:t>
      </w:r>
      <w:r w:rsidR="00A978CF" w:rsidRPr="00F776CE">
        <w:rPr>
          <w:rFonts w:cs="Arial"/>
          <w:color w:val="252525"/>
          <w:shd w:val="clear" w:color="auto" w:fill="FFFFFF"/>
        </w:rPr>
        <w:t xml:space="preserve"> aberration</w:t>
      </w:r>
      <w:r w:rsidR="00CC737F" w:rsidRPr="00F776CE">
        <w:rPr>
          <w:rFonts w:cs="Arial"/>
          <w:color w:val="252525"/>
          <w:shd w:val="clear" w:color="auto" w:fill="FFFFFF"/>
        </w:rPr>
        <w:t>.</w:t>
      </w:r>
      <w:r w:rsidR="00417CC2" w:rsidRPr="00F776CE">
        <w:rPr>
          <w:rFonts w:cs="Arial"/>
          <w:color w:val="252525"/>
          <w:shd w:val="clear" w:color="auto" w:fill="FFFFFF"/>
        </w:rPr>
        <w:t xml:space="preserve">  </w:t>
      </w:r>
      <w:r w:rsidR="00A978CF" w:rsidRPr="00F776CE">
        <w:rPr>
          <w:rFonts w:cs="Arial"/>
          <w:color w:val="252525"/>
          <w:shd w:val="clear" w:color="auto" w:fill="FFFFFF"/>
        </w:rPr>
        <w:t>The offered reason</w:t>
      </w:r>
      <w:r w:rsidR="00CC397F" w:rsidRPr="00F776CE">
        <w:rPr>
          <w:rFonts w:cs="Arial"/>
          <w:color w:val="252525"/>
          <w:shd w:val="clear" w:color="auto" w:fill="FFFFFF"/>
        </w:rPr>
        <w:t>;</w:t>
      </w:r>
      <w:r w:rsidR="00A978CF" w:rsidRPr="00F776CE">
        <w:rPr>
          <w:rFonts w:cs="Arial"/>
          <w:color w:val="252525"/>
          <w:shd w:val="clear" w:color="auto" w:fill="FFFFFF"/>
        </w:rPr>
        <w:t xml:space="preserve"> a return to </w:t>
      </w:r>
      <w:r w:rsidR="00CF7443" w:rsidRPr="00F776CE">
        <w:rPr>
          <w:rFonts w:cs="Arial"/>
          <w:color w:val="252525"/>
          <w:shd w:val="clear" w:color="auto" w:fill="FFFFFF"/>
        </w:rPr>
        <w:t>‘</w:t>
      </w:r>
      <w:r w:rsidR="00A978CF" w:rsidRPr="00F776CE">
        <w:rPr>
          <w:rFonts w:cs="Arial"/>
          <w:color w:val="252525"/>
          <w:shd w:val="clear" w:color="auto" w:fill="FFFFFF"/>
        </w:rPr>
        <w:t>trend</w:t>
      </w:r>
      <w:r w:rsidR="00CF7443" w:rsidRPr="00F776CE">
        <w:rPr>
          <w:rFonts w:cs="Arial"/>
          <w:color w:val="252525"/>
          <w:shd w:val="clear" w:color="auto" w:fill="FFFFFF"/>
        </w:rPr>
        <w:t>’</w:t>
      </w:r>
      <w:r w:rsidR="00AF0D20" w:rsidRPr="00F776CE">
        <w:rPr>
          <w:rFonts w:cs="Arial"/>
          <w:color w:val="252525"/>
          <w:shd w:val="clear" w:color="auto" w:fill="FFFFFF"/>
        </w:rPr>
        <w:t xml:space="preserve">.  </w:t>
      </w:r>
      <w:r w:rsidRPr="00F776CE">
        <w:rPr>
          <w:rFonts w:cs="Arial"/>
          <w:color w:val="252525"/>
          <w:shd w:val="clear" w:color="auto" w:fill="FFFFFF"/>
        </w:rPr>
        <w:t>A</w:t>
      </w:r>
      <w:r w:rsidR="00A978CF" w:rsidRPr="00F776CE">
        <w:rPr>
          <w:rFonts w:cs="Arial"/>
          <w:color w:val="252525"/>
          <w:shd w:val="clear" w:color="auto" w:fill="FFFFFF"/>
        </w:rPr>
        <w:t xml:space="preserve"> trend </w:t>
      </w:r>
      <w:r w:rsidRPr="00F776CE">
        <w:rPr>
          <w:rFonts w:cs="Arial"/>
          <w:color w:val="252525"/>
          <w:shd w:val="clear" w:color="auto" w:fill="FFFFFF"/>
        </w:rPr>
        <w:t xml:space="preserve">that </w:t>
      </w:r>
      <w:r w:rsidR="00A978CF" w:rsidRPr="00F776CE">
        <w:rPr>
          <w:rFonts w:cs="Arial"/>
          <w:color w:val="252525"/>
          <w:shd w:val="clear" w:color="auto" w:fill="FFFFFF"/>
        </w:rPr>
        <w:t>disappear</w:t>
      </w:r>
      <w:r w:rsidR="00CF7443" w:rsidRPr="00F776CE">
        <w:rPr>
          <w:rFonts w:cs="Arial"/>
          <w:color w:val="252525"/>
          <w:shd w:val="clear" w:color="auto" w:fill="FFFFFF"/>
        </w:rPr>
        <w:t>ed</w:t>
      </w:r>
      <w:r w:rsidR="00417CC2" w:rsidRPr="00F776CE">
        <w:rPr>
          <w:rFonts w:cs="Arial"/>
          <w:color w:val="252525"/>
          <w:shd w:val="clear" w:color="auto" w:fill="FFFFFF"/>
        </w:rPr>
        <w:t xml:space="preserve"> at least a decade bef</w:t>
      </w:r>
      <w:r w:rsidR="00A21F28">
        <w:rPr>
          <w:rFonts w:cs="Arial"/>
          <w:color w:val="252525"/>
          <w:shd w:val="clear" w:color="auto" w:fill="FFFFFF"/>
        </w:rPr>
        <w:t>ore the Global Financial Crisis?</w:t>
      </w:r>
      <w:r w:rsidR="00417CC2" w:rsidRPr="00F776CE">
        <w:rPr>
          <w:rStyle w:val="EndnoteReference"/>
          <w:rFonts w:cs="Arial"/>
          <w:color w:val="252525"/>
          <w:shd w:val="clear" w:color="auto" w:fill="FFFFFF"/>
        </w:rPr>
        <w:endnoteReference w:id="12"/>
      </w:r>
      <w:r w:rsidRPr="00F776CE">
        <w:rPr>
          <w:rFonts w:cs="Arial"/>
          <w:color w:val="252525"/>
          <w:shd w:val="clear" w:color="auto" w:fill="FFFFFF"/>
        </w:rPr>
        <w:t xml:space="preserve">  </w:t>
      </w:r>
    </w:p>
    <w:p w:rsidR="00BB6096" w:rsidRPr="00F776CE" w:rsidRDefault="00BB6096" w:rsidP="00F776CE">
      <w:pPr>
        <w:spacing w:after="0"/>
        <w:rPr>
          <w:rFonts w:cs="Arial"/>
          <w:color w:val="252525"/>
          <w:shd w:val="clear" w:color="auto" w:fill="FFFFFF"/>
        </w:rPr>
      </w:pPr>
    </w:p>
    <w:p w:rsidR="00C1127A" w:rsidRDefault="006B3382" w:rsidP="00F776CE">
      <w:pPr>
        <w:spacing w:after="0"/>
        <w:rPr>
          <w:rFonts w:cs="Arial"/>
          <w:color w:val="252525"/>
          <w:shd w:val="clear" w:color="auto" w:fill="FFFFFF"/>
        </w:rPr>
      </w:pPr>
      <w:r w:rsidRPr="00F776CE">
        <w:rPr>
          <w:rFonts w:cs="Arial"/>
          <w:color w:val="252525"/>
          <w:shd w:val="clear" w:color="auto" w:fill="FFFFFF"/>
        </w:rPr>
        <w:t xml:space="preserve">The projection implies an upward trend over </w:t>
      </w:r>
      <w:r w:rsidR="00F43E3D" w:rsidRPr="00F776CE">
        <w:rPr>
          <w:rFonts w:cs="Arial"/>
          <w:color w:val="252525"/>
          <w:shd w:val="clear" w:color="auto" w:fill="FFFFFF"/>
        </w:rPr>
        <w:t>the last 15 and next 15</w:t>
      </w:r>
      <w:r w:rsidRPr="00F776CE">
        <w:rPr>
          <w:rFonts w:cs="Arial"/>
          <w:color w:val="252525"/>
          <w:shd w:val="clear" w:color="auto" w:fill="FFFFFF"/>
        </w:rPr>
        <w:t xml:space="preserve"> years</w:t>
      </w:r>
      <w:r w:rsidR="00450CC0" w:rsidRPr="00F776CE">
        <w:rPr>
          <w:rFonts w:cs="Arial"/>
          <w:color w:val="252525"/>
          <w:shd w:val="clear" w:color="auto" w:fill="FFFFFF"/>
        </w:rPr>
        <w:t xml:space="preserve"> </w:t>
      </w:r>
      <w:r w:rsidR="00C1127A" w:rsidRPr="00F776CE">
        <w:rPr>
          <w:rFonts w:cs="Arial"/>
          <w:color w:val="252525"/>
          <w:shd w:val="clear" w:color="auto" w:fill="FFFFFF"/>
        </w:rPr>
        <w:t xml:space="preserve">  Hmmm.</w:t>
      </w:r>
      <w:r w:rsidR="00417CC2" w:rsidRPr="00F776CE">
        <w:rPr>
          <w:rStyle w:val="EndnoteReference"/>
          <w:rFonts w:cs="Arial"/>
          <w:color w:val="252525"/>
          <w:shd w:val="clear" w:color="auto" w:fill="FFFFFF"/>
        </w:rPr>
        <w:endnoteReference w:id="13"/>
      </w:r>
    </w:p>
    <w:p w:rsidR="00F776CE" w:rsidRPr="00F776CE" w:rsidRDefault="00F776CE" w:rsidP="00F776CE">
      <w:pPr>
        <w:spacing w:after="0"/>
        <w:rPr>
          <w:rFonts w:cs="Arial"/>
          <w:color w:val="252525"/>
          <w:shd w:val="clear" w:color="auto" w:fill="FFFFFF"/>
        </w:rPr>
      </w:pPr>
    </w:p>
    <w:p w:rsidR="006D04FF" w:rsidRPr="00F776CE" w:rsidRDefault="00BF0466" w:rsidP="00F776CE">
      <w:pPr>
        <w:pStyle w:val="Heading2"/>
        <w:spacing w:before="0"/>
        <w:rPr>
          <w:rFonts w:asciiTheme="minorHAnsi" w:hAnsiTheme="minorHAnsi"/>
          <w:sz w:val="24"/>
          <w:szCs w:val="24"/>
          <w:shd w:val="clear" w:color="auto" w:fill="FFFFFF"/>
        </w:rPr>
      </w:pPr>
      <w:r w:rsidRPr="00F776CE">
        <w:rPr>
          <w:rFonts w:asciiTheme="minorHAnsi" w:hAnsiTheme="minorHAnsi"/>
          <w:sz w:val="24"/>
          <w:szCs w:val="24"/>
          <w:shd w:val="clear" w:color="auto" w:fill="FFFFFF"/>
        </w:rPr>
        <w:t xml:space="preserve">The smile on </w:t>
      </w:r>
      <w:r w:rsidR="006D04FF" w:rsidRPr="00F776CE">
        <w:rPr>
          <w:rFonts w:asciiTheme="minorHAnsi" w:hAnsiTheme="minorHAnsi"/>
          <w:sz w:val="24"/>
          <w:szCs w:val="24"/>
          <w:shd w:val="clear" w:color="auto" w:fill="FFFFFF"/>
        </w:rPr>
        <w:t>Santa</w:t>
      </w:r>
      <w:r w:rsidRPr="00F776CE">
        <w:rPr>
          <w:rFonts w:asciiTheme="minorHAnsi" w:hAnsiTheme="minorHAnsi"/>
          <w:sz w:val="24"/>
          <w:szCs w:val="24"/>
          <w:shd w:val="clear" w:color="auto" w:fill="FFFFFF"/>
        </w:rPr>
        <w:t>’s face</w:t>
      </w:r>
      <w:r w:rsidR="006D04FF" w:rsidRPr="00F776CE">
        <w:rPr>
          <w:rFonts w:asciiTheme="minorHAnsi" w:hAnsiTheme="minorHAnsi"/>
          <w:sz w:val="24"/>
          <w:szCs w:val="24"/>
          <w:shd w:val="clear" w:color="auto" w:fill="FFFFFF"/>
        </w:rPr>
        <w:t xml:space="preserve"> (3)?</w:t>
      </w:r>
    </w:p>
    <w:p w:rsidR="00BF0466" w:rsidRDefault="00381D2E" w:rsidP="00F776CE">
      <w:pPr>
        <w:spacing w:after="0"/>
        <w:rPr>
          <w:rFonts w:cs="Arial"/>
          <w:color w:val="252525"/>
          <w:shd w:val="clear" w:color="auto" w:fill="FFFFFF"/>
        </w:rPr>
      </w:pPr>
      <w:r w:rsidRPr="00F776CE">
        <w:rPr>
          <w:rFonts w:cs="Arial"/>
          <w:color w:val="252525"/>
          <w:shd w:val="clear" w:color="auto" w:fill="FFFFFF"/>
        </w:rPr>
        <w:t>The</w:t>
      </w:r>
      <w:r w:rsidR="00A548B5" w:rsidRPr="00F776CE">
        <w:rPr>
          <w:rFonts w:cs="Arial"/>
          <w:color w:val="252525"/>
          <w:shd w:val="clear" w:color="auto" w:fill="FFFFFF"/>
        </w:rPr>
        <w:t xml:space="preserve"> commentators </w:t>
      </w:r>
      <w:r w:rsidRPr="00F776CE">
        <w:rPr>
          <w:rFonts w:cs="Arial"/>
          <w:color w:val="252525"/>
          <w:shd w:val="clear" w:color="auto" w:fill="FFFFFF"/>
        </w:rPr>
        <w:t>view</w:t>
      </w:r>
      <w:r w:rsidR="00A548B5" w:rsidRPr="00F776CE">
        <w:rPr>
          <w:rFonts w:cs="Arial"/>
          <w:color w:val="252525"/>
          <w:shd w:val="clear" w:color="auto" w:fill="FFFFFF"/>
        </w:rPr>
        <w:t>?</w:t>
      </w:r>
      <w:r w:rsidR="00A31D11" w:rsidRPr="00F776CE">
        <w:rPr>
          <w:rFonts w:cs="Arial"/>
          <w:color w:val="252525"/>
          <w:shd w:val="clear" w:color="auto" w:fill="FFFFFF"/>
        </w:rPr>
        <w:t xml:space="preserve">  </w:t>
      </w:r>
      <w:r w:rsidR="00A548B5" w:rsidRPr="00F776CE">
        <w:rPr>
          <w:rFonts w:cs="Arial"/>
          <w:color w:val="252525"/>
          <w:shd w:val="clear" w:color="auto" w:fill="FFFFFF"/>
        </w:rPr>
        <w:t xml:space="preserve">Not </w:t>
      </w:r>
      <w:r w:rsidR="00B52F2C" w:rsidRPr="00F776CE">
        <w:rPr>
          <w:rFonts w:cs="Arial"/>
          <w:color w:val="252525"/>
          <w:shd w:val="clear" w:color="auto" w:fill="FFFFFF"/>
        </w:rPr>
        <w:t>too much about</w:t>
      </w:r>
      <w:r w:rsidR="00A548B5" w:rsidRPr="00F776CE">
        <w:rPr>
          <w:rFonts w:cs="Arial"/>
          <w:color w:val="252525"/>
          <w:shd w:val="clear" w:color="auto" w:fill="FFFFFF"/>
        </w:rPr>
        <w:t xml:space="preserve"> the Bureau’s number </w:t>
      </w:r>
      <w:r w:rsidR="00B52F2C" w:rsidRPr="00F776CE">
        <w:rPr>
          <w:rFonts w:cs="Arial"/>
          <w:color w:val="252525"/>
          <w:shd w:val="clear" w:color="auto" w:fill="FFFFFF"/>
        </w:rPr>
        <w:t>being</w:t>
      </w:r>
      <w:r w:rsidR="00A548B5" w:rsidRPr="00F776CE">
        <w:rPr>
          <w:rFonts w:cs="Arial"/>
          <w:color w:val="252525"/>
          <w:shd w:val="clear" w:color="auto" w:fill="FFFFFF"/>
        </w:rPr>
        <w:t xml:space="preserve"> </w:t>
      </w:r>
      <w:r w:rsidRPr="00F776CE">
        <w:rPr>
          <w:rFonts w:cs="Arial"/>
          <w:color w:val="252525"/>
          <w:shd w:val="clear" w:color="auto" w:fill="FFFFFF"/>
        </w:rPr>
        <w:t>vastly</w:t>
      </w:r>
      <w:r w:rsidR="00A548B5" w:rsidRPr="00F776CE">
        <w:rPr>
          <w:rFonts w:cs="Arial"/>
          <w:color w:val="252525"/>
          <w:shd w:val="clear" w:color="auto" w:fill="FFFFFF"/>
        </w:rPr>
        <w:t xml:space="preserve"> less than the one from Infrastructure Australia.</w:t>
      </w:r>
      <w:r w:rsidRPr="00F776CE">
        <w:rPr>
          <w:rFonts w:cs="Arial"/>
          <w:color w:val="252525"/>
          <w:shd w:val="clear" w:color="auto" w:fill="FFFFFF"/>
        </w:rPr>
        <w:t xml:space="preserve">  ‘Similar’ </w:t>
      </w:r>
      <w:r w:rsidR="00A21F28">
        <w:rPr>
          <w:rFonts w:cs="Arial"/>
          <w:color w:val="252525"/>
          <w:shd w:val="clear" w:color="auto" w:fill="FFFFFF"/>
        </w:rPr>
        <w:t>wa</w:t>
      </w:r>
      <w:r w:rsidRPr="00F776CE">
        <w:rPr>
          <w:rFonts w:cs="Arial"/>
          <w:color w:val="252525"/>
          <w:shd w:val="clear" w:color="auto" w:fill="FFFFFF"/>
        </w:rPr>
        <w:t>s one word used</w:t>
      </w:r>
      <w:r w:rsidR="004D0AA2" w:rsidRPr="00F776CE">
        <w:rPr>
          <w:rFonts w:cs="Arial"/>
          <w:color w:val="252525"/>
          <w:shd w:val="clear" w:color="auto" w:fill="FFFFFF"/>
        </w:rPr>
        <w:t xml:space="preserve"> for the ‘alarming figures’ from the Bureau and Infrastructure Australia</w:t>
      </w:r>
      <w:r w:rsidRPr="00F776CE">
        <w:rPr>
          <w:rFonts w:cs="Arial"/>
          <w:color w:val="252525"/>
          <w:shd w:val="clear" w:color="auto" w:fill="FFFFFF"/>
        </w:rPr>
        <w:t>.</w:t>
      </w:r>
      <w:r w:rsidR="00450CC0" w:rsidRPr="00F776CE">
        <w:rPr>
          <w:rStyle w:val="EndnoteReference"/>
          <w:rFonts w:cs="Arial"/>
          <w:color w:val="252525"/>
          <w:shd w:val="clear" w:color="auto" w:fill="FFFFFF"/>
        </w:rPr>
        <w:endnoteReference w:id="14"/>
      </w:r>
      <w:r w:rsidR="00A548B5"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B52F2C" w:rsidRDefault="00A548B5" w:rsidP="00F776CE">
      <w:pPr>
        <w:spacing w:after="0"/>
        <w:rPr>
          <w:rFonts w:cs="Arial"/>
          <w:color w:val="252525"/>
          <w:shd w:val="clear" w:color="auto" w:fill="FFFFFF"/>
        </w:rPr>
      </w:pPr>
      <w:r w:rsidRPr="00F776CE">
        <w:rPr>
          <w:rFonts w:cs="Arial"/>
          <w:color w:val="252525"/>
          <w:shd w:val="clear" w:color="auto" w:fill="FFFFFF"/>
        </w:rPr>
        <w:t xml:space="preserve">Seriously? </w:t>
      </w:r>
      <w:r w:rsidR="001C4783" w:rsidRPr="00F776CE">
        <w:rPr>
          <w:rFonts w:cs="Arial"/>
          <w:color w:val="252525"/>
          <w:shd w:val="clear" w:color="auto" w:fill="FFFFFF"/>
        </w:rPr>
        <w:t xml:space="preserve"> </w:t>
      </w:r>
      <w:r w:rsidR="004B7D68">
        <w:rPr>
          <w:rFonts w:cs="Arial"/>
          <w:color w:val="252525"/>
          <w:shd w:val="clear" w:color="auto" w:fill="FFFFFF"/>
        </w:rPr>
        <w:t>Where, other than the roads sector, would it be claimed that $30bn is similar to $53bn?</w:t>
      </w:r>
      <w:r w:rsidR="00A21F28">
        <w:rPr>
          <w:rFonts w:cs="Arial"/>
          <w:color w:val="252525"/>
          <w:shd w:val="clear" w:color="auto" w:fill="FFFFFF"/>
        </w:rPr>
        <w:t xml:space="preserve">  </w:t>
      </w:r>
      <w:r w:rsidR="00A21F28" w:rsidRPr="00F776CE">
        <w:rPr>
          <w:rFonts w:cs="Arial"/>
          <w:color w:val="252525"/>
          <w:shd w:val="clear" w:color="auto" w:fill="FFFFFF"/>
        </w:rPr>
        <w:t xml:space="preserve">How often is a gap of $23bn overlooked or dismissed?  </w:t>
      </w:r>
    </w:p>
    <w:p w:rsidR="00F776CE" w:rsidRPr="00F776CE" w:rsidRDefault="00F776CE" w:rsidP="00F776CE">
      <w:pPr>
        <w:spacing w:after="0"/>
        <w:rPr>
          <w:rFonts w:cs="Arial"/>
          <w:color w:val="252525"/>
          <w:shd w:val="clear" w:color="auto" w:fill="FFFFFF"/>
        </w:rPr>
      </w:pPr>
    </w:p>
    <w:p w:rsidR="00A9362B" w:rsidRDefault="004D0AA2" w:rsidP="00F776CE">
      <w:pPr>
        <w:spacing w:after="0"/>
        <w:rPr>
          <w:rFonts w:cs="Arial"/>
          <w:color w:val="252525"/>
          <w:shd w:val="clear" w:color="auto" w:fill="FFFFFF"/>
        </w:rPr>
      </w:pPr>
      <w:r w:rsidRPr="00F776CE">
        <w:rPr>
          <w:rFonts w:cs="Arial"/>
          <w:color w:val="252525"/>
          <w:shd w:val="clear" w:color="auto" w:fill="FFFFFF"/>
        </w:rPr>
        <w:t xml:space="preserve">Could </w:t>
      </w:r>
      <w:r w:rsidR="004B7D68">
        <w:rPr>
          <w:rFonts w:cs="Arial"/>
          <w:color w:val="252525"/>
          <w:shd w:val="clear" w:color="auto" w:fill="FFFFFF"/>
        </w:rPr>
        <w:t>reasonable ‘</w:t>
      </w:r>
      <w:r w:rsidRPr="00F776CE">
        <w:rPr>
          <w:rFonts w:cs="Arial"/>
          <w:color w:val="252525"/>
          <w:shd w:val="clear" w:color="auto" w:fill="FFFFFF"/>
        </w:rPr>
        <w:t>analysis</w:t>
      </w:r>
      <w:r w:rsidR="004B7D68">
        <w:rPr>
          <w:rFonts w:cs="Arial"/>
          <w:color w:val="252525"/>
          <w:shd w:val="clear" w:color="auto" w:fill="FFFFFF"/>
        </w:rPr>
        <w:t>’</w:t>
      </w:r>
      <w:r w:rsidR="00B52F2C" w:rsidRPr="00F776CE">
        <w:rPr>
          <w:rFonts w:cs="Arial"/>
          <w:color w:val="252525"/>
          <w:shd w:val="clear" w:color="auto" w:fill="FFFFFF"/>
        </w:rPr>
        <w:t xml:space="preserve"> hold that </w:t>
      </w:r>
      <w:r w:rsidR="00A9362B" w:rsidRPr="00F776CE">
        <w:rPr>
          <w:rFonts w:cs="Arial"/>
          <w:color w:val="252525"/>
          <w:shd w:val="clear" w:color="auto" w:fill="FFFFFF"/>
        </w:rPr>
        <w:t xml:space="preserve">figure 1 is </w:t>
      </w:r>
      <w:r w:rsidR="00B52F2C" w:rsidRPr="00F776CE">
        <w:rPr>
          <w:rFonts w:cs="Arial"/>
          <w:color w:val="252525"/>
          <w:shd w:val="clear" w:color="auto" w:fill="FFFFFF"/>
        </w:rPr>
        <w:t>credible</w:t>
      </w:r>
      <w:r w:rsidR="00A9362B" w:rsidRPr="00F776CE">
        <w:rPr>
          <w:rFonts w:cs="Arial"/>
          <w:color w:val="252525"/>
          <w:shd w:val="clear" w:color="auto" w:fill="FFFFFF"/>
        </w:rPr>
        <w:t xml:space="preserve"> and makes sense</w:t>
      </w:r>
      <w:r w:rsidRPr="00F776CE">
        <w:rPr>
          <w:rFonts w:cs="Arial"/>
          <w:color w:val="252525"/>
          <w:shd w:val="clear" w:color="auto" w:fill="FFFFFF"/>
        </w:rPr>
        <w:t>?</w:t>
      </w:r>
      <w:r w:rsidR="00B0589F" w:rsidRPr="00F776CE">
        <w:rPr>
          <w:rFonts w:cs="Arial"/>
          <w:color w:val="252525"/>
          <w:shd w:val="clear" w:color="auto" w:fill="FFFFFF"/>
        </w:rPr>
        <w:t xml:space="preserve">  </w:t>
      </w:r>
      <w:r w:rsidRPr="00F776CE">
        <w:rPr>
          <w:rFonts w:cs="Arial"/>
          <w:color w:val="252525"/>
          <w:shd w:val="clear" w:color="auto" w:fill="FFFFFF"/>
        </w:rPr>
        <w:t>No.  I</w:t>
      </w:r>
      <w:r w:rsidR="00B52F2C" w:rsidRPr="00F776CE">
        <w:rPr>
          <w:rFonts w:cs="Arial"/>
          <w:color w:val="252525"/>
          <w:shd w:val="clear" w:color="auto" w:fill="FFFFFF"/>
        </w:rPr>
        <w:t xml:space="preserve">t is nonsense. It is included to show how easy it is to </w:t>
      </w:r>
      <w:r w:rsidR="00A21F28">
        <w:rPr>
          <w:rFonts w:cs="Arial"/>
          <w:color w:val="252525"/>
          <w:shd w:val="clear" w:color="auto" w:fill="FFFFFF"/>
        </w:rPr>
        <w:t xml:space="preserve">come up with silly ideas </w:t>
      </w:r>
      <w:r w:rsidR="00B26854" w:rsidRPr="00F776CE">
        <w:rPr>
          <w:rFonts w:cs="Arial"/>
          <w:color w:val="252525"/>
          <w:shd w:val="clear" w:color="auto" w:fill="FFFFFF"/>
        </w:rPr>
        <w:t>when in unthinking, zombie, mode.</w:t>
      </w:r>
      <w:r w:rsidR="00A9362B"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E4723E" w:rsidRPr="00F776CE" w:rsidRDefault="00C9034E" w:rsidP="00F776CE">
      <w:pPr>
        <w:pStyle w:val="Heading2"/>
        <w:spacing w:before="0"/>
        <w:rPr>
          <w:rFonts w:asciiTheme="minorHAnsi" w:hAnsiTheme="minorHAnsi"/>
          <w:sz w:val="24"/>
          <w:szCs w:val="24"/>
          <w:shd w:val="clear" w:color="auto" w:fill="FFFFFF"/>
        </w:rPr>
      </w:pPr>
      <w:r w:rsidRPr="00F776CE">
        <w:rPr>
          <w:rFonts w:asciiTheme="minorHAnsi" w:hAnsiTheme="minorHAnsi"/>
          <w:sz w:val="24"/>
          <w:szCs w:val="24"/>
          <w:shd w:val="clear" w:color="auto" w:fill="FFFFFF"/>
        </w:rPr>
        <w:t>Apocalypse now</w:t>
      </w:r>
      <w:r w:rsidR="00367AB1" w:rsidRPr="00F776CE">
        <w:rPr>
          <w:rFonts w:asciiTheme="minorHAnsi" w:hAnsiTheme="minorHAnsi"/>
          <w:sz w:val="24"/>
          <w:szCs w:val="24"/>
          <w:shd w:val="clear" w:color="auto" w:fill="FFFFFF"/>
        </w:rPr>
        <w:t>?</w:t>
      </w:r>
    </w:p>
    <w:p w:rsidR="00D24597" w:rsidRPr="00F776CE" w:rsidRDefault="00E4723E" w:rsidP="00F776CE">
      <w:pPr>
        <w:spacing w:after="0"/>
        <w:rPr>
          <w:rFonts w:cs="Arial"/>
          <w:color w:val="252525"/>
          <w:shd w:val="clear" w:color="auto" w:fill="FFFFFF"/>
        </w:rPr>
      </w:pPr>
      <w:r w:rsidRPr="00F776CE">
        <w:rPr>
          <w:rFonts w:cs="Arial"/>
          <w:color w:val="252525"/>
          <w:shd w:val="clear" w:color="auto" w:fill="FFFFFF"/>
        </w:rPr>
        <w:t xml:space="preserve">This article </w:t>
      </w:r>
      <w:r w:rsidR="00D24597" w:rsidRPr="00F776CE">
        <w:rPr>
          <w:rFonts w:cs="Arial"/>
          <w:color w:val="252525"/>
          <w:shd w:val="clear" w:color="auto" w:fill="FFFFFF"/>
        </w:rPr>
        <w:t>opened</w:t>
      </w:r>
      <w:r w:rsidRPr="00F776CE">
        <w:rPr>
          <w:rFonts w:cs="Arial"/>
          <w:color w:val="252525"/>
          <w:shd w:val="clear" w:color="auto" w:fill="FFFFFF"/>
        </w:rPr>
        <w:t xml:space="preserve"> with the </w:t>
      </w:r>
      <w:r w:rsidR="00B26854" w:rsidRPr="00F776CE">
        <w:rPr>
          <w:rFonts w:cs="Arial"/>
          <w:color w:val="252525"/>
          <w:shd w:val="clear" w:color="auto" w:fill="FFFFFF"/>
        </w:rPr>
        <w:t xml:space="preserve">silly </w:t>
      </w:r>
      <w:r w:rsidR="00B0589F" w:rsidRPr="00F776CE">
        <w:rPr>
          <w:rFonts w:cs="Arial"/>
          <w:color w:val="252525"/>
          <w:shd w:val="clear" w:color="auto" w:fill="FFFFFF"/>
        </w:rPr>
        <w:t>claim</w:t>
      </w:r>
      <w:r w:rsidRPr="00F776CE">
        <w:rPr>
          <w:rFonts w:cs="Arial"/>
          <w:color w:val="252525"/>
          <w:shd w:val="clear" w:color="auto" w:fill="FFFFFF"/>
        </w:rPr>
        <w:t xml:space="preserve"> of a zombie </w:t>
      </w:r>
      <w:r w:rsidR="00D24597" w:rsidRPr="00F776CE">
        <w:rPr>
          <w:rFonts w:cs="Arial"/>
          <w:color w:val="252525"/>
          <w:shd w:val="clear" w:color="auto" w:fill="FFFFFF"/>
        </w:rPr>
        <w:t xml:space="preserve">road </w:t>
      </w:r>
      <w:r w:rsidRPr="00F776CE">
        <w:rPr>
          <w:rFonts w:cs="Arial"/>
          <w:color w:val="252525"/>
          <w:shd w:val="clear" w:color="auto" w:fill="FFFFFF"/>
        </w:rPr>
        <w:t>apocalypse</w:t>
      </w:r>
      <w:r w:rsidR="00D24597" w:rsidRPr="00F776CE">
        <w:rPr>
          <w:rFonts w:cs="Arial"/>
          <w:color w:val="252525"/>
          <w:shd w:val="clear" w:color="auto" w:fill="FFFFFF"/>
        </w:rPr>
        <w:t xml:space="preserve"> 2030</w:t>
      </w:r>
      <w:r w:rsidRPr="00F776CE">
        <w:rPr>
          <w:rFonts w:cs="Arial"/>
          <w:color w:val="252525"/>
          <w:shd w:val="clear" w:color="auto" w:fill="FFFFFF"/>
        </w:rPr>
        <w:t>.</w:t>
      </w:r>
      <w:r w:rsidR="00D24597" w:rsidRPr="00F776CE">
        <w:rPr>
          <w:rFonts w:cs="Arial"/>
          <w:color w:val="252525"/>
          <w:shd w:val="clear" w:color="auto" w:fill="FFFFFF"/>
        </w:rPr>
        <w:t xml:space="preserve">  </w:t>
      </w:r>
      <w:r w:rsidR="00627D31" w:rsidRPr="00F776CE">
        <w:rPr>
          <w:rFonts w:cs="Arial"/>
          <w:color w:val="252525"/>
          <w:shd w:val="clear" w:color="auto" w:fill="FFFFFF"/>
        </w:rPr>
        <w:t xml:space="preserve">Has </w:t>
      </w:r>
      <w:r w:rsidR="00B26854" w:rsidRPr="00F776CE">
        <w:rPr>
          <w:rFonts w:cs="Arial"/>
          <w:color w:val="252525"/>
          <w:shd w:val="clear" w:color="auto" w:fill="FFFFFF"/>
        </w:rPr>
        <w:t>one</w:t>
      </w:r>
      <w:r w:rsidR="00D24597" w:rsidRPr="00F776CE">
        <w:rPr>
          <w:rFonts w:cs="Arial"/>
          <w:color w:val="252525"/>
          <w:shd w:val="clear" w:color="auto" w:fill="FFFFFF"/>
        </w:rPr>
        <w:t xml:space="preserve"> started already</w:t>
      </w:r>
      <w:r w:rsidR="00627D31" w:rsidRPr="00F776CE">
        <w:rPr>
          <w:rFonts w:cs="Arial"/>
          <w:color w:val="252525"/>
          <w:shd w:val="clear" w:color="auto" w:fill="FFFFFF"/>
        </w:rPr>
        <w:t>?</w:t>
      </w:r>
    </w:p>
    <w:p w:rsidR="00D24597" w:rsidRDefault="00627D31" w:rsidP="00F776CE">
      <w:pPr>
        <w:spacing w:after="0"/>
        <w:rPr>
          <w:rFonts w:cs="Arial"/>
          <w:color w:val="252525"/>
          <w:shd w:val="clear" w:color="auto" w:fill="FFFFFF"/>
        </w:rPr>
      </w:pPr>
      <w:r w:rsidRPr="00F776CE">
        <w:rPr>
          <w:rFonts w:cs="Arial"/>
          <w:color w:val="252525"/>
          <w:shd w:val="clear" w:color="auto" w:fill="FFFFFF"/>
        </w:rPr>
        <w:t xml:space="preserve">Not </w:t>
      </w:r>
      <w:r w:rsidR="00F43E3D" w:rsidRPr="00F776CE">
        <w:rPr>
          <w:rFonts w:cs="Arial"/>
          <w:color w:val="252525"/>
          <w:shd w:val="clear" w:color="auto" w:fill="FFFFFF"/>
        </w:rPr>
        <w:t xml:space="preserve">a </w:t>
      </w:r>
      <w:r w:rsidRPr="00F776CE">
        <w:rPr>
          <w:rFonts w:cs="Arial"/>
          <w:color w:val="252525"/>
          <w:shd w:val="clear" w:color="auto" w:fill="FFFFFF"/>
        </w:rPr>
        <w:t>congestion</w:t>
      </w:r>
      <w:r w:rsidR="00633326" w:rsidRPr="00F776CE">
        <w:rPr>
          <w:rFonts w:cs="Arial"/>
          <w:color w:val="252525"/>
          <w:shd w:val="clear" w:color="auto" w:fill="FFFFFF"/>
        </w:rPr>
        <w:t xml:space="preserve"> </w:t>
      </w:r>
      <w:r w:rsidR="001B05CC" w:rsidRPr="00F776CE">
        <w:rPr>
          <w:rFonts w:cs="Arial"/>
          <w:color w:val="252525"/>
          <w:shd w:val="clear" w:color="auto" w:fill="FFFFFF"/>
        </w:rPr>
        <w:t xml:space="preserve">Armageddon </w:t>
      </w:r>
      <w:r w:rsidR="00633326" w:rsidRPr="00F776CE">
        <w:rPr>
          <w:rFonts w:cs="Arial"/>
          <w:color w:val="252525"/>
          <w:shd w:val="clear" w:color="auto" w:fill="FFFFFF"/>
        </w:rPr>
        <w:t>but a budget</w:t>
      </w:r>
      <w:r w:rsidRPr="00F776CE">
        <w:rPr>
          <w:rFonts w:cs="Arial"/>
          <w:color w:val="252525"/>
          <w:shd w:val="clear" w:color="auto" w:fill="FFFFFF"/>
        </w:rPr>
        <w:t xml:space="preserve"> </w:t>
      </w:r>
      <w:r w:rsidR="001B05CC" w:rsidRPr="00F776CE">
        <w:rPr>
          <w:rFonts w:cs="Arial"/>
          <w:color w:val="252525"/>
          <w:shd w:val="clear" w:color="auto" w:fill="FFFFFF"/>
        </w:rPr>
        <w:t xml:space="preserve">one.  </w:t>
      </w:r>
      <w:r w:rsidR="00C5253A" w:rsidRPr="00F776CE">
        <w:rPr>
          <w:rFonts w:cs="Arial"/>
          <w:color w:val="252525"/>
          <w:shd w:val="clear" w:color="auto" w:fill="FFFFFF"/>
        </w:rPr>
        <w:t xml:space="preserve">Signs of the times: </w:t>
      </w:r>
      <w:r w:rsidR="00172F9E" w:rsidRPr="00F776CE">
        <w:rPr>
          <w:rFonts w:cs="Arial"/>
          <w:color w:val="252525"/>
          <w:shd w:val="clear" w:color="auto" w:fill="FFFFFF"/>
        </w:rPr>
        <w:t>we are told there is a spending problem but roads are not mentioned;</w:t>
      </w:r>
      <w:r w:rsidR="00C5253A" w:rsidRPr="00F776CE">
        <w:rPr>
          <w:rFonts w:cs="Arial"/>
          <w:color w:val="252525"/>
          <w:shd w:val="clear" w:color="auto" w:fill="FFFFFF"/>
        </w:rPr>
        <w:t xml:space="preserve"> </w:t>
      </w:r>
      <w:r w:rsidR="00346448" w:rsidRPr="00F776CE">
        <w:rPr>
          <w:rFonts w:cs="Arial"/>
          <w:color w:val="252525"/>
          <w:shd w:val="clear" w:color="auto" w:fill="FFFFFF"/>
        </w:rPr>
        <w:t xml:space="preserve">there are </w:t>
      </w:r>
      <w:r w:rsidR="00C5253A" w:rsidRPr="00F776CE">
        <w:rPr>
          <w:rFonts w:cs="Arial"/>
          <w:color w:val="252525"/>
          <w:shd w:val="clear" w:color="auto" w:fill="FFFFFF"/>
        </w:rPr>
        <w:t>m</w:t>
      </w:r>
      <w:r w:rsidR="00BF0466" w:rsidRPr="00F776CE">
        <w:rPr>
          <w:rFonts w:cs="Arial"/>
          <w:color w:val="252525"/>
          <w:shd w:val="clear" w:color="auto" w:fill="FFFFFF"/>
        </w:rPr>
        <w:t>ulti</w:t>
      </w:r>
      <w:r w:rsidR="001C4783" w:rsidRPr="00F776CE">
        <w:rPr>
          <w:rFonts w:cs="Arial"/>
          <w:color w:val="252525"/>
          <w:shd w:val="clear" w:color="auto" w:fill="FFFFFF"/>
        </w:rPr>
        <w:t>-</w:t>
      </w:r>
      <w:r w:rsidR="00BF0466" w:rsidRPr="00F776CE">
        <w:rPr>
          <w:rFonts w:cs="Arial"/>
          <w:color w:val="252525"/>
          <w:shd w:val="clear" w:color="auto" w:fill="FFFFFF"/>
        </w:rPr>
        <w:t>billion blowouts</w:t>
      </w:r>
      <w:r w:rsidR="00B0589F" w:rsidRPr="00F776CE">
        <w:rPr>
          <w:rFonts w:cs="Arial"/>
          <w:color w:val="252525"/>
          <w:shd w:val="clear" w:color="auto" w:fill="FFFFFF"/>
        </w:rPr>
        <w:t xml:space="preserve"> of big </w:t>
      </w:r>
      <w:r w:rsidR="004C25D7" w:rsidRPr="00F776CE">
        <w:rPr>
          <w:rFonts w:cs="Arial"/>
          <w:color w:val="252525"/>
          <w:shd w:val="clear" w:color="auto" w:fill="FFFFFF"/>
        </w:rPr>
        <w:t xml:space="preserve">road </w:t>
      </w:r>
      <w:r w:rsidR="00B0589F" w:rsidRPr="00F776CE">
        <w:rPr>
          <w:rFonts w:cs="Arial"/>
          <w:color w:val="252525"/>
          <w:shd w:val="clear" w:color="auto" w:fill="FFFFFF"/>
        </w:rPr>
        <w:t xml:space="preserve">projects while </w:t>
      </w:r>
      <w:r w:rsidR="00F43E3D" w:rsidRPr="00F776CE">
        <w:rPr>
          <w:rFonts w:cs="Arial"/>
          <w:color w:val="252525"/>
          <w:shd w:val="clear" w:color="auto" w:fill="FFFFFF"/>
        </w:rPr>
        <w:t xml:space="preserve">an abyss opens for </w:t>
      </w:r>
      <w:r w:rsidR="00B0589F" w:rsidRPr="00F776CE">
        <w:rPr>
          <w:rFonts w:cs="Arial"/>
          <w:color w:val="252525"/>
          <w:shd w:val="clear" w:color="auto" w:fill="FFFFFF"/>
        </w:rPr>
        <w:t>maintenance</w:t>
      </w:r>
      <w:r w:rsidR="004B7D68">
        <w:rPr>
          <w:rFonts w:cs="Arial"/>
          <w:color w:val="252525"/>
          <w:shd w:val="clear" w:color="auto" w:fill="FFFFFF"/>
        </w:rPr>
        <w:t>;</w:t>
      </w:r>
      <w:r w:rsidR="00346448" w:rsidRPr="00F776CE">
        <w:rPr>
          <w:rFonts w:cs="Arial"/>
          <w:color w:val="252525"/>
          <w:shd w:val="clear" w:color="auto" w:fill="FFFFFF"/>
        </w:rPr>
        <w:t xml:space="preserve"> not </w:t>
      </w:r>
      <w:r w:rsidR="004B7D68">
        <w:rPr>
          <w:rFonts w:cs="Arial"/>
          <w:color w:val="252525"/>
          <w:shd w:val="clear" w:color="auto" w:fill="FFFFFF"/>
        </w:rPr>
        <w:t xml:space="preserve">to </w:t>
      </w:r>
      <w:r w:rsidR="00346448" w:rsidRPr="00F776CE">
        <w:rPr>
          <w:rFonts w:cs="Arial"/>
          <w:color w:val="252525"/>
          <w:shd w:val="clear" w:color="auto" w:fill="FFFFFF"/>
        </w:rPr>
        <w:t>mention recent auditor general reports.</w:t>
      </w:r>
      <w:r w:rsidR="001C4783" w:rsidRPr="00F776CE">
        <w:rPr>
          <w:rStyle w:val="EndnoteReference"/>
          <w:rFonts w:cs="Arial"/>
          <w:color w:val="252525"/>
          <w:shd w:val="clear" w:color="auto" w:fill="FFFFFF"/>
        </w:rPr>
        <w:endnoteReference w:id="15"/>
      </w:r>
    </w:p>
    <w:p w:rsidR="00F776CE" w:rsidRPr="00F776CE" w:rsidRDefault="00F776CE" w:rsidP="00F776CE">
      <w:pPr>
        <w:spacing w:after="0"/>
        <w:rPr>
          <w:rFonts w:cs="Arial"/>
          <w:color w:val="252525"/>
          <w:shd w:val="clear" w:color="auto" w:fill="FFFFFF"/>
        </w:rPr>
      </w:pPr>
    </w:p>
    <w:p w:rsidR="00B52F2C" w:rsidRDefault="00B52F2C" w:rsidP="00F776CE">
      <w:pPr>
        <w:spacing w:after="0"/>
        <w:rPr>
          <w:rFonts w:cs="Arial"/>
          <w:color w:val="252525"/>
          <w:shd w:val="clear" w:color="auto" w:fill="FFFFFF"/>
        </w:rPr>
      </w:pPr>
      <w:r w:rsidRPr="00F776CE">
        <w:rPr>
          <w:rFonts w:cs="Arial"/>
          <w:color w:val="252525"/>
          <w:shd w:val="clear" w:color="auto" w:fill="FFFFFF"/>
        </w:rPr>
        <w:t xml:space="preserve">But </w:t>
      </w:r>
      <w:r w:rsidR="00F776CE">
        <w:rPr>
          <w:rFonts w:cs="Arial"/>
          <w:color w:val="252525"/>
          <w:shd w:val="clear" w:color="auto" w:fill="FFFFFF"/>
        </w:rPr>
        <w:t>wait!</w:t>
      </w:r>
      <w:r w:rsidRPr="00F776CE">
        <w:rPr>
          <w:rFonts w:cs="Arial"/>
          <w:color w:val="252525"/>
          <w:shd w:val="clear" w:color="auto" w:fill="FFFFFF"/>
        </w:rPr>
        <w:t xml:space="preserve">  The </w:t>
      </w:r>
      <w:r w:rsidR="004C25D7" w:rsidRPr="00F776CE">
        <w:rPr>
          <w:rFonts w:cs="Arial"/>
          <w:color w:val="252525"/>
          <w:shd w:val="clear" w:color="auto" w:fill="FFFFFF"/>
        </w:rPr>
        <w:t xml:space="preserve">2015 Bureau of Infrastructure Transport and Regional Economics </w:t>
      </w:r>
      <w:r w:rsidRPr="00F776CE">
        <w:rPr>
          <w:rFonts w:cs="Arial"/>
          <w:color w:val="252525"/>
          <w:shd w:val="clear" w:color="auto" w:fill="FFFFFF"/>
        </w:rPr>
        <w:t xml:space="preserve">Infrastructure </w:t>
      </w:r>
      <w:r w:rsidR="004C25D7" w:rsidRPr="00F776CE">
        <w:rPr>
          <w:rFonts w:cs="Arial"/>
          <w:color w:val="252525"/>
          <w:shd w:val="clear" w:color="auto" w:fill="FFFFFF"/>
        </w:rPr>
        <w:t>s</w:t>
      </w:r>
      <w:r w:rsidRPr="00F776CE">
        <w:rPr>
          <w:rFonts w:cs="Arial"/>
          <w:color w:val="252525"/>
          <w:shd w:val="clear" w:color="auto" w:fill="FFFFFF"/>
        </w:rPr>
        <w:t xml:space="preserve">tatistics </w:t>
      </w:r>
      <w:r w:rsidR="004C25D7" w:rsidRPr="00F776CE">
        <w:rPr>
          <w:rFonts w:cs="Arial"/>
          <w:color w:val="252525"/>
          <w:shd w:val="clear" w:color="auto" w:fill="FFFFFF"/>
        </w:rPr>
        <w:t>y</w:t>
      </w:r>
      <w:r w:rsidRPr="00F776CE">
        <w:rPr>
          <w:rFonts w:cs="Arial"/>
          <w:color w:val="252525"/>
          <w:shd w:val="clear" w:color="auto" w:fill="FFFFFF"/>
        </w:rPr>
        <w:t>earbook</w:t>
      </w:r>
      <w:r w:rsidR="00DD0C5D" w:rsidRPr="00F776CE">
        <w:rPr>
          <w:rFonts w:cs="Arial"/>
          <w:color w:val="252525"/>
          <w:shd w:val="clear" w:color="auto" w:fill="FFFFFF"/>
        </w:rPr>
        <w:t xml:space="preserve"> released</w:t>
      </w:r>
      <w:r w:rsidR="004C25D7" w:rsidRPr="00F776CE">
        <w:rPr>
          <w:rFonts w:cs="Arial"/>
          <w:color w:val="252525"/>
          <w:shd w:val="clear" w:color="auto" w:fill="FFFFFF"/>
        </w:rPr>
        <w:t>,</w:t>
      </w:r>
      <w:r w:rsidR="00DD0C5D" w:rsidRPr="00F776CE">
        <w:rPr>
          <w:rFonts w:cs="Arial"/>
          <w:color w:val="252525"/>
          <w:shd w:val="clear" w:color="auto" w:fill="FFFFFF"/>
        </w:rPr>
        <w:t xml:space="preserve"> like last year</w:t>
      </w:r>
      <w:r w:rsidR="004C25D7" w:rsidRPr="00F776CE">
        <w:rPr>
          <w:rFonts w:cs="Arial"/>
          <w:color w:val="252525"/>
          <w:shd w:val="clear" w:color="auto" w:fill="FFFFFF"/>
        </w:rPr>
        <w:t>,</w:t>
      </w:r>
      <w:r w:rsidR="00DD0C5D" w:rsidRPr="00F776CE">
        <w:rPr>
          <w:rFonts w:cs="Arial"/>
          <w:color w:val="252525"/>
          <w:shd w:val="clear" w:color="auto" w:fill="FFFFFF"/>
        </w:rPr>
        <w:t xml:space="preserve"> </w:t>
      </w:r>
      <w:r w:rsidR="004B7D68">
        <w:rPr>
          <w:rFonts w:cs="Arial"/>
          <w:color w:val="252525"/>
          <w:shd w:val="clear" w:color="auto" w:fill="FFFFFF"/>
        </w:rPr>
        <w:t xml:space="preserve">just </w:t>
      </w:r>
      <w:r w:rsidR="00DD0C5D" w:rsidRPr="00F776CE">
        <w:rPr>
          <w:rFonts w:cs="Arial"/>
          <w:color w:val="252525"/>
          <w:shd w:val="clear" w:color="auto" w:fill="FFFFFF"/>
        </w:rPr>
        <w:t>in time for Christmas, implies otherwise.</w:t>
      </w:r>
      <w:r w:rsidR="00346448" w:rsidRPr="00F776CE">
        <w:rPr>
          <w:rFonts w:cs="Arial"/>
          <w:color w:val="252525"/>
          <w:shd w:val="clear" w:color="auto" w:fill="FFFFFF"/>
        </w:rPr>
        <w:t xml:space="preserve">  It </w:t>
      </w:r>
      <w:r w:rsidR="004C25D7" w:rsidRPr="00F776CE">
        <w:rPr>
          <w:rFonts w:cs="Arial"/>
          <w:color w:val="252525"/>
          <w:shd w:val="clear" w:color="auto" w:fill="FFFFFF"/>
        </w:rPr>
        <w:t xml:space="preserve">might be read as </w:t>
      </w:r>
      <w:r w:rsidR="00346448" w:rsidRPr="00F776CE">
        <w:rPr>
          <w:rFonts w:cs="Arial"/>
          <w:color w:val="252525"/>
          <w:shd w:val="clear" w:color="auto" w:fill="FFFFFF"/>
        </w:rPr>
        <w:t>suggest</w:t>
      </w:r>
      <w:r w:rsidR="004C25D7" w:rsidRPr="00F776CE">
        <w:rPr>
          <w:rFonts w:cs="Arial"/>
          <w:color w:val="252525"/>
          <w:shd w:val="clear" w:color="auto" w:fill="FFFFFF"/>
        </w:rPr>
        <w:t>ing</w:t>
      </w:r>
      <w:r w:rsidR="00346448" w:rsidRPr="00F776CE">
        <w:rPr>
          <w:rFonts w:cs="Arial"/>
          <w:color w:val="252525"/>
          <w:shd w:val="clear" w:color="auto" w:fill="FFFFFF"/>
        </w:rPr>
        <w:t xml:space="preserve"> there is no roads financial deficit; that road related revenues exceed road spending.</w:t>
      </w:r>
      <w:r w:rsidR="007F35F6" w:rsidRPr="00F776CE">
        <w:rPr>
          <w:rFonts w:cs="Arial"/>
          <w:color w:val="252525"/>
          <w:shd w:val="clear" w:color="auto" w:fill="FFFFFF"/>
        </w:rPr>
        <w:t xml:space="preserve">  </w:t>
      </w:r>
      <w:r w:rsidR="004C25D7" w:rsidRPr="00F776CE">
        <w:rPr>
          <w:rFonts w:cs="Arial"/>
          <w:color w:val="252525"/>
          <w:shd w:val="clear" w:color="auto" w:fill="FFFFFF"/>
        </w:rPr>
        <w:t>A road surplus of</w:t>
      </w:r>
      <w:r w:rsidR="007F35F6" w:rsidRPr="00F776CE">
        <w:rPr>
          <w:rFonts w:cs="Arial"/>
          <w:color w:val="252525"/>
          <w:shd w:val="clear" w:color="auto" w:fill="FFFFFF"/>
        </w:rPr>
        <w:t xml:space="preserve"> $1.6bn in 2013-14</w:t>
      </w:r>
      <w:r w:rsidR="004B7D68">
        <w:rPr>
          <w:rFonts w:cs="Arial"/>
          <w:color w:val="252525"/>
          <w:shd w:val="clear" w:color="auto" w:fill="FFFFFF"/>
        </w:rPr>
        <w:t>!</w:t>
      </w:r>
    </w:p>
    <w:p w:rsidR="00F776CE" w:rsidRPr="00F776CE" w:rsidRDefault="00F776CE" w:rsidP="00F776CE">
      <w:pPr>
        <w:spacing w:after="0"/>
        <w:rPr>
          <w:rFonts w:cs="Arial"/>
          <w:color w:val="252525"/>
          <w:shd w:val="clear" w:color="auto" w:fill="FFFFFF"/>
        </w:rPr>
      </w:pPr>
    </w:p>
    <w:p w:rsidR="00F776CE" w:rsidRDefault="00346448" w:rsidP="00F776CE">
      <w:pPr>
        <w:spacing w:after="0"/>
        <w:rPr>
          <w:rFonts w:cs="Arial"/>
          <w:color w:val="252525"/>
          <w:shd w:val="clear" w:color="auto" w:fill="FFFFFF"/>
        </w:rPr>
      </w:pPr>
      <w:r w:rsidRPr="00F776CE">
        <w:rPr>
          <w:rFonts w:cs="Arial"/>
          <w:color w:val="252525"/>
          <w:shd w:val="clear" w:color="auto" w:fill="FFFFFF"/>
        </w:rPr>
        <w:t>How so</w:t>
      </w:r>
      <w:r w:rsidR="004C25D7" w:rsidRPr="00F776CE">
        <w:rPr>
          <w:rFonts w:cs="Arial"/>
          <w:color w:val="252525"/>
          <w:shd w:val="clear" w:color="auto" w:fill="FFFFFF"/>
        </w:rPr>
        <w:t>?</w:t>
      </w:r>
      <w:r w:rsidRPr="00F776CE">
        <w:rPr>
          <w:rFonts w:cs="Arial"/>
          <w:color w:val="252525"/>
          <w:shd w:val="clear" w:color="auto" w:fill="FFFFFF"/>
        </w:rPr>
        <w:t xml:space="preserve"> </w:t>
      </w:r>
      <w:r w:rsidR="004C25D7" w:rsidRPr="00F776CE">
        <w:rPr>
          <w:rFonts w:cs="Arial"/>
          <w:color w:val="252525"/>
          <w:shd w:val="clear" w:color="auto" w:fill="FFFFFF"/>
        </w:rPr>
        <w:t xml:space="preserve"> What of </w:t>
      </w:r>
      <w:r w:rsidRPr="00F776CE">
        <w:rPr>
          <w:rFonts w:cs="Arial"/>
          <w:color w:val="252525"/>
          <w:shd w:val="clear" w:color="auto" w:fill="FFFFFF"/>
        </w:rPr>
        <w:t xml:space="preserve">the claims </w:t>
      </w:r>
      <w:r w:rsidR="00B91137" w:rsidRPr="00F776CE">
        <w:rPr>
          <w:rFonts w:cs="Arial"/>
          <w:color w:val="252525"/>
          <w:shd w:val="clear" w:color="auto" w:fill="FFFFFF"/>
        </w:rPr>
        <w:t>about a roads deficit</w:t>
      </w:r>
      <w:r w:rsidR="007F35F6" w:rsidRPr="00F776CE">
        <w:rPr>
          <w:rFonts w:cs="Arial"/>
          <w:color w:val="252525"/>
          <w:shd w:val="clear" w:color="auto" w:fill="FFFFFF"/>
        </w:rPr>
        <w:t>, in the order of $6.5bn for 2012-13,</w:t>
      </w:r>
      <w:r w:rsidR="00B91137" w:rsidRPr="00F776CE">
        <w:rPr>
          <w:rFonts w:cs="Arial"/>
          <w:color w:val="252525"/>
          <w:shd w:val="clear" w:color="auto" w:fill="FFFFFF"/>
        </w:rPr>
        <w:t xml:space="preserve"> </w:t>
      </w:r>
      <w:r w:rsidRPr="00F776CE">
        <w:rPr>
          <w:rFonts w:cs="Arial"/>
          <w:color w:val="252525"/>
          <w:shd w:val="clear" w:color="auto" w:fill="FFFFFF"/>
        </w:rPr>
        <w:t>made in the tar baby article et al</w:t>
      </w:r>
      <w:r w:rsidR="0040550A" w:rsidRPr="00F776CE">
        <w:rPr>
          <w:rFonts w:cs="Arial"/>
          <w:color w:val="252525"/>
          <w:shd w:val="clear" w:color="auto" w:fill="FFFFFF"/>
        </w:rPr>
        <w:t>?</w:t>
      </w:r>
      <w:r w:rsidR="00B91137" w:rsidRPr="00F776CE">
        <w:rPr>
          <w:rFonts w:cs="Arial"/>
          <w:color w:val="252525"/>
          <w:shd w:val="clear" w:color="auto" w:fill="FFFFFF"/>
        </w:rPr>
        <w:t xml:space="preserve"> </w:t>
      </w:r>
    </w:p>
    <w:p w:rsidR="00202845" w:rsidRPr="00F776CE" w:rsidRDefault="00202845" w:rsidP="00F776CE">
      <w:pPr>
        <w:spacing w:after="0"/>
        <w:rPr>
          <w:rFonts w:cs="Arial"/>
          <w:color w:val="252525"/>
          <w:shd w:val="clear" w:color="auto" w:fill="FFFFFF"/>
        </w:rPr>
      </w:pPr>
    </w:p>
    <w:p w:rsidR="00F776CE" w:rsidRDefault="00B91137" w:rsidP="00F776CE">
      <w:pPr>
        <w:spacing w:after="0"/>
        <w:rPr>
          <w:rFonts w:cs="Arial"/>
          <w:color w:val="252525"/>
          <w:shd w:val="clear" w:color="auto" w:fill="FFFFFF"/>
        </w:rPr>
      </w:pPr>
      <w:r w:rsidRPr="00F776CE">
        <w:rPr>
          <w:rFonts w:cs="Arial"/>
          <w:color w:val="252525"/>
          <w:shd w:val="clear" w:color="auto" w:fill="FFFFFF"/>
        </w:rPr>
        <w:lastRenderedPageBreak/>
        <w:t>I</w:t>
      </w:r>
      <w:r w:rsidR="0011445A" w:rsidRPr="00F776CE">
        <w:rPr>
          <w:rFonts w:cs="Arial"/>
          <w:color w:val="252525"/>
          <w:shd w:val="clear" w:color="auto" w:fill="FFFFFF"/>
        </w:rPr>
        <w:t xml:space="preserve">n </w:t>
      </w:r>
      <w:r w:rsidR="004C25D7" w:rsidRPr="00F776CE">
        <w:rPr>
          <w:rFonts w:cs="Arial"/>
          <w:color w:val="252525"/>
          <w:shd w:val="clear" w:color="auto" w:fill="FFFFFF"/>
        </w:rPr>
        <w:t>the new</w:t>
      </w:r>
      <w:r w:rsidR="0011445A" w:rsidRPr="00F776CE">
        <w:rPr>
          <w:rFonts w:cs="Arial"/>
          <w:color w:val="252525"/>
          <w:shd w:val="clear" w:color="auto" w:fill="FFFFFF"/>
        </w:rPr>
        <w:t xml:space="preserve"> </w:t>
      </w:r>
      <w:r w:rsidR="004C25D7" w:rsidRPr="00F776CE">
        <w:rPr>
          <w:rFonts w:cs="Arial"/>
          <w:color w:val="252525"/>
          <w:shd w:val="clear" w:color="auto" w:fill="FFFFFF"/>
        </w:rPr>
        <w:t>y</w:t>
      </w:r>
      <w:r w:rsidR="00202845">
        <w:rPr>
          <w:rFonts w:cs="Arial"/>
          <w:color w:val="252525"/>
          <w:shd w:val="clear" w:color="auto" w:fill="FFFFFF"/>
        </w:rPr>
        <w:t>earbook</w:t>
      </w:r>
      <w:r w:rsidR="0011445A" w:rsidRPr="00F776CE">
        <w:rPr>
          <w:rFonts w:cs="Arial"/>
          <w:color w:val="252525"/>
          <w:shd w:val="clear" w:color="auto" w:fill="FFFFFF"/>
        </w:rPr>
        <w:t xml:space="preserve"> the </w:t>
      </w:r>
      <w:r w:rsidR="00346448" w:rsidRPr="00F776CE">
        <w:rPr>
          <w:rFonts w:cs="Arial"/>
          <w:color w:val="252525"/>
          <w:shd w:val="clear" w:color="auto" w:fill="FFFFFF"/>
        </w:rPr>
        <w:t xml:space="preserve">Bureau </w:t>
      </w:r>
      <w:r w:rsidR="00202845">
        <w:rPr>
          <w:rFonts w:cs="Arial"/>
          <w:color w:val="252525"/>
          <w:shd w:val="clear" w:color="auto" w:fill="FFFFFF"/>
        </w:rPr>
        <w:t xml:space="preserve">adopts a different approach from that of 2014: it reports roads related revenues in constant dollars; </w:t>
      </w:r>
      <w:r w:rsidR="004B7D68">
        <w:rPr>
          <w:rFonts w:cs="Arial"/>
          <w:color w:val="252525"/>
          <w:shd w:val="clear" w:color="auto" w:fill="FFFFFF"/>
        </w:rPr>
        <w:t>includes</w:t>
      </w:r>
      <w:r w:rsidR="0011445A" w:rsidRPr="00F776CE">
        <w:rPr>
          <w:rFonts w:cs="Arial"/>
          <w:color w:val="252525"/>
          <w:shd w:val="clear" w:color="auto" w:fill="FFFFFF"/>
        </w:rPr>
        <w:t xml:space="preserve"> </w:t>
      </w:r>
      <w:r w:rsidR="00346448" w:rsidRPr="00F776CE">
        <w:rPr>
          <w:rFonts w:cs="Arial"/>
          <w:color w:val="252525"/>
          <w:shd w:val="clear" w:color="auto" w:fill="FFFFFF"/>
        </w:rPr>
        <w:t xml:space="preserve">items </w:t>
      </w:r>
      <w:r w:rsidR="0011445A" w:rsidRPr="00F776CE">
        <w:rPr>
          <w:rFonts w:cs="Arial"/>
          <w:color w:val="252525"/>
          <w:shd w:val="clear" w:color="auto" w:fill="FFFFFF"/>
        </w:rPr>
        <w:t xml:space="preserve">that were </w:t>
      </w:r>
      <w:r w:rsidRPr="00F776CE">
        <w:rPr>
          <w:rFonts w:cs="Arial"/>
          <w:color w:val="252525"/>
          <w:shd w:val="clear" w:color="auto" w:fill="FFFFFF"/>
        </w:rPr>
        <w:t xml:space="preserve">not </w:t>
      </w:r>
      <w:r w:rsidR="0011445A" w:rsidRPr="00F776CE">
        <w:rPr>
          <w:rFonts w:cs="Arial"/>
          <w:color w:val="252525"/>
          <w:shd w:val="clear" w:color="auto" w:fill="FFFFFF"/>
        </w:rPr>
        <w:t xml:space="preserve">in </w:t>
      </w:r>
      <w:r w:rsidRPr="00F776CE">
        <w:rPr>
          <w:rFonts w:cs="Arial"/>
          <w:color w:val="252525"/>
          <w:shd w:val="clear" w:color="auto" w:fill="FFFFFF"/>
        </w:rPr>
        <w:t>the</w:t>
      </w:r>
      <w:r w:rsidR="0011445A" w:rsidRPr="00F776CE">
        <w:rPr>
          <w:rFonts w:cs="Arial"/>
          <w:color w:val="252525"/>
          <w:shd w:val="clear" w:color="auto" w:fill="FFFFFF"/>
        </w:rPr>
        <w:t xml:space="preserve"> 2014 publication</w:t>
      </w:r>
      <w:r w:rsidR="00202845">
        <w:rPr>
          <w:rFonts w:cs="Arial"/>
          <w:color w:val="252525"/>
          <w:shd w:val="clear" w:color="auto" w:fill="FFFFFF"/>
        </w:rPr>
        <w:t>,</w:t>
      </w:r>
      <w:r w:rsidR="0011445A" w:rsidRPr="00F776CE">
        <w:rPr>
          <w:rFonts w:cs="Arial"/>
          <w:color w:val="252525"/>
          <w:shd w:val="clear" w:color="auto" w:fill="FFFFFF"/>
        </w:rPr>
        <w:t xml:space="preserve"> goods and services tax, fringe benefits tax, luxury car tax, and customs duties on cars.  Total additional revenue from the</w:t>
      </w:r>
      <w:r w:rsidR="00C11CD7">
        <w:rPr>
          <w:rFonts w:cs="Arial"/>
          <w:color w:val="252525"/>
          <w:shd w:val="clear" w:color="auto" w:fill="FFFFFF"/>
        </w:rPr>
        <w:t xml:space="preserve"> new items</w:t>
      </w:r>
      <w:r w:rsidR="0011445A" w:rsidRPr="00F776CE">
        <w:rPr>
          <w:rFonts w:cs="Arial"/>
          <w:color w:val="252525"/>
          <w:shd w:val="clear" w:color="auto" w:fill="FFFFFF"/>
        </w:rPr>
        <w:t xml:space="preserve"> in 2013-14</w:t>
      </w:r>
      <w:r w:rsidR="00202845">
        <w:rPr>
          <w:rFonts w:cs="Arial"/>
          <w:color w:val="252525"/>
          <w:shd w:val="clear" w:color="auto" w:fill="FFFFFF"/>
        </w:rPr>
        <w:t xml:space="preserve"> is</w:t>
      </w:r>
      <w:r w:rsidR="0011445A" w:rsidRPr="00F776CE">
        <w:rPr>
          <w:rFonts w:cs="Arial"/>
          <w:color w:val="252525"/>
          <w:shd w:val="clear" w:color="auto" w:fill="FFFFFF"/>
        </w:rPr>
        <w:t xml:space="preserve"> $6.</w:t>
      </w:r>
      <w:r w:rsidR="00F8339E">
        <w:rPr>
          <w:rFonts w:cs="Arial"/>
          <w:color w:val="252525"/>
          <w:shd w:val="clear" w:color="auto" w:fill="FFFFFF"/>
        </w:rPr>
        <w:t>7</w:t>
      </w:r>
      <w:r w:rsidR="0011445A" w:rsidRPr="00F776CE">
        <w:rPr>
          <w:rFonts w:cs="Arial"/>
          <w:color w:val="252525"/>
          <w:shd w:val="clear" w:color="auto" w:fill="FFFFFF"/>
        </w:rPr>
        <w:t>bn</w:t>
      </w:r>
      <w:r w:rsidR="004C25D7"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B91137" w:rsidRDefault="004C25D7" w:rsidP="00F776CE">
      <w:pPr>
        <w:spacing w:after="0"/>
        <w:rPr>
          <w:rFonts w:cs="Arial"/>
          <w:color w:val="252525"/>
          <w:shd w:val="clear" w:color="auto" w:fill="FFFFFF"/>
        </w:rPr>
      </w:pPr>
      <w:r w:rsidRPr="00F776CE">
        <w:rPr>
          <w:rFonts w:cs="Arial"/>
          <w:color w:val="252525"/>
          <w:shd w:val="clear" w:color="auto" w:fill="FFFFFF"/>
        </w:rPr>
        <w:t>W</w:t>
      </w:r>
      <w:r w:rsidR="00B91137" w:rsidRPr="00F776CE">
        <w:rPr>
          <w:rFonts w:cs="Arial"/>
          <w:color w:val="252525"/>
          <w:shd w:val="clear" w:color="auto" w:fill="FFFFFF"/>
        </w:rPr>
        <w:t xml:space="preserve">ith other revenue </w:t>
      </w:r>
      <w:r w:rsidR="00202845">
        <w:rPr>
          <w:rFonts w:cs="Arial"/>
          <w:color w:val="252525"/>
          <w:shd w:val="clear" w:color="auto" w:fill="FFFFFF"/>
        </w:rPr>
        <w:t>changes</w:t>
      </w:r>
      <w:r w:rsidR="007F35F6" w:rsidRPr="00F776CE">
        <w:rPr>
          <w:rFonts w:cs="Arial"/>
          <w:color w:val="252525"/>
          <w:shd w:val="clear" w:color="auto" w:fill="FFFFFF"/>
        </w:rPr>
        <w:t xml:space="preserve">, including a </w:t>
      </w:r>
      <w:r w:rsidR="004570AD">
        <w:rPr>
          <w:rFonts w:cs="Arial"/>
          <w:color w:val="252525"/>
          <w:shd w:val="clear" w:color="auto" w:fill="FFFFFF"/>
        </w:rPr>
        <w:t xml:space="preserve">$1.9bn or 21% adjustment </w:t>
      </w:r>
      <w:r w:rsidR="007F35F6" w:rsidRPr="00F776CE">
        <w:rPr>
          <w:rFonts w:cs="Arial"/>
          <w:color w:val="252525"/>
          <w:shd w:val="clear" w:color="auto" w:fill="FFFFFF"/>
        </w:rPr>
        <w:t>in excise receipts,</w:t>
      </w:r>
      <w:r w:rsidR="0011445A" w:rsidRPr="00F776CE">
        <w:rPr>
          <w:rFonts w:cs="Arial"/>
          <w:color w:val="252525"/>
          <w:shd w:val="clear" w:color="auto" w:fill="FFFFFF"/>
        </w:rPr>
        <w:t xml:space="preserve"> </w:t>
      </w:r>
      <w:r w:rsidR="00B91137" w:rsidRPr="00F776CE">
        <w:rPr>
          <w:rFonts w:cs="Arial"/>
          <w:color w:val="252525"/>
          <w:shd w:val="clear" w:color="auto" w:fill="FFFFFF"/>
        </w:rPr>
        <w:t xml:space="preserve">the revision </w:t>
      </w:r>
      <w:r w:rsidR="00B85600">
        <w:rPr>
          <w:rFonts w:cs="Arial"/>
          <w:color w:val="252525"/>
          <w:shd w:val="clear" w:color="auto" w:fill="FFFFFF"/>
        </w:rPr>
        <w:t xml:space="preserve">adds </w:t>
      </w:r>
      <w:r w:rsidRPr="00F776CE">
        <w:rPr>
          <w:rFonts w:cs="Arial"/>
          <w:color w:val="252525"/>
          <w:shd w:val="clear" w:color="auto" w:fill="FFFFFF"/>
        </w:rPr>
        <w:t>around</w:t>
      </w:r>
      <w:r w:rsidR="00084B91">
        <w:rPr>
          <w:rFonts w:cs="Arial"/>
          <w:color w:val="252525"/>
          <w:shd w:val="clear" w:color="auto" w:fill="FFFFFF"/>
        </w:rPr>
        <w:t xml:space="preserve"> $8</w:t>
      </w:r>
      <w:r w:rsidR="00B91137" w:rsidRPr="00F776CE">
        <w:rPr>
          <w:rFonts w:cs="Arial"/>
          <w:color w:val="252525"/>
          <w:shd w:val="clear" w:color="auto" w:fill="FFFFFF"/>
        </w:rPr>
        <w:t>.</w:t>
      </w:r>
      <w:r w:rsidR="00084B91">
        <w:rPr>
          <w:rFonts w:cs="Arial"/>
          <w:color w:val="252525"/>
          <w:shd w:val="clear" w:color="auto" w:fill="FFFFFF"/>
        </w:rPr>
        <w:t>8</w:t>
      </w:r>
      <w:r w:rsidR="00B91137" w:rsidRPr="00F776CE">
        <w:rPr>
          <w:rFonts w:cs="Arial"/>
          <w:color w:val="252525"/>
          <w:shd w:val="clear" w:color="auto" w:fill="FFFFFF"/>
        </w:rPr>
        <w:t>bn</w:t>
      </w:r>
      <w:r w:rsidRPr="00F776CE">
        <w:rPr>
          <w:rFonts w:cs="Arial"/>
          <w:color w:val="252525"/>
          <w:shd w:val="clear" w:color="auto" w:fill="FFFFFF"/>
        </w:rPr>
        <w:t xml:space="preserve"> to </w:t>
      </w:r>
      <w:r w:rsidR="00B85600">
        <w:rPr>
          <w:rFonts w:cs="Arial"/>
          <w:color w:val="252525"/>
          <w:shd w:val="clear" w:color="auto" w:fill="FFFFFF"/>
        </w:rPr>
        <w:t xml:space="preserve">2012-13 </w:t>
      </w:r>
      <w:r w:rsidRPr="00F776CE">
        <w:rPr>
          <w:rFonts w:cs="Arial"/>
          <w:color w:val="252525"/>
          <w:shd w:val="clear" w:color="auto" w:fill="FFFFFF"/>
        </w:rPr>
        <w:t>revenue</w:t>
      </w:r>
      <w:r w:rsidR="00B91137" w:rsidRPr="00F776CE">
        <w:rPr>
          <w:rFonts w:cs="Arial"/>
          <w:color w:val="252525"/>
          <w:shd w:val="clear" w:color="auto" w:fill="FFFFFF"/>
        </w:rPr>
        <w:t xml:space="preserve">; </w:t>
      </w:r>
      <w:r w:rsidR="00F8339E">
        <w:rPr>
          <w:rFonts w:cs="Arial"/>
          <w:color w:val="252525"/>
          <w:shd w:val="clear" w:color="auto" w:fill="FFFFFF"/>
        </w:rPr>
        <w:t xml:space="preserve">around </w:t>
      </w:r>
      <w:r w:rsidR="00D95218">
        <w:rPr>
          <w:rFonts w:cs="Arial"/>
          <w:color w:val="252525"/>
          <w:shd w:val="clear" w:color="auto" w:fill="FFFFFF"/>
        </w:rPr>
        <w:t>a 50% rise</w:t>
      </w:r>
      <w:r w:rsidR="00F8339E">
        <w:rPr>
          <w:rFonts w:cs="Arial"/>
          <w:color w:val="252525"/>
          <w:shd w:val="clear" w:color="auto" w:fill="FFFFFF"/>
        </w:rPr>
        <w:t xml:space="preserve">. </w:t>
      </w:r>
      <w:r w:rsidR="00B91137" w:rsidRPr="00F776CE">
        <w:rPr>
          <w:rFonts w:cs="Arial"/>
          <w:color w:val="252525"/>
          <w:shd w:val="clear" w:color="auto" w:fill="FFFFFF"/>
        </w:rPr>
        <w:t>Figure 4</w:t>
      </w:r>
      <w:r w:rsidR="00B85600">
        <w:rPr>
          <w:rFonts w:cs="Arial"/>
          <w:color w:val="252525"/>
          <w:shd w:val="clear" w:color="auto" w:fill="FFFFFF"/>
        </w:rPr>
        <w:t xml:space="preserve"> shows composition</w:t>
      </w:r>
      <w:r w:rsidR="00B91137" w:rsidRPr="00F776CE">
        <w:rPr>
          <w:rFonts w:cs="Arial"/>
          <w:color w:val="252525"/>
          <w:shd w:val="clear" w:color="auto" w:fill="FFFFFF"/>
        </w:rPr>
        <w:t>.</w:t>
      </w:r>
      <w:r w:rsidR="009434A2" w:rsidRPr="00F776CE">
        <w:rPr>
          <w:rStyle w:val="EndnoteReference"/>
          <w:rFonts w:cs="Arial"/>
          <w:color w:val="252525"/>
          <w:shd w:val="clear" w:color="auto" w:fill="FFFFFF"/>
        </w:rPr>
        <w:endnoteReference w:id="16"/>
      </w:r>
    </w:p>
    <w:p w:rsidR="00F776CE" w:rsidRPr="00F776CE" w:rsidRDefault="00F776CE" w:rsidP="00F776CE">
      <w:pPr>
        <w:spacing w:after="0"/>
        <w:rPr>
          <w:rFonts w:cs="Arial"/>
          <w:color w:val="252525"/>
          <w:shd w:val="clear" w:color="auto" w:fill="FFFFFF"/>
        </w:rPr>
      </w:pPr>
    </w:p>
    <w:p w:rsidR="00346448" w:rsidRPr="00F776CE" w:rsidRDefault="00B91137" w:rsidP="00F776CE">
      <w:pPr>
        <w:spacing w:after="0"/>
        <w:rPr>
          <w:rFonts w:cs="Arial"/>
          <w:b/>
          <w:color w:val="252525"/>
          <w:shd w:val="clear" w:color="auto" w:fill="FFFFFF"/>
        </w:rPr>
      </w:pPr>
      <w:r w:rsidRPr="00F776CE">
        <w:rPr>
          <w:rFonts w:cs="Arial"/>
          <w:b/>
          <w:color w:val="252525"/>
          <w:shd w:val="clear" w:color="auto" w:fill="FFFFFF"/>
        </w:rPr>
        <w:t>Figure 4: Comparison of 2012-13 road related revenue items as reported in Infrastructure statistics yearbooks 2014, 2015</w:t>
      </w:r>
      <w:r w:rsidR="00084B91">
        <w:rPr>
          <w:rFonts w:cs="Arial"/>
          <w:b/>
          <w:color w:val="252525"/>
          <w:shd w:val="clear" w:color="auto" w:fill="FFFFFF"/>
        </w:rPr>
        <w:t xml:space="preserve"> (a)</w:t>
      </w:r>
      <w:r w:rsidRPr="00F776CE">
        <w:rPr>
          <w:rFonts w:cs="Arial"/>
          <w:b/>
          <w:color w:val="252525"/>
          <w:shd w:val="clear" w:color="auto" w:fill="FFFFFF"/>
        </w:rPr>
        <w:t>.</w:t>
      </w:r>
    </w:p>
    <w:p w:rsidR="00346448" w:rsidRPr="00F776CE" w:rsidRDefault="00084B91" w:rsidP="00084B91">
      <w:pPr>
        <w:tabs>
          <w:tab w:val="left" w:pos="6521"/>
        </w:tabs>
        <w:spacing w:after="0"/>
        <w:rPr>
          <w:rFonts w:cs="Arial"/>
          <w:color w:val="252525"/>
          <w:shd w:val="clear" w:color="auto" w:fill="FFFFFF"/>
        </w:rPr>
      </w:pPr>
      <w:r>
        <w:rPr>
          <w:noProof/>
          <w:lang w:eastAsia="en-GB"/>
        </w:rPr>
        <w:drawing>
          <wp:inline distT="0" distB="0" distL="0" distR="0" wp14:anchorId="6237FB36" wp14:editId="47A2D911">
            <wp:extent cx="5328138" cy="3077210"/>
            <wp:effectExtent l="0" t="0" r="6350" b="88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339E" w:rsidRPr="00084B91" w:rsidRDefault="00084B91" w:rsidP="00084B91">
      <w:pPr>
        <w:pStyle w:val="ListParagraph"/>
        <w:numPr>
          <w:ilvl w:val="0"/>
          <w:numId w:val="3"/>
        </w:numPr>
        <w:spacing w:after="0"/>
        <w:rPr>
          <w:rFonts w:cs="Arial"/>
          <w:color w:val="252525"/>
          <w:sz w:val="16"/>
          <w:szCs w:val="16"/>
          <w:shd w:val="clear" w:color="auto" w:fill="FFFFFF"/>
        </w:rPr>
      </w:pPr>
      <w:r w:rsidRPr="00084B91">
        <w:rPr>
          <w:rFonts w:cs="Arial"/>
          <w:color w:val="252525"/>
          <w:sz w:val="16"/>
          <w:szCs w:val="16"/>
          <w:shd w:val="clear" w:color="auto" w:fill="FFFFFF"/>
        </w:rPr>
        <w:t xml:space="preserve">2015 yearbook figures </w:t>
      </w:r>
      <w:r>
        <w:rPr>
          <w:rFonts w:cs="Arial"/>
          <w:color w:val="252525"/>
          <w:sz w:val="16"/>
          <w:szCs w:val="16"/>
          <w:shd w:val="clear" w:color="auto" w:fill="FFFFFF"/>
        </w:rPr>
        <w:t xml:space="preserve">made comparable by CPI </w:t>
      </w:r>
      <w:r w:rsidRPr="00084B91">
        <w:rPr>
          <w:rFonts w:cs="Arial"/>
          <w:color w:val="252525"/>
          <w:sz w:val="16"/>
          <w:szCs w:val="16"/>
          <w:shd w:val="clear" w:color="auto" w:fill="FFFFFF"/>
        </w:rPr>
        <w:t>adjust</w:t>
      </w:r>
      <w:r>
        <w:rPr>
          <w:rFonts w:cs="Arial"/>
          <w:color w:val="252525"/>
          <w:sz w:val="16"/>
          <w:szCs w:val="16"/>
          <w:shd w:val="clear" w:color="auto" w:fill="FFFFFF"/>
        </w:rPr>
        <w:t>ment</w:t>
      </w:r>
      <w:r w:rsidRPr="00084B91">
        <w:rPr>
          <w:rFonts w:cs="Arial"/>
          <w:color w:val="252525"/>
          <w:sz w:val="16"/>
          <w:szCs w:val="16"/>
          <w:shd w:val="clear" w:color="auto" w:fill="FFFFFF"/>
        </w:rPr>
        <w:t>.</w:t>
      </w:r>
    </w:p>
    <w:p w:rsidR="00084B91" w:rsidRPr="00084B91" w:rsidRDefault="00084B91" w:rsidP="00084B91">
      <w:pPr>
        <w:pStyle w:val="ListParagraph"/>
        <w:spacing w:after="0"/>
        <w:rPr>
          <w:rFonts w:cs="Arial"/>
          <w:color w:val="252525"/>
          <w:shd w:val="clear" w:color="auto" w:fill="FFFFFF"/>
        </w:rPr>
      </w:pPr>
    </w:p>
    <w:p w:rsidR="00CC7916" w:rsidRDefault="00BB6096" w:rsidP="00F776CE">
      <w:pPr>
        <w:spacing w:after="0"/>
        <w:rPr>
          <w:rFonts w:cs="Arial"/>
          <w:color w:val="252525"/>
          <w:shd w:val="clear" w:color="auto" w:fill="FFFFFF"/>
        </w:rPr>
      </w:pPr>
      <w:r w:rsidRPr="00F776CE">
        <w:rPr>
          <w:rFonts w:cs="Arial"/>
          <w:color w:val="252525"/>
          <w:shd w:val="clear" w:color="auto" w:fill="FFFFFF"/>
        </w:rPr>
        <w:t xml:space="preserve">The </w:t>
      </w:r>
      <w:r w:rsidR="00B85600">
        <w:rPr>
          <w:rFonts w:cs="Arial"/>
          <w:color w:val="252525"/>
          <w:shd w:val="clear" w:color="auto" w:fill="FFFFFF"/>
        </w:rPr>
        <w:t>inclusion of new items in road related revenues is noted at the end of the report but the effect is not outlined</w:t>
      </w:r>
      <w:r w:rsidRPr="00F776CE">
        <w:rPr>
          <w:rFonts w:cs="Arial"/>
          <w:color w:val="252525"/>
          <w:shd w:val="clear" w:color="auto" w:fill="FFFFFF"/>
        </w:rPr>
        <w:t>.  Nor is there explanation of</w:t>
      </w:r>
      <w:r w:rsidR="0040550A" w:rsidRPr="00F776CE">
        <w:rPr>
          <w:rFonts w:cs="Arial"/>
          <w:color w:val="252525"/>
          <w:shd w:val="clear" w:color="auto" w:fill="FFFFFF"/>
        </w:rPr>
        <w:t xml:space="preserve"> why items such as the goods and services tax are </w:t>
      </w:r>
      <w:r w:rsidR="00103A2E">
        <w:rPr>
          <w:rFonts w:cs="Arial"/>
          <w:color w:val="252525"/>
          <w:shd w:val="clear" w:color="auto" w:fill="FFFFFF"/>
        </w:rPr>
        <w:t xml:space="preserve">now </w:t>
      </w:r>
      <w:r w:rsidR="0040550A" w:rsidRPr="00F776CE">
        <w:rPr>
          <w:rFonts w:cs="Arial"/>
          <w:color w:val="252525"/>
          <w:shd w:val="clear" w:color="auto" w:fill="FFFFFF"/>
        </w:rPr>
        <w:t xml:space="preserve">included.  </w:t>
      </w:r>
      <w:r w:rsidR="00CC7916" w:rsidRPr="00F776CE">
        <w:rPr>
          <w:rFonts w:cs="Arial"/>
          <w:color w:val="252525"/>
          <w:shd w:val="clear" w:color="auto" w:fill="FFFFFF"/>
        </w:rPr>
        <w:t xml:space="preserve">For the purposes of analysis and policy development the inclusions are highly suspect.  </w:t>
      </w:r>
    </w:p>
    <w:p w:rsidR="00F776CE" w:rsidRPr="00F776CE" w:rsidRDefault="00F776CE" w:rsidP="00F776CE">
      <w:pPr>
        <w:spacing w:after="0"/>
        <w:rPr>
          <w:rFonts w:cs="Arial"/>
          <w:color w:val="252525"/>
          <w:shd w:val="clear" w:color="auto" w:fill="FFFFFF"/>
        </w:rPr>
      </w:pPr>
    </w:p>
    <w:p w:rsidR="004C25D7" w:rsidRDefault="00CC7916" w:rsidP="00F776CE">
      <w:pPr>
        <w:spacing w:after="0"/>
        <w:rPr>
          <w:rFonts w:cs="Arial"/>
          <w:color w:val="252525"/>
          <w:shd w:val="clear" w:color="auto" w:fill="FFFFFF"/>
        </w:rPr>
      </w:pPr>
      <w:r w:rsidRPr="00F776CE">
        <w:rPr>
          <w:rFonts w:cs="Arial"/>
          <w:color w:val="252525"/>
          <w:shd w:val="clear" w:color="auto" w:fill="FFFFFF"/>
        </w:rPr>
        <w:t xml:space="preserve">As explained in previous articles, the road ‘reform’ under discussion is the replacement of indirect charges and taxes with direct charges.  Road providers would receive income from direct charges and Governments would forego road related revenue.  </w:t>
      </w:r>
    </w:p>
    <w:p w:rsidR="00F776CE" w:rsidRPr="00F776CE" w:rsidRDefault="00F776CE" w:rsidP="00F776CE">
      <w:pPr>
        <w:spacing w:after="0"/>
        <w:rPr>
          <w:rFonts w:cs="Arial"/>
          <w:color w:val="252525"/>
          <w:shd w:val="clear" w:color="auto" w:fill="FFFFFF"/>
        </w:rPr>
      </w:pPr>
    </w:p>
    <w:p w:rsidR="00CC7916" w:rsidRDefault="00CC7916" w:rsidP="00F776CE">
      <w:pPr>
        <w:spacing w:after="0"/>
        <w:rPr>
          <w:rFonts w:cs="Arial"/>
          <w:color w:val="252525"/>
          <w:shd w:val="clear" w:color="auto" w:fill="FFFFFF"/>
        </w:rPr>
      </w:pPr>
      <w:r w:rsidRPr="00F776CE">
        <w:rPr>
          <w:rFonts w:cs="Arial"/>
          <w:color w:val="252525"/>
          <w:shd w:val="clear" w:color="auto" w:fill="FFFFFF"/>
        </w:rPr>
        <w:t xml:space="preserve">Inclusion of the new items in current road related revenue </w:t>
      </w:r>
      <w:r w:rsidR="00856E52">
        <w:rPr>
          <w:rFonts w:cs="Arial"/>
          <w:color w:val="252525"/>
          <w:shd w:val="clear" w:color="auto" w:fill="FFFFFF"/>
        </w:rPr>
        <w:t>c</w:t>
      </w:r>
      <w:bookmarkStart w:id="0" w:name="_GoBack"/>
      <w:bookmarkEnd w:id="0"/>
      <w:r w:rsidRPr="00F776CE">
        <w:rPr>
          <w:rFonts w:cs="Arial"/>
          <w:color w:val="252525"/>
          <w:shd w:val="clear" w:color="auto" w:fill="FFFFFF"/>
        </w:rPr>
        <w:t xml:space="preserve">ould imply </w:t>
      </w:r>
      <w:r w:rsidR="007F35F6" w:rsidRPr="00F776CE">
        <w:rPr>
          <w:rFonts w:cs="Arial"/>
          <w:color w:val="252525"/>
          <w:shd w:val="clear" w:color="auto" w:fill="FFFFFF"/>
        </w:rPr>
        <w:t xml:space="preserve">a starting proposition </w:t>
      </w:r>
      <w:r w:rsidRPr="00F776CE">
        <w:rPr>
          <w:rFonts w:cs="Arial"/>
          <w:color w:val="252525"/>
          <w:shd w:val="clear" w:color="auto" w:fill="FFFFFF"/>
        </w:rPr>
        <w:t>that the Commonwealth forego much more revenue than just the excise.</w:t>
      </w:r>
    </w:p>
    <w:p w:rsidR="00F776CE" w:rsidRPr="00F776CE" w:rsidRDefault="00F776CE" w:rsidP="00F776CE">
      <w:pPr>
        <w:spacing w:after="0"/>
        <w:rPr>
          <w:rFonts w:cs="Arial"/>
          <w:color w:val="252525"/>
          <w:shd w:val="clear" w:color="auto" w:fill="FFFFFF"/>
        </w:rPr>
      </w:pPr>
    </w:p>
    <w:p w:rsidR="007F35F6" w:rsidRDefault="007F35F6" w:rsidP="00F776CE">
      <w:pPr>
        <w:spacing w:after="0"/>
        <w:rPr>
          <w:rFonts w:cs="Arial"/>
          <w:color w:val="252525"/>
          <w:shd w:val="clear" w:color="auto" w:fill="FFFFFF"/>
        </w:rPr>
      </w:pPr>
      <w:r w:rsidRPr="00F776CE">
        <w:rPr>
          <w:rFonts w:cs="Arial"/>
          <w:color w:val="252525"/>
          <w:shd w:val="clear" w:color="auto" w:fill="FFFFFF"/>
        </w:rPr>
        <w:t xml:space="preserve">The </w:t>
      </w:r>
      <w:r w:rsidR="001268D7" w:rsidRPr="00F776CE">
        <w:rPr>
          <w:rFonts w:cs="Arial"/>
          <w:color w:val="252525"/>
          <w:shd w:val="clear" w:color="auto" w:fill="FFFFFF"/>
        </w:rPr>
        <w:t xml:space="preserve">change in </w:t>
      </w:r>
      <w:r w:rsidRPr="00F776CE">
        <w:rPr>
          <w:rFonts w:cs="Arial"/>
          <w:color w:val="252525"/>
          <w:shd w:val="clear" w:color="auto" w:fill="FFFFFF"/>
        </w:rPr>
        <w:t>roads fiscal situation</w:t>
      </w:r>
      <w:r w:rsidR="004C25D7" w:rsidRPr="00F776CE">
        <w:rPr>
          <w:rFonts w:cs="Arial"/>
          <w:color w:val="252525"/>
          <w:shd w:val="clear" w:color="auto" w:fill="FFFFFF"/>
        </w:rPr>
        <w:t xml:space="preserve"> </w:t>
      </w:r>
      <w:r w:rsidR="001268D7" w:rsidRPr="00F776CE">
        <w:rPr>
          <w:rFonts w:cs="Arial"/>
          <w:color w:val="252525"/>
          <w:shd w:val="clear" w:color="auto" w:fill="FFFFFF"/>
        </w:rPr>
        <w:t>depicted</w:t>
      </w:r>
      <w:r w:rsidRPr="00F776CE">
        <w:rPr>
          <w:rFonts w:cs="Arial"/>
          <w:color w:val="252525"/>
          <w:shd w:val="clear" w:color="auto" w:fill="FFFFFF"/>
        </w:rPr>
        <w:t xml:space="preserve"> </w:t>
      </w:r>
      <w:r w:rsidR="001268D7" w:rsidRPr="00F776CE">
        <w:rPr>
          <w:rFonts w:cs="Arial"/>
          <w:color w:val="252525"/>
          <w:shd w:val="clear" w:color="auto" w:fill="FFFFFF"/>
        </w:rPr>
        <w:t xml:space="preserve">by </w:t>
      </w:r>
      <w:r w:rsidRPr="00F776CE">
        <w:rPr>
          <w:rFonts w:cs="Arial"/>
          <w:color w:val="252525"/>
          <w:shd w:val="clear" w:color="auto" w:fill="FFFFFF"/>
        </w:rPr>
        <w:t>inclusion of these new items is shown in Figure 5</w:t>
      </w:r>
      <w:r w:rsidR="00170374">
        <w:rPr>
          <w:rFonts w:cs="Arial"/>
          <w:color w:val="252525"/>
          <w:shd w:val="clear" w:color="auto" w:fill="FFFFFF"/>
        </w:rPr>
        <w:t>.  The Figure uses data from the 2015 yearbook up to year 2012-13.</w:t>
      </w:r>
    </w:p>
    <w:p w:rsidR="00F776CE" w:rsidRDefault="00F776CE" w:rsidP="00F776CE">
      <w:pPr>
        <w:spacing w:after="0"/>
        <w:rPr>
          <w:rFonts w:cs="Arial"/>
          <w:color w:val="252525"/>
          <w:shd w:val="clear" w:color="auto" w:fill="FFFFFF"/>
        </w:rPr>
      </w:pPr>
    </w:p>
    <w:p w:rsidR="00F776CE" w:rsidRDefault="00F776CE" w:rsidP="00F776CE">
      <w:pPr>
        <w:spacing w:after="0"/>
        <w:rPr>
          <w:rFonts w:cs="Arial"/>
          <w:color w:val="252525"/>
          <w:shd w:val="clear" w:color="auto" w:fill="FFFFFF"/>
        </w:rPr>
      </w:pPr>
    </w:p>
    <w:p w:rsidR="00170374" w:rsidRDefault="00170374" w:rsidP="00F776CE">
      <w:pPr>
        <w:spacing w:after="0"/>
        <w:rPr>
          <w:rFonts w:cs="Arial"/>
          <w:color w:val="252525"/>
          <w:shd w:val="clear" w:color="auto" w:fill="FFFFFF"/>
        </w:rPr>
      </w:pPr>
    </w:p>
    <w:p w:rsidR="00103A2E" w:rsidRDefault="00103A2E" w:rsidP="00F776CE">
      <w:pPr>
        <w:spacing w:after="0"/>
        <w:rPr>
          <w:rFonts w:cs="Arial"/>
          <w:color w:val="252525"/>
          <w:shd w:val="clear" w:color="auto" w:fill="FFFFFF"/>
        </w:rPr>
      </w:pPr>
    </w:p>
    <w:p w:rsidR="00F776CE" w:rsidRDefault="00F776CE" w:rsidP="00F776CE">
      <w:pPr>
        <w:spacing w:after="0"/>
        <w:rPr>
          <w:rFonts w:cs="Arial"/>
          <w:color w:val="252525"/>
          <w:shd w:val="clear" w:color="auto" w:fill="FFFFFF"/>
        </w:rPr>
      </w:pPr>
    </w:p>
    <w:p w:rsidR="00F776CE" w:rsidRDefault="00F776CE" w:rsidP="00F776CE">
      <w:pPr>
        <w:spacing w:after="0"/>
        <w:rPr>
          <w:rFonts w:cs="Arial"/>
          <w:color w:val="252525"/>
          <w:shd w:val="clear" w:color="auto" w:fill="FFFFFF"/>
        </w:rPr>
      </w:pPr>
    </w:p>
    <w:p w:rsidR="00F776CE" w:rsidRDefault="00F776CE" w:rsidP="00F776CE">
      <w:pPr>
        <w:spacing w:after="0"/>
        <w:rPr>
          <w:rFonts w:cs="Arial"/>
          <w:color w:val="252525"/>
          <w:shd w:val="clear" w:color="auto" w:fill="FFFFFF"/>
        </w:rPr>
      </w:pPr>
    </w:p>
    <w:p w:rsidR="007F35F6" w:rsidRPr="00F776CE" w:rsidRDefault="007F35F6" w:rsidP="00F776CE">
      <w:pPr>
        <w:spacing w:after="0"/>
        <w:rPr>
          <w:rFonts w:cs="Arial"/>
          <w:b/>
          <w:color w:val="252525"/>
          <w:shd w:val="clear" w:color="auto" w:fill="FFFFFF"/>
        </w:rPr>
      </w:pPr>
      <w:r w:rsidRPr="00F776CE">
        <w:rPr>
          <w:rFonts w:cs="Arial"/>
          <w:b/>
          <w:color w:val="252525"/>
          <w:shd w:val="clear" w:color="auto" w:fill="FFFFFF"/>
        </w:rPr>
        <w:t xml:space="preserve">Figure 5: Roads fiscal position; </w:t>
      </w:r>
      <w:r w:rsidR="00170374">
        <w:rPr>
          <w:rFonts w:cs="Arial"/>
          <w:b/>
          <w:color w:val="252525"/>
          <w:shd w:val="clear" w:color="auto" w:fill="FFFFFF"/>
        </w:rPr>
        <w:t>including and excluding new revenue items (a)</w:t>
      </w:r>
    </w:p>
    <w:p w:rsidR="007F35F6" w:rsidRPr="00F776CE" w:rsidRDefault="00170374" w:rsidP="00F776CE">
      <w:pPr>
        <w:spacing w:after="0"/>
        <w:rPr>
          <w:rFonts w:cs="Arial"/>
          <w:color w:val="252525"/>
          <w:shd w:val="clear" w:color="auto" w:fill="FFFFFF"/>
        </w:rPr>
      </w:pPr>
      <w:r>
        <w:rPr>
          <w:noProof/>
          <w:lang w:eastAsia="en-GB"/>
        </w:rPr>
        <w:drawing>
          <wp:inline distT="0" distB="0" distL="0" distR="0" wp14:anchorId="32A2B92E" wp14:editId="4A1102F2">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F35F6" w:rsidRPr="00F776CE">
        <w:rPr>
          <w:rFonts w:cs="Arial"/>
          <w:color w:val="252525"/>
          <w:shd w:val="clear" w:color="auto" w:fill="FFFFFF"/>
        </w:rPr>
        <w:t xml:space="preserve"> </w:t>
      </w:r>
    </w:p>
    <w:p w:rsidR="00170374" w:rsidRDefault="003E2869" w:rsidP="003E2869">
      <w:pPr>
        <w:pStyle w:val="ListParagraph"/>
        <w:numPr>
          <w:ilvl w:val="0"/>
          <w:numId w:val="5"/>
        </w:numPr>
        <w:spacing w:after="0"/>
        <w:rPr>
          <w:rFonts w:cs="Arial"/>
          <w:color w:val="252525"/>
          <w:sz w:val="16"/>
          <w:szCs w:val="16"/>
          <w:shd w:val="clear" w:color="auto" w:fill="FFFFFF"/>
        </w:rPr>
      </w:pPr>
      <w:r w:rsidRPr="003E2869">
        <w:rPr>
          <w:rFonts w:cs="Arial"/>
          <w:color w:val="252525"/>
          <w:sz w:val="16"/>
          <w:szCs w:val="16"/>
          <w:shd w:val="clear" w:color="auto" w:fill="FFFFFF"/>
        </w:rPr>
        <w:t>Including new revenue items such as the goods and services tax, as reported in the 2015 Infrastructure statistics yearbook.  ‘Excluding’ new revenue items as in the 2014 Infrastructure statistics yearbook.</w:t>
      </w:r>
    </w:p>
    <w:p w:rsidR="003E2869" w:rsidRPr="003E2869" w:rsidRDefault="003E2869" w:rsidP="003E2869">
      <w:pPr>
        <w:pStyle w:val="ListParagraph"/>
        <w:spacing w:after="0"/>
        <w:rPr>
          <w:rFonts w:cs="Arial"/>
          <w:color w:val="252525"/>
          <w:sz w:val="16"/>
          <w:szCs w:val="16"/>
          <w:shd w:val="clear" w:color="auto" w:fill="FFFFFF"/>
        </w:rPr>
      </w:pPr>
    </w:p>
    <w:p w:rsidR="00CC7916" w:rsidRDefault="00CC7916" w:rsidP="00F776CE">
      <w:pPr>
        <w:spacing w:after="0"/>
        <w:rPr>
          <w:rFonts w:cs="Arial"/>
          <w:color w:val="252525"/>
          <w:shd w:val="clear" w:color="auto" w:fill="FFFFFF"/>
        </w:rPr>
      </w:pPr>
      <w:r w:rsidRPr="00F776CE">
        <w:rPr>
          <w:rFonts w:cs="Arial"/>
          <w:color w:val="252525"/>
          <w:shd w:val="clear" w:color="auto" w:fill="FFFFFF"/>
        </w:rPr>
        <w:t xml:space="preserve">Apart from the obstacle </w:t>
      </w:r>
      <w:r w:rsidR="00011AC0">
        <w:rPr>
          <w:rFonts w:cs="Arial"/>
          <w:color w:val="252525"/>
          <w:shd w:val="clear" w:color="auto" w:fill="FFFFFF"/>
        </w:rPr>
        <w:t>the new</w:t>
      </w:r>
      <w:r w:rsidRPr="00F776CE">
        <w:rPr>
          <w:rFonts w:cs="Arial"/>
          <w:color w:val="252525"/>
          <w:shd w:val="clear" w:color="auto" w:fill="FFFFFF"/>
        </w:rPr>
        <w:t xml:space="preserve"> approach </w:t>
      </w:r>
      <w:r w:rsidR="00170374">
        <w:rPr>
          <w:rFonts w:cs="Arial"/>
          <w:color w:val="252525"/>
          <w:shd w:val="clear" w:color="auto" w:fill="FFFFFF"/>
        </w:rPr>
        <w:t xml:space="preserve">would </w:t>
      </w:r>
      <w:r w:rsidRPr="00F776CE">
        <w:rPr>
          <w:rFonts w:cs="Arial"/>
          <w:color w:val="252525"/>
          <w:shd w:val="clear" w:color="auto" w:fill="FFFFFF"/>
        </w:rPr>
        <w:t xml:space="preserve">put in front of road reform, significant distortions would arise.  For example the fringe benefits tax, the goods and services tax and customs duties are payable in relation to public transport.  The concerns about the impact of </w:t>
      </w:r>
      <w:r w:rsidR="004C25D7" w:rsidRPr="00F776CE">
        <w:rPr>
          <w:rFonts w:cs="Arial"/>
          <w:color w:val="252525"/>
          <w:shd w:val="clear" w:color="auto" w:fill="FFFFFF"/>
        </w:rPr>
        <w:t xml:space="preserve">existing tax concessions </w:t>
      </w:r>
      <w:r w:rsidRPr="00F776CE">
        <w:rPr>
          <w:rFonts w:cs="Arial"/>
          <w:color w:val="252525"/>
          <w:shd w:val="clear" w:color="auto" w:fill="FFFFFF"/>
        </w:rPr>
        <w:t xml:space="preserve">for car use would be dwarfed were road users to be </w:t>
      </w:r>
      <w:r w:rsidR="007F35F6" w:rsidRPr="00F776CE">
        <w:rPr>
          <w:rFonts w:cs="Arial"/>
          <w:color w:val="252525"/>
          <w:shd w:val="clear" w:color="auto" w:fill="FFFFFF"/>
        </w:rPr>
        <w:t xml:space="preserve">fully </w:t>
      </w:r>
      <w:r w:rsidRPr="00F776CE">
        <w:rPr>
          <w:rFonts w:cs="Arial"/>
          <w:color w:val="252525"/>
          <w:shd w:val="clear" w:color="auto" w:fill="FFFFFF"/>
        </w:rPr>
        <w:t>exempt from</w:t>
      </w:r>
      <w:r w:rsidR="007F35F6" w:rsidRPr="00F776CE">
        <w:rPr>
          <w:rFonts w:cs="Arial"/>
          <w:color w:val="252525"/>
          <w:shd w:val="clear" w:color="auto" w:fill="FFFFFF"/>
        </w:rPr>
        <w:t xml:space="preserve"> </w:t>
      </w:r>
      <w:r w:rsidR="004C25D7" w:rsidRPr="00F776CE">
        <w:rPr>
          <w:rFonts w:cs="Arial"/>
          <w:color w:val="252525"/>
          <w:shd w:val="clear" w:color="auto" w:fill="FFFFFF"/>
        </w:rPr>
        <w:t xml:space="preserve">the items </w:t>
      </w:r>
      <w:r w:rsidR="00E703F4" w:rsidRPr="00F776CE">
        <w:rPr>
          <w:rFonts w:cs="Arial"/>
          <w:color w:val="252525"/>
          <w:shd w:val="clear" w:color="auto" w:fill="FFFFFF"/>
        </w:rPr>
        <w:t xml:space="preserve">claimed </w:t>
      </w:r>
      <w:r w:rsidR="004C25D7" w:rsidRPr="00F776CE">
        <w:rPr>
          <w:rFonts w:cs="Arial"/>
          <w:color w:val="252525"/>
          <w:shd w:val="clear" w:color="auto" w:fill="FFFFFF"/>
        </w:rPr>
        <w:t xml:space="preserve">by the Bureau </w:t>
      </w:r>
      <w:r w:rsidR="00E703F4" w:rsidRPr="00F776CE">
        <w:rPr>
          <w:rFonts w:cs="Arial"/>
          <w:color w:val="252525"/>
          <w:shd w:val="clear" w:color="auto" w:fill="FFFFFF"/>
        </w:rPr>
        <w:t xml:space="preserve">in 2015 </w:t>
      </w:r>
      <w:r w:rsidR="004C25D7" w:rsidRPr="00F776CE">
        <w:rPr>
          <w:rFonts w:cs="Arial"/>
          <w:color w:val="252525"/>
          <w:shd w:val="clear" w:color="auto" w:fill="FFFFFF"/>
        </w:rPr>
        <w:t>as road related revenues</w:t>
      </w:r>
      <w:r w:rsidR="007F35F6" w:rsidRPr="00F776CE">
        <w:rPr>
          <w:rFonts w:cs="Arial"/>
          <w:color w:val="252525"/>
          <w:shd w:val="clear" w:color="auto" w:fill="FFFFFF"/>
        </w:rPr>
        <w:t>.</w:t>
      </w:r>
      <w:r w:rsidRPr="00F776CE">
        <w:rPr>
          <w:rFonts w:cs="Arial"/>
          <w:color w:val="252525"/>
          <w:shd w:val="clear" w:color="auto" w:fill="FFFFFF"/>
        </w:rPr>
        <w:t xml:space="preserve"> </w:t>
      </w:r>
    </w:p>
    <w:p w:rsidR="00F776CE" w:rsidRPr="00F776CE" w:rsidRDefault="00F776CE" w:rsidP="00F776CE">
      <w:pPr>
        <w:spacing w:after="0"/>
        <w:rPr>
          <w:rFonts w:cs="Arial"/>
          <w:color w:val="252525"/>
          <w:shd w:val="clear" w:color="auto" w:fill="FFFFFF"/>
        </w:rPr>
      </w:pPr>
    </w:p>
    <w:p w:rsidR="00F776CE" w:rsidRDefault="0040550A" w:rsidP="00F776CE">
      <w:pPr>
        <w:spacing w:after="0"/>
        <w:rPr>
          <w:rFonts w:cs="Arial"/>
          <w:color w:val="252525"/>
          <w:shd w:val="clear" w:color="auto" w:fill="FFFFFF"/>
        </w:rPr>
      </w:pPr>
      <w:r w:rsidRPr="00F776CE">
        <w:rPr>
          <w:rFonts w:cs="Arial"/>
          <w:color w:val="252525"/>
          <w:shd w:val="clear" w:color="auto" w:fill="FFFFFF"/>
        </w:rPr>
        <w:t xml:space="preserve">Readers may recall that the 2014 yearbook </w:t>
      </w:r>
      <w:r w:rsidR="009B61C8" w:rsidRPr="00F776CE">
        <w:rPr>
          <w:rFonts w:cs="Arial"/>
          <w:color w:val="252525"/>
          <w:shd w:val="clear" w:color="auto" w:fill="FFFFFF"/>
        </w:rPr>
        <w:t>also had</w:t>
      </w:r>
      <w:r w:rsidRPr="00F776CE">
        <w:rPr>
          <w:rFonts w:cs="Arial"/>
          <w:color w:val="252525"/>
          <w:shd w:val="clear" w:color="auto" w:fill="FFFFFF"/>
        </w:rPr>
        <w:t xml:space="preserve"> very substantial revisions</w:t>
      </w:r>
      <w:r w:rsidR="007F35F6" w:rsidRPr="00F776CE">
        <w:rPr>
          <w:rFonts w:cs="Arial"/>
          <w:color w:val="252525"/>
          <w:shd w:val="clear" w:color="auto" w:fill="FFFFFF"/>
        </w:rPr>
        <w:t xml:space="preserve"> to the road </w:t>
      </w:r>
      <w:r w:rsidR="00C6125F">
        <w:rPr>
          <w:rFonts w:cs="Arial"/>
          <w:color w:val="252525"/>
          <w:shd w:val="clear" w:color="auto" w:fill="FFFFFF"/>
        </w:rPr>
        <w:t>spending</w:t>
      </w:r>
      <w:r w:rsidR="007F35F6" w:rsidRPr="00F776CE">
        <w:rPr>
          <w:rFonts w:cs="Arial"/>
          <w:color w:val="252525"/>
          <w:shd w:val="clear" w:color="auto" w:fill="FFFFFF"/>
        </w:rPr>
        <w:t xml:space="preserve"> figures</w:t>
      </w:r>
      <w:r w:rsidR="00F8339E">
        <w:rPr>
          <w:rFonts w:cs="Arial"/>
          <w:color w:val="252525"/>
          <w:shd w:val="clear" w:color="auto" w:fill="FFFFFF"/>
        </w:rPr>
        <w:t>; around $5bn each year or 25%</w:t>
      </w:r>
      <w:r w:rsidR="007F35F6" w:rsidRPr="00F776CE">
        <w:rPr>
          <w:rFonts w:cs="Arial"/>
          <w:color w:val="252525"/>
          <w:shd w:val="clear" w:color="auto" w:fill="FFFFFF"/>
        </w:rPr>
        <w:t xml:space="preserve">.  </w:t>
      </w:r>
    </w:p>
    <w:p w:rsidR="00D95218" w:rsidRPr="00F776CE" w:rsidRDefault="00D95218" w:rsidP="00F776CE">
      <w:pPr>
        <w:spacing w:after="0"/>
        <w:rPr>
          <w:rFonts w:cs="Arial"/>
          <w:color w:val="252525"/>
          <w:shd w:val="clear" w:color="auto" w:fill="FFFFFF"/>
        </w:rPr>
      </w:pPr>
    </w:p>
    <w:p w:rsidR="00BB6096" w:rsidRDefault="00BB6096" w:rsidP="00F776CE">
      <w:pPr>
        <w:spacing w:after="0"/>
        <w:rPr>
          <w:rFonts w:cs="Arial"/>
          <w:color w:val="252525"/>
          <w:shd w:val="clear" w:color="auto" w:fill="FFFFFF"/>
        </w:rPr>
      </w:pPr>
      <w:r w:rsidRPr="00F776CE">
        <w:rPr>
          <w:rFonts w:cs="Arial"/>
          <w:color w:val="252525"/>
          <w:shd w:val="clear" w:color="auto" w:fill="FFFFFF"/>
        </w:rPr>
        <w:t>To conclude on this topic, I prefer the approach adopted by the Bu</w:t>
      </w:r>
      <w:r w:rsidR="003E2869">
        <w:rPr>
          <w:rFonts w:cs="Arial"/>
          <w:color w:val="252525"/>
          <w:shd w:val="clear" w:color="auto" w:fill="FFFFFF"/>
        </w:rPr>
        <w:t>reau prior to the 2015 yearbook; excluding the new revenue items.</w:t>
      </w:r>
      <w:r w:rsidRPr="00F776CE">
        <w:rPr>
          <w:rFonts w:cs="Arial"/>
          <w:color w:val="252525"/>
          <w:shd w:val="clear" w:color="auto" w:fill="FFFFFF"/>
        </w:rPr>
        <w:t xml:space="preserve">  </w:t>
      </w:r>
      <w:r w:rsidR="00D95218">
        <w:rPr>
          <w:rFonts w:cs="Arial"/>
          <w:color w:val="252525"/>
          <w:shd w:val="clear" w:color="auto" w:fill="FFFFFF"/>
        </w:rPr>
        <w:t>On th</w:t>
      </w:r>
      <w:r w:rsidR="003E2869">
        <w:rPr>
          <w:rFonts w:cs="Arial"/>
          <w:color w:val="252525"/>
          <w:shd w:val="clear" w:color="auto" w:fill="FFFFFF"/>
        </w:rPr>
        <w:t>at</w:t>
      </w:r>
      <w:r w:rsidR="00D95218">
        <w:rPr>
          <w:rFonts w:cs="Arial"/>
          <w:color w:val="252525"/>
          <w:shd w:val="clear" w:color="auto" w:fill="FFFFFF"/>
        </w:rPr>
        <w:t xml:space="preserve"> approach, </w:t>
      </w:r>
      <w:r w:rsidR="003E2869">
        <w:rPr>
          <w:rFonts w:cs="Arial"/>
          <w:color w:val="252525"/>
          <w:shd w:val="clear" w:color="auto" w:fill="FFFFFF"/>
        </w:rPr>
        <w:t xml:space="preserve">even accepting the major revisions in excise revenues, </w:t>
      </w:r>
      <w:r w:rsidR="00D95218">
        <w:rPr>
          <w:rFonts w:cs="Arial"/>
          <w:color w:val="252525"/>
          <w:shd w:val="clear" w:color="auto" w:fill="FFFFFF"/>
        </w:rPr>
        <w:t>t</w:t>
      </w:r>
      <w:r w:rsidRPr="00F776CE">
        <w:rPr>
          <w:rFonts w:cs="Arial"/>
          <w:color w:val="252525"/>
          <w:shd w:val="clear" w:color="auto" w:fill="FFFFFF"/>
        </w:rPr>
        <w:t xml:space="preserve">he roads fiscal deficit for 2013-14 </w:t>
      </w:r>
      <w:r w:rsidR="00D95218">
        <w:rPr>
          <w:rFonts w:cs="Arial"/>
          <w:color w:val="252525"/>
          <w:shd w:val="clear" w:color="auto" w:fill="FFFFFF"/>
        </w:rPr>
        <w:t>was at least</w:t>
      </w:r>
      <w:r w:rsidRPr="00F776CE">
        <w:rPr>
          <w:rFonts w:cs="Arial"/>
          <w:color w:val="252525"/>
          <w:shd w:val="clear" w:color="auto" w:fill="FFFFFF"/>
        </w:rPr>
        <w:t xml:space="preserve"> $5.1bn, a</w:t>
      </w:r>
      <w:r w:rsidR="00011AC0">
        <w:rPr>
          <w:rFonts w:cs="Arial"/>
          <w:color w:val="252525"/>
          <w:shd w:val="clear" w:color="auto" w:fill="FFFFFF"/>
        </w:rPr>
        <w:t xml:space="preserve"> noticeable </w:t>
      </w:r>
      <w:r w:rsidRPr="00F776CE">
        <w:rPr>
          <w:rFonts w:cs="Arial"/>
          <w:color w:val="252525"/>
          <w:shd w:val="clear" w:color="auto" w:fill="FFFFFF"/>
        </w:rPr>
        <w:t xml:space="preserve">increase from the previous year.  </w:t>
      </w:r>
      <w:r w:rsidR="00D95218">
        <w:rPr>
          <w:rFonts w:cs="Arial"/>
          <w:color w:val="252525"/>
          <w:shd w:val="clear" w:color="auto" w:fill="FFFFFF"/>
        </w:rPr>
        <w:t xml:space="preserve">In real terms, road spending increased and road revenue fell.  </w:t>
      </w:r>
      <w:r w:rsidRPr="00F776CE">
        <w:rPr>
          <w:rFonts w:cs="Arial"/>
          <w:color w:val="252525"/>
          <w:shd w:val="clear" w:color="auto" w:fill="FFFFFF"/>
        </w:rPr>
        <w:t xml:space="preserve">For the five year period the aggregate deficit was </w:t>
      </w:r>
      <w:r w:rsidR="004257B2" w:rsidRPr="00F776CE">
        <w:rPr>
          <w:rFonts w:cs="Arial"/>
          <w:color w:val="252525"/>
          <w:shd w:val="clear" w:color="auto" w:fill="FFFFFF"/>
        </w:rPr>
        <w:t xml:space="preserve">at least </w:t>
      </w:r>
      <w:r w:rsidRPr="00F776CE">
        <w:rPr>
          <w:rFonts w:cs="Arial"/>
          <w:color w:val="252525"/>
          <w:shd w:val="clear" w:color="auto" w:fill="FFFFFF"/>
        </w:rPr>
        <w:t xml:space="preserve">$19.3bn.  </w:t>
      </w:r>
      <w:r w:rsidR="009B61C8" w:rsidRPr="00F776CE">
        <w:rPr>
          <w:rFonts w:cs="Arial"/>
          <w:color w:val="252525"/>
          <w:shd w:val="clear" w:color="auto" w:fill="FFFFFF"/>
        </w:rPr>
        <w:t>T</w:t>
      </w:r>
      <w:r w:rsidRPr="00F776CE">
        <w:rPr>
          <w:rFonts w:cs="Arial"/>
          <w:color w:val="252525"/>
          <w:shd w:val="clear" w:color="auto" w:fill="FFFFFF"/>
        </w:rPr>
        <w:t xml:space="preserve">his represents a </w:t>
      </w:r>
      <w:r w:rsidR="00E703F4" w:rsidRPr="00F776CE">
        <w:rPr>
          <w:rFonts w:cs="Arial"/>
          <w:color w:val="252525"/>
          <w:shd w:val="clear" w:color="auto" w:fill="FFFFFF"/>
        </w:rPr>
        <w:t>major</w:t>
      </w:r>
      <w:r w:rsidR="00D95218">
        <w:rPr>
          <w:rFonts w:cs="Arial"/>
          <w:color w:val="252525"/>
          <w:shd w:val="clear" w:color="auto" w:fill="FFFFFF"/>
        </w:rPr>
        <w:t xml:space="preserve">, </w:t>
      </w:r>
      <w:r w:rsidR="00C6125F">
        <w:rPr>
          <w:rFonts w:cs="Arial"/>
          <w:color w:val="252525"/>
          <w:shd w:val="clear" w:color="auto" w:fill="FFFFFF"/>
        </w:rPr>
        <w:t>ignored</w:t>
      </w:r>
      <w:r w:rsidRPr="00F776CE">
        <w:rPr>
          <w:rFonts w:cs="Arial"/>
          <w:color w:val="252525"/>
          <w:shd w:val="clear" w:color="auto" w:fill="FFFFFF"/>
        </w:rPr>
        <w:t xml:space="preserve"> problem for road reform.</w:t>
      </w:r>
      <w:r w:rsidR="009B61C8" w:rsidRPr="00F776CE">
        <w:rPr>
          <w:rFonts w:cs="Arial"/>
          <w:color w:val="252525"/>
          <w:shd w:val="clear" w:color="auto" w:fill="FFFFFF"/>
        </w:rPr>
        <w:t xml:space="preserve">  </w:t>
      </w:r>
      <w:r w:rsidR="00E703F4" w:rsidRPr="00F776CE">
        <w:rPr>
          <w:rFonts w:cs="Arial"/>
          <w:color w:val="252525"/>
          <w:shd w:val="clear" w:color="auto" w:fill="FFFFFF"/>
        </w:rPr>
        <w:t>And a formidable problem without reform.  The</w:t>
      </w:r>
      <w:r w:rsidR="00D95218">
        <w:rPr>
          <w:rFonts w:cs="Arial"/>
          <w:color w:val="252525"/>
          <w:shd w:val="clear" w:color="auto" w:fill="FFFFFF"/>
        </w:rPr>
        <w:t xml:space="preserve"> </w:t>
      </w:r>
      <w:r w:rsidR="00202845">
        <w:rPr>
          <w:rFonts w:cs="Arial"/>
          <w:color w:val="252525"/>
          <w:shd w:val="clear" w:color="auto" w:fill="FFFFFF"/>
        </w:rPr>
        <w:t>Bureau’s revisions do not help.</w:t>
      </w:r>
    </w:p>
    <w:p w:rsidR="00F776CE" w:rsidRPr="00F776CE" w:rsidRDefault="00F776CE" w:rsidP="00F776CE">
      <w:pPr>
        <w:spacing w:after="0"/>
        <w:rPr>
          <w:rFonts w:cs="Arial"/>
          <w:color w:val="252525"/>
          <w:shd w:val="clear" w:color="auto" w:fill="FFFFFF"/>
        </w:rPr>
      </w:pPr>
    </w:p>
    <w:p w:rsidR="004257B2" w:rsidRPr="00F776CE" w:rsidRDefault="004257B2" w:rsidP="00F776CE">
      <w:pPr>
        <w:pStyle w:val="Heading2"/>
        <w:spacing w:before="0"/>
        <w:rPr>
          <w:rFonts w:asciiTheme="minorHAnsi" w:hAnsiTheme="minorHAnsi"/>
          <w:shd w:val="clear" w:color="auto" w:fill="FFFFFF"/>
        </w:rPr>
      </w:pPr>
      <w:r w:rsidRPr="00F776CE">
        <w:rPr>
          <w:rFonts w:asciiTheme="minorHAnsi" w:hAnsiTheme="minorHAnsi"/>
          <w:shd w:val="clear" w:color="auto" w:fill="FFFFFF"/>
        </w:rPr>
        <w:t>Finally</w:t>
      </w:r>
    </w:p>
    <w:p w:rsidR="00367AB1" w:rsidRDefault="00367AB1" w:rsidP="00F776CE">
      <w:pPr>
        <w:spacing w:after="0"/>
        <w:rPr>
          <w:rFonts w:cs="Arial"/>
          <w:color w:val="252525"/>
          <w:shd w:val="clear" w:color="auto" w:fill="FFFFFF"/>
        </w:rPr>
      </w:pPr>
      <w:r w:rsidRPr="00F776CE">
        <w:rPr>
          <w:rFonts w:cs="Arial"/>
          <w:color w:val="252525"/>
          <w:shd w:val="clear" w:color="auto" w:fill="FFFFFF"/>
        </w:rPr>
        <w:t>Some probably feel the build-</w:t>
      </w:r>
      <w:r w:rsidR="00011AC0">
        <w:rPr>
          <w:rFonts w:cs="Arial"/>
          <w:color w:val="252525"/>
          <w:shd w:val="clear" w:color="auto" w:fill="FFFFFF"/>
        </w:rPr>
        <w:t>more-</w:t>
      </w:r>
      <w:r w:rsidRPr="00F776CE">
        <w:rPr>
          <w:rFonts w:cs="Arial"/>
          <w:color w:val="252525"/>
          <w:shd w:val="clear" w:color="auto" w:fill="FFFFFF"/>
        </w:rPr>
        <w:t xml:space="preserve">road spell can only do good.  There </w:t>
      </w:r>
      <w:r w:rsidR="00011AC0">
        <w:rPr>
          <w:rFonts w:cs="Arial"/>
          <w:color w:val="252525"/>
          <w:shd w:val="clear" w:color="auto" w:fill="FFFFFF"/>
        </w:rPr>
        <w:t>are</w:t>
      </w:r>
      <w:r w:rsidRPr="00F776CE">
        <w:rPr>
          <w:rFonts w:cs="Arial"/>
          <w:color w:val="252525"/>
          <w:shd w:val="clear" w:color="auto" w:fill="FFFFFF"/>
        </w:rPr>
        <w:t xml:space="preserve"> plenty of incantations</w:t>
      </w:r>
      <w:r w:rsidR="00011AC0">
        <w:rPr>
          <w:rFonts w:cs="Arial"/>
          <w:color w:val="252525"/>
          <w:shd w:val="clear" w:color="auto" w:fill="FFFFFF"/>
        </w:rPr>
        <w:t xml:space="preserve"> for this, even encouraging borrowing</w:t>
      </w:r>
      <w:r w:rsidR="00202845">
        <w:rPr>
          <w:rFonts w:cs="Arial"/>
          <w:color w:val="252525"/>
          <w:shd w:val="clear" w:color="auto" w:fill="FFFFFF"/>
        </w:rPr>
        <w:t xml:space="preserve"> more</w:t>
      </w:r>
      <w:r w:rsidR="00011AC0">
        <w:rPr>
          <w:rFonts w:cs="Arial"/>
          <w:color w:val="252525"/>
          <w:shd w:val="clear" w:color="auto" w:fill="FFFFFF"/>
        </w:rPr>
        <w:t>.</w:t>
      </w:r>
      <w:r w:rsidRPr="00F776CE">
        <w:rPr>
          <w:rFonts w:cs="Arial"/>
          <w:color w:val="252525"/>
          <w:shd w:val="clear" w:color="auto" w:fill="FFFFFF"/>
        </w:rPr>
        <w:t xml:space="preserve"> ‘</w:t>
      </w:r>
      <w:r w:rsidR="00011AC0">
        <w:rPr>
          <w:rFonts w:cs="Arial"/>
          <w:color w:val="252525"/>
          <w:shd w:val="clear" w:color="auto" w:fill="FFFFFF"/>
        </w:rPr>
        <w:t>K</w:t>
      </w:r>
      <w:r w:rsidRPr="00F776CE">
        <w:rPr>
          <w:rFonts w:cs="Arial"/>
          <w:color w:val="252525"/>
          <w:shd w:val="clear" w:color="auto" w:fill="FFFFFF"/>
        </w:rPr>
        <w:t>nowledge’ is brought forward to support the case.</w:t>
      </w:r>
    </w:p>
    <w:p w:rsidR="00F776CE" w:rsidRPr="00F776CE" w:rsidRDefault="00F776CE" w:rsidP="00F776CE">
      <w:pPr>
        <w:spacing w:after="0"/>
        <w:rPr>
          <w:rFonts w:cs="Arial"/>
          <w:color w:val="252525"/>
          <w:shd w:val="clear" w:color="auto" w:fill="FFFFFF"/>
        </w:rPr>
      </w:pPr>
    </w:p>
    <w:p w:rsidR="008A6FC2" w:rsidRDefault="004257B2" w:rsidP="00F776CE">
      <w:pPr>
        <w:spacing w:after="0"/>
        <w:rPr>
          <w:rFonts w:cs="Arial"/>
          <w:color w:val="252525"/>
          <w:shd w:val="clear" w:color="auto" w:fill="FFFFFF"/>
        </w:rPr>
      </w:pPr>
      <w:r w:rsidRPr="00F776CE">
        <w:rPr>
          <w:rFonts w:cs="Arial"/>
          <w:color w:val="252525"/>
          <w:shd w:val="clear" w:color="auto" w:fill="FFFFFF"/>
        </w:rPr>
        <w:t>Knowledge in other sectors does not seem to have the types of issues outlined above</w:t>
      </w:r>
      <w:r w:rsidR="00367AB1" w:rsidRPr="00F776CE">
        <w:rPr>
          <w:rFonts w:cs="Arial"/>
          <w:color w:val="252525"/>
          <w:shd w:val="clear" w:color="auto" w:fill="FFFFFF"/>
        </w:rPr>
        <w:t xml:space="preserve"> for roads</w:t>
      </w:r>
      <w:r w:rsidRPr="00F776CE">
        <w:rPr>
          <w:rFonts w:cs="Arial"/>
          <w:color w:val="252525"/>
          <w:shd w:val="clear" w:color="auto" w:fill="FFFFFF"/>
        </w:rPr>
        <w:t xml:space="preserve">.  </w:t>
      </w:r>
      <w:r w:rsidR="00367AB1" w:rsidRPr="00F776CE">
        <w:rPr>
          <w:rFonts w:cs="Arial"/>
          <w:color w:val="252525"/>
          <w:shd w:val="clear" w:color="auto" w:fill="FFFFFF"/>
        </w:rPr>
        <w:t>T</w:t>
      </w:r>
      <w:r w:rsidRPr="00F776CE">
        <w:rPr>
          <w:rFonts w:cs="Arial"/>
          <w:color w:val="252525"/>
          <w:shd w:val="clear" w:color="auto" w:fill="FFFFFF"/>
        </w:rPr>
        <w:t>he joint work of the Bureau and the Aus</w:t>
      </w:r>
      <w:r w:rsidR="00367AB1" w:rsidRPr="00F776CE">
        <w:rPr>
          <w:rFonts w:cs="Arial"/>
          <w:color w:val="252525"/>
          <w:shd w:val="clear" w:color="auto" w:fill="FFFFFF"/>
        </w:rPr>
        <w:t>tralasian Railways Association o</w:t>
      </w:r>
      <w:r w:rsidRPr="00F776CE">
        <w:rPr>
          <w:rFonts w:cs="Arial"/>
          <w:color w:val="252525"/>
          <w:shd w:val="clear" w:color="auto" w:fill="FFFFFF"/>
        </w:rPr>
        <w:t xml:space="preserve">n the Trainline publication </w:t>
      </w:r>
      <w:r w:rsidR="00367AB1" w:rsidRPr="00F776CE">
        <w:rPr>
          <w:rFonts w:cs="Arial"/>
          <w:color w:val="252525"/>
          <w:shd w:val="clear" w:color="auto" w:fill="FFFFFF"/>
        </w:rPr>
        <w:t xml:space="preserve">reveals </w:t>
      </w:r>
      <w:r w:rsidRPr="00F776CE">
        <w:rPr>
          <w:rFonts w:cs="Arial"/>
          <w:color w:val="252525"/>
          <w:shd w:val="clear" w:color="auto" w:fill="FFFFFF"/>
        </w:rPr>
        <w:t>th</w:t>
      </w:r>
      <w:r w:rsidR="00367AB1" w:rsidRPr="00F776CE">
        <w:rPr>
          <w:rFonts w:cs="Arial"/>
          <w:color w:val="252525"/>
          <w:shd w:val="clear" w:color="auto" w:fill="FFFFFF"/>
        </w:rPr>
        <w:t xml:space="preserve">at </w:t>
      </w:r>
      <w:r w:rsidR="003E2869">
        <w:rPr>
          <w:rFonts w:cs="Arial"/>
          <w:color w:val="252525"/>
          <w:shd w:val="clear" w:color="auto" w:fill="FFFFFF"/>
        </w:rPr>
        <w:t xml:space="preserve">consistent </w:t>
      </w:r>
      <w:r w:rsidR="00367AB1" w:rsidRPr="00F776CE">
        <w:rPr>
          <w:rFonts w:cs="Arial"/>
          <w:color w:val="252525"/>
          <w:shd w:val="clear" w:color="auto" w:fill="FFFFFF"/>
        </w:rPr>
        <w:t xml:space="preserve">excellence in transport reporting and analysis </w:t>
      </w:r>
      <w:r w:rsidR="00103A2E">
        <w:rPr>
          <w:rFonts w:cs="Arial"/>
          <w:color w:val="252525"/>
          <w:shd w:val="clear" w:color="auto" w:fill="FFFFFF"/>
        </w:rPr>
        <w:t xml:space="preserve">is </w:t>
      </w:r>
      <w:r w:rsidRPr="00F776CE">
        <w:rPr>
          <w:rFonts w:cs="Arial"/>
          <w:color w:val="252525"/>
          <w:shd w:val="clear" w:color="auto" w:fill="FFFFFF"/>
        </w:rPr>
        <w:t>achievable.</w:t>
      </w:r>
      <w:r w:rsidRPr="00F776CE">
        <w:rPr>
          <w:rStyle w:val="EndnoteReference"/>
          <w:rFonts w:cs="Arial"/>
          <w:color w:val="252525"/>
          <w:shd w:val="clear" w:color="auto" w:fill="FFFFFF"/>
        </w:rPr>
        <w:endnoteReference w:id="17"/>
      </w:r>
    </w:p>
    <w:p w:rsidR="003E2869" w:rsidRDefault="003E2869" w:rsidP="003E2869">
      <w:pPr>
        <w:spacing w:after="0"/>
        <w:rPr>
          <w:rFonts w:cs="Arial"/>
          <w:color w:val="252525"/>
          <w:shd w:val="clear" w:color="auto" w:fill="FFFFFF"/>
        </w:rPr>
      </w:pPr>
    </w:p>
    <w:p w:rsidR="00F776CE" w:rsidRPr="00F776CE" w:rsidRDefault="003E2869" w:rsidP="00F776CE">
      <w:pPr>
        <w:spacing w:after="0"/>
        <w:rPr>
          <w:rFonts w:cs="Arial"/>
          <w:color w:val="252525"/>
          <w:shd w:val="clear" w:color="auto" w:fill="FFFFFF"/>
        </w:rPr>
      </w:pPr>
      <w:r w:rsidRPr="00F776CE">
        <w:rPr>
          <w:rFonts w:cs="Arial"/>
          <w:color w:val="252525"/>
          <w:shd w:val="clear" w:color="auto" w:fill="FFFFFF"/>
        </w:rPr>
        <w:t xml:space="preserve">While </w:t>
      </w:r>
      <w:r>
        <w:rPr>
          <w:rFonts w:cs="Arial"/>
          <w:color w:val="252525"/>
          <w:shd w:val="clear" w:color="auto" w:fill="FFFFFF"/>
        </w:rPr>
        <w:t>the term ‘</w:t>
      </w:r>
      <w:r w:rsidRPr="00F776CE">
        <w:rPr>
          <w:rFonts w:cs="Arial"/>
          <w:color w:val="252525"/>
          <w:shd w:val="clear" w:color="auto" w:fill="FFFFFF"/>
        </w:rPr>
        <w:t>apocalypse</w:t>
      </w:r>
      <w:r>
        <w:rPr>
          <w:rFonts w:cs="Arial"/>
          <w:color w:val="252525"/>
          <w:shd w:val="clear" w:color="auto" w:fill="FFFFFF"/>
        </w:rPr>
        <w:t>’</w:t>
      </w:r>
      <w:r w:rsidRPr="00F776CE">
        <w:rPr>
          <w:rFonts w:cs="Arial"/>
          <w:color w:val="252525"/>
          <w:shd w:val="clear" w:color="auto" w:fill="FFFFFF"/>
        </w:rPr>
        <w:t xml:space="preserve"> is </w:t>
      </w:r>
      <w:r>
        <w:rPr>
          <w:rFonts w:cs="Arial"/>
          <w:color w:val="252525"/>
          <w:shd w:val="clear" w:color="auto" w:fill="FFFFFF"/>
        </w:rPr>
        <w:t xml:space="preserve">synonymous with </w:t>
      </w:r>
      <w:r w:rsidR="00202845">
        <w:rPr>
          <w:rFonts w:cs="Arial"/>
          <w:color w:val="252525"/>
          <w:shd w:val="clear" w:color="auto" w:fill="FFFFFF"/>
        </w:rPr>
        <w:t>‘</w:t>
      </w:r>
      <w:r>
        <w:rPr>
          <w:rFonts w:cs="Arial"/>
          <w:color w:val="252525"/>
          <w:shd w:val="clear" w:color="auto" w:fill="FFFFFF"/>
        </w:rPr>
        <w:t>the end</w:t>
      </w:r>
      <w:r w:rsidR="00202845">
        <w:rPr>
          <w:rFonts w:cs="Arial"/>
          <w:color w:val="252525"/>
          <w:shd w:val="clear" w:color="auto" w:fill="FFFFFF"/>
        </w:rPr>
        <w:t>’</w:t>
      </w:r>
      <w:r w:rsidRPr="00F776CE">
        <w:rPr>
          <w:rFonts w:cs="Arial"/>
          <w:color w:val="252525"/>
          <w:shd w:val="clear" w:color="auto" w:fill="FFFFFF"/>
        </w:rPr>
        <w:t xml:space="preserve">, </w:t>
      </w:r>
      <w:r>
        <w:rPr>
          <w:rFonts w:cs="Arial"/>
          <w:color w:val="252525"/>
          <w:shd w:val="clear" w:color="auto" w:fill="FFFFFF"/>
        </w:rPr>
        <w:t>originally</w:t>
      </w:r>
      <w:r w:rsidRPr="00F776CE">
        <w:rPr>
          <w:rFonts w:cs="Arial"/>
          <w:color w:val="252525"/>
          <w:shd w:val="clear" w:color="auto" w:fill="FFFFFF"/>
        </w:rPr>
        <w:t xml:space="preserve"> the word relate</w:t>
      </w:r>
      <w:r>
        <w:rPr>
          <w:rFonts w:cs="Arial"/>
          <w:color w:val="252525"/>
          <w:shd w:val="clear" w:color="auto" w:fill="FFFFFF"/>
        </w:rPr>
        <w:t>d</w:t>
      </w:r>
      <w:r w:rsidRPr="00F776CE">
        <w:rPr>
          <w:rFonts w:cs="Arial"/>
          <w:color w:val="252525"/>
          <w:shd w:val="clear" w:color="auto" w:fill="FFFFFF"/>
        </w:rPr>
        <w:t xml:space="preserve"> to revelation. </w:t>
      </w:r>
    </w:p>
    <w:p w:rsidR="00862DCB" w:rsidRPr="00F776CE" w:rsidRDefault="00011AC0" w:rsidP="00F776CE">
      <w:pPr>
        <w:spacing w:after="0"/>
        <w:rPr>
          <w:lang w:val="en-AU"/>
        </w:rPr>
      </w:pPr>
      <w:r>
        <w:rPr>
          <w:rFonts w:cs="Arial"/>
          <w:color w:val="252525"/>
          <w:shd w:val="clear" w:color="auto" w:fill="FFFFFF"/>
        </w:rPr>
        <w:t>If</w:t>
      </w:r>
      <w:r w:rsidR="00E703F4" w:rsidRPr="00F776CE">
        <w:rPr>
          <w:rFonts w:cs="Arial"/>
          <w:color w:val="252525"/>
          <w:shd w:val="clear" w:color="auto" w:fill="FFFFFF"/>
        </w:rPr>
        <w:t xml:space="preserve"> </w:t>
      </w:r>
      <w:r w:rsidR="00B26854" w:rsidRPr="00F776CE">
        <w:rPr>
          <w:rFonts w:cs="Arial"/>
          <w:color w:val="252525"/>
          <w:shd w:val="clear" w:color="auto" w:fill="FFFFFF"/>
        </w:rPr>
        <w:t xml:space="preserve">2016 </w:t>
      </w:r>
      <w:r>
        <w:rPr>
          <w:rFonts w:cs="Arial"/>
          <w:color w:val="252525"/>
          <w:shd w:val="clear" w:color="auto" w:fill="FFFFFF"/>
        </w:rPr>
        <w:t xml:space="preserve">gave </w:t>
      </w:r>
      <w:r w:rsidR="00E703F4" w:rsidRPr="00F776CE">
        <w:rPr>
          <w:rFonts w:cs="Arial"/>
          <w:color w:val="252525"/>
          <w:shd w:val="clear" w:color="auto" w:fill="FFFFFF"/>
        </w:rPr>
        <w:t xml:space="preserve">a </w:t>
      </w:r>
      <w:r w:rsidR="00B26854" w:rsidRPr="00F776CE">
        <w:rPr>
          <w:rFonts w:cs="Arial"/>
          <w:color w:val="252525"/>
          <w:shd w:val="clear" w:color="auto" w:fill="FFFFFF"/>
        </w:rPr>
        <w:t xml:space="preserve">real ‘wake up’ </w:t>
      </w:r>
      <w:r w:rsidR="00607EE4" w:rsidRPr="00F776CE">
        <w:rPr>
          <w:rFonts w:cs="Arial"/>
          <w:color w:val="252525"/>
          <w:shd w:val="clear" w:color="auto" w:fill="FFFFFF"/>
        </w:rPr>
        <w:t xml:space="preserve">call, a </w:t>
      </w:r>
      <w:r>
        <w:rPr>
          <w:rFonts w:cs="Arial"/>
          <w:color w:val="252525"/>
          <w:shd w:val="clear" w:color="auto" w:fill="FFFFFF"/>
        </w:rPr>
        <w:t xml:space="preserve">road </w:t>
      </w:r>
      <w:r w:rsidR="00367AB1" w:rsidRPr="00F776CE">
        <w:rPr>
          <w:rFonts w:cs="Arial"/>
          <w:color w:val="252525"/>
          <w:shd w:val="clear" w:color="auto" w:fill="FFFFFF"/>
        </w:rPr>
        <w:t xml:space="preserve">revelation rather than </w:t>
      </w:r>
      <w:r w:rsidR="00E703F4" w:rsidRPr="00F776CE">
        <w:rPr>
          <w:rFonts w:cs="Arial"/>
          <w:color w:val="252525"/>
          <w:shd w:val="clear" w:color="auto" w:fill="FFFFFF"/>
        </w:rPr>
        <w:t xml:space="preserve">a further </w:t>
      </w:r>
      <w:r w:rsidR="00D32262" w:rsidRPr="00F776CE">
        <w:rPr>
          <w:rFonts w:cs="Arial"/>
          <w:color w:val="252525"/>
          <w:shd w:val="clear" w:color="auto" w:fill="FFFFFF"/>
        </w:rPr>
        <w:t xml:space="preserve">run of congestion=doom </w:t>
      </w:r>
      <w:r w:rsidR="001268D7" w:rsidRPr="00F776CE">
        <w:rPr>
          <w:rFonts w:cs="Arial"/>
          <w:color w:val="252525"/>
          <w:shd w:val="clear" w:color="auto" w:fill="FFFFFF"/>
        </w:rPr>
        <w:t>unless</w:t>
      </w:r>
      <w:r w:rsidR="00B26854" w:rsidRPr="00F776CE">
        <w:rPr>
          <w:rFonts w:cs="Arial"/>
          <w:color w:val="252525"/>
          <w:shd w:val="clear" w:color="auto" w:fill="FFFFFF"/>
        </w:rPr>
        <w:t>-</w:t>
      </w:r>
      <w:r w:rsidR="001268D7" w:rsidRPr="00F776CE">
        <w:rPr>
          <w:rFonts w:cs="Arial"/>
          <w:color w:val="252525"/>
          <w:shd w:val="clear" w:color="auto" w:fill="FFFFFF"/>
        </w:rPr>
        <w:t>more</w:t>
      </w:r>
      <w:r w:rsidR="00B26854" w:rsidRPr="00F776CE">
        <w:rPr>
          <w:rFonts w:cs="Arial"/>
          <w:color w:val="252525"/>
          <w:shd w:val="clear" w:color="auto" w:fill="FFFFFF"/>
        </w:rPr>
        <w:t>-</w:t>
      </w:r>
      <w:r w:rsidR="001268D7" w:rsidRPr="00F776CE">
        <w:rPr>
          <w:rFonts w:cs="Arial"/>
          <w:color w:val="252525"/>
          <w:shd w:val="clear" w:color="auto" w:fill="FFFFFF"/>
        </w:rPr>
        <w:t>roads</w:t>
      </w:r>
      <w:r w:rsidR="00B26854" w:rsidRPr="00F776CE">
        <w:rPr>
          <w:rFonts w:cs="Arial"/>
          <w:color w:val="252525"/>
          <w:shd w:val="clear" w:color="auto" w:fill="FFFFFF"/>
        </w:rPr>
        <w:t>-</w:t>
      </w:r>
      <w:r w:rsidR="001268D7" w:rsidRPr="00F776CE">
        <w:rPr>
          <w:rFonts w:cs="Arial"/>
          <w:color w:val="252525"/>
          <w:shd w:val="clear" w:color="auto" w:fill="FFFFFF"/>
        </w:rPr>
        <w:t>are</w:t>
      </w:r>
      <w:r w:rsidR="00B26854" w:rsidRPr="00F776CE">
        <w:rPr>
          <w:rFonts w:cs="Arial"/>
          <w:color w:val="252525"/>
          <w:shd w:val="clear" w:color="auto" w:fill="FFFFFF"/>
        </w:rPr>
        <w:t>-</w:t>
      </w:r>
      <w:r w:rsidR="001268D7" w:rsidRPr="00F776CE">
        <w:rPr>
          <w:rFonts w:cs="Arial"/>
          <w:color w:val="252525"/>
          <w:shd w:val="clear" w:color="auto" w:fill="FFFFFF"/>
        </w:rPr>
        <w:t xml:space="preserve">built </w:t>
      </w:r>
      <w:r w:rsidR="00D32262" w:rsidRPr="00F776CE">
        <w:rPr>
          <w:rFonts w:cs="Arial"/>
          <w:color w:val="252525"/>
          <w:shd w:val="clear" w:color="auto" w:fill="FFFFFF"/>
        </w:rPr>
        <w:t>zombie headlines</w:t>
      </w:r>
      <w:r>
        <w:rPr>
          <w:rFonts w:cs="Arial"/>
          <w:color w:val="252525"/>
          <w:shd w:val="clear" w:color="auto" w:fill="FFFFFF"/>
        </w:rPr>
        <w:t xml:space="preserve">, it would be a good </w:t>
      </w:r>
      <w:r w:rsidR="00F43E3D" w:rsidRPr="00F776CE">
        <w:rPr>
          <w:lang w:val="en-AU"/>
        </w:rPr>
        <w:t>year</w:t>
      </w:r>
      <w:r w:rsidR="00D24597" w:rsidRPr="00F776CE">
        <w:rPr>
          <w:lang w:val="en-AU"/>
        </w:rPr>
        <w:t>.</w:t>
      </w:r>
      <w:r>
        <w:rPr>
          <w:lang w:val="en-AU"/>
        </w:rPr>
        <w:t xml:space="preserve">  Have a happy new year in any case.</w:t>
      </w:r>
    </w:p>
    <w:p w:rsidR="009434A2" w:rsidRDefault="009434A2">
      <w:pPr>
        <w:rPr>
          <w:lang w:val="en-AU"/>
        </w:rPr>
      </w:pPr>
    </w:p>
    <w:sectPr w:rsidR="009434A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DC" w:rsidRDefault="00466BDC" w:rsidP="00D24597">
      <w:pPr>
        <w:spacing w:after="0" w:line="240" w:lineRule="auto"/>
      </w:pPr>
      <w:r>
        <w:separator/>
      </w:r>
    </w:p>
  </w:endnote>
  <w:endnote w:type="continuationSeparator" w:id="0">
    <w:p w:rsidR="00466BDC" w:rsidRDefault="00466BDC" w:rsidP="00D24597">
      <w:pPr>
        <w:spacing w:after="0" w:line="240" w:lineRule="auto"/>
      </w:pPr>
      <w:r>
        <w:continuationSeparator/>
      </w:r>
    </w:p>
  </w:endnote>
  <w:endnote w:id="1">
    <w:p w:rsidR="00A1320F" w:rsidRPr="009434A2" w:rsidRDefault="00A1320F" w:rsidP="009434A2">
      <w:pPr>
        <w:pStyle w:val="EndnoteText"/>
        <w:rPr>
          <w:rFonts w:cs="Helvetica"/>
          <w:color w:val="333333"/>
          <w:sz w:val="18"/>
          <w:szCs w:val="18"/>
          <w:shd w:val="clear" w:color="auto" w:fill="FFFFFF"/>
        </w:rPr>
      </w:pPr>
      <w:r w:rsidRPr="009434A2">
        <w:rPr>
          <w:rStyle w:val="EndnoteReference"/>
          <w:sz w:val="18"/>
          <w:szCs w:val="18"/>
        </w:rPr>
        <w:endnoteRef/>
      </w:r>
      <w:r w:rsidRPr="009434A2">
        <w:rPr>
          <w:sz w:val="18"/>
          <w:szCs w:val="18"/>
        </w:rPr>
        <w:t xml:space="preserve"> </w:t>
      </w:r>
      <w:r w:rsidRPr="009434A2">
        <w:rPr>
          <w:rFonts w:cs="Helvetica"/>
          <w:color w:val="333333"/>
          <w:sz w:val="18"/>
          <w:szCs w:val="18"/>
          <w:shd w:val="clear" w:color="auto" w:fill="FFFFFF"/>
        </w:rPr>
        <w:t>From ‘Apocalypso’, Mental as Anything</w:t>
      </w:r>
    </w:p>
    <w:p w:rsidR="00A1320F" w:rsidRPr="009434A2" w:rsidRDefault="00A1320F" w:rsidP="009434A2">
      <w:pPr>
        <w:pStyle w:val="EndnoteText"/>
        <w:rPr>
          <w:sz w:val="18"/>
          <w:szCs w:val="18"/>
          <w:lang w:val="en-AU"/>
        </w:rPr>
      </w:pPr>
    </w:p>
  </w:endnote>
  <w:endnote w:id="2">
    <w:p w:rsidR="00A1320F" w:rsidRPr="009434A2" w:rsidRDefault="00A1320F" w:rsidP="009434A2">
      <w:pPr>
        <w:pStyle w:val="EndnoteText"/>
        <w:rPr>
          <w:sz w:val="18"/>
          <w:szCs w:val="18"/>
        </w:rPr>
      </w:pPr>
      <w:r w:rsidRPr="009434A2">
        <w:rPr>
          <w:rStyle w:val="EndnoteReference"/>
          <w:sz w:val="18"/>
          <w:szCs w:val="18"/>
        </w:rPr>
        <w:endnoteRef/>
      </w:r>
      <w:r w:rsidRPr="009434A2">
        <w:rPr>
          <w:sz w:val="18"/>
          <w:szCs w:val="18"/>
        </w:rPr>
        <w:t xml:space="preserve"> </w:t>
      </w:r>
      <w:hyperlink r:id="rId1" w:history="1">
        <w:r w:rsidRPr="009434A2">
          <w:rPr>
            <w:rStyle w:val="Hyperlink"/>
            <w:sz w:val="18"/>
            <w:szCs w:val="18"/>
          </w:rPr>
          <w:t>https://heavenawaits.wordpress.com/the-hebrew-timeline-for-the-messianic-kingdom/</w:t>
        </w:r>
      </w:hyperlink>
    </w:p>
    <w:p w:rsidR="00A1320F" w:rsidRPr="009434A2" w:rsidRDefault="00A1320F" w:rsidP="009434A2">
      <w:pPr>
        <w:pStyle w:val="EndnoteText"/>
        <w:rPr>
          <w:sz w:val="18"/>
          <w:szCs w:val="18"/>
          <w:lang w:val="en-AU"/>
        </w:rPr>
      </w:pPr>
    </w:p>
  </w:endnote>
  <w:endnote w:id="3">
    <w:p w:rsidR="00A1320F" w:rsidRPr="009434A2" w:rsidRDefault="00A1320F" w:rsidP="009434A2">
      <w:pPr>
        <w:pStyle w:val="Heading1"/>
        <w:pBdr>
          <w:bottom w:val="single" w:sz="6" w:space="5" w:color="E6E8EC"/>
        </w:pBdr>
        <w:shd w:val="clear" w:color="auto" w:fill="FFFFFF"/>
        <w:spacing w:before="0"/>
        <w:ind w:right="187"/>
        <w:textAlignment w:val="baseline"/>
        <w:rPr>
          <w:rFonts w:asciiTheme="minorHAnsi" w:eastAsia="Times New Roman" w:hAnsiTheme="minorHAnsi" w:cs="Helvetica"/>
          <w:bCs/>
          <w:color w:val="auto"/>
          <w:kern w:val="36"/>
          <w:sz w:val="18"/>
          <w:szCs w:val="18"/>
          <w:lang w:eastAsia="en-GB"/>
        </w:rPr>
      </w:pPr>
      <w:r w:rsidRPr="009434A2">
        <w:rPr>
          <w:rStyle w:val="EndnoteReference"/>
          <w:rFonts w:asciiTheme="minorHAnsi" w:hAnsiTheme="minorHAnsi"/>
          <w:color w:val="auto"/>
          <w:sz w:val="18"/>
          <w:szCs w:val="18"/>
        </w:rPr>
        <w:endnoteRef/>
      </w:r>
      <w:r w:rsidRPr="009434A2">
        <w:rPr>
          <w:rFonts w:asciiTheme="minorHAnsi" w:hAnsiTheme="minorHAnsi"/>
          <w:color w:val="auto"/>
          <w:sz w:val="18"/>
          <w:szCs w:val="18"/>
        </w:rPr>
        <w:t xml:space="preserve"> </w:t>
      </w:r>
      <w:r w:rsidRPr="009434A2">
        <w:rPr>
          <w:rFonts w:asciiTheme="minorHAnsi" w:hAnsiTheme="minorHAnsi"/>
          <w:color w:val="auto"/>
          <w:sz w:val="18"/>
          <w:szCs w:val="18"/>
          <w:lang w:val="en-AU"/>
        </w:rPr>
        <w:t xml:space="preserve">Bureau of Infrastructure Transport and Regional Economics, </w:t>
      </w:r>
      <w:r w:rsidRPr="009434A2">
        <w:rPr>
          <w:rFonts w:asciiTheme="minorHAnsi" w:eastAsia="Times New Roman" w:hAnsiTheme="minorHAnsi" w:cs="Helvetica"/>
          <w:bCs/>
          <w:i/>
          <w:color w:val="auto"/>
          <w:kern w:val="36"/>
          <w:sz w:val="18"/>
          <w:szCs w:val="18"/>
          <w:lang w:eastAsia="en-GB"/>
        </w:rPr>
        <w:t>Traffic and congestion cost trends for Australian capital cities.</w:t>
      </w:r>
      <w:r w:rsidRPr="009434A2">
        <w:rPr>
          <w:rFonts w:asciiTheme="minorHAnsi" w:eastAsia="Times New Roman" w:hAnsiTheme="minorHAnsi" w:cs="Helvetica"/>
          <w:bCs/>
          <w:color w:val="auto"/>
          <w:kern w:val="36"/>
          <w:sz w:val="18"/>
          <w:szCs w:val="18"/>
          <w:lang w:eastAsia="en-GB"/>
        </w:rPr>
        <w:t xml:space="preserve"> Information sheet 74 at </w:t>
      </w:r>
      <w:hyperlink r:id="rId2" w:history="1">
        <w:r w:rsidRPr="009434A2">
          <w:rPr>
            <w:rStyle w:val="Hyperlink"/>
            <w:rFonts w:asciiTheme="minorHAnsi" w:eastAsia="Times New Roman" w:hAnsiTheme="minorHAnsi" w:cs="Helvetica"/>
            <w:bCs/>
            <w:color w:val="auto"/>
            <w:kern w:val="36"/>
            <w:sz w:val="18"/>
            <w:szCs w:val="18"/>
            <w:lang w:eastAsia="en-GB"/>
          </w:rPr>
          <w:t>https://bitre.gov.au/publications/2015/is_074.aspx</w:t>
        </w:r>
      </w:hyperlink>
      <w:r w:rsidRPr="009434A2">
        <w:rPr>
          <w:rFonts w:asciiTheme="minorHAnsi" w:eastAsia="Times New Roman" w:hAnsiTheme="minorHAnsi" w:cs="Helvetica"/>
          <w:bCs/>
          <w:color w:val="auto"/>
          <w:kern w:val="36"/>
          <w:sz w:val="18"/>
          <w:szCs w:val="18"/>
          <w:lang w:eastAsia="en-GB"/>
        </w:rPr>
        <w:t xml:space="preserve">.  </w:t>
      </w:r>
    </w:p>
    <w:p w:rsidR="00A1320F" w:rsidRPr="009434A2" w:rsidRDefault="00A1320F" w:rsidP="009434A2">
      <w:pPr>
        <w:spacing w:after="0"/>
        <w:rPr>
          <w:sz w:val="18"/>
          <w:szCs w:val="18"/>
          <w:lang w:eastAsia="en-GB"/>
        </w:rPr>
      </w:pPr>
      <w:r w:rsidRPr="009434A2">
        <w:rPr>
          <w:sz w:val="18"/>
          <w:szCs w:val="18"/>
          <w:lang w:eastAsia="en-GB"/>
        </w:rPr>
        <w:t xml:space="preserve">Infrastructure Australia, </w:t>
      </w:r>
      <w:r w:rsidRPr="009434A2">
        <w:rPr>
          <w:i/>
          <w:sz w:val="18"/>
          <w:szCs w:val="18"/>
          <w:lang w:eastAsia="en-GB"/>
        </w:rPr>
        <w:t>Australian Infrastructure Audit,</w:t>
      </w:r>
      <w:r w:rsidRPr="009434A2">
        <w:rPr>
          <w:sz w:val="18"/>
          <w:szCs w:val="18"/>
          <w:lang w:eastAsia="en-GB"/>
        </w:rPr>
        <w:t xml:space="preserve"> at http://infrastructureaustralia.gov.au/policy-publications/publications/Australian-Infrastructure-Audit.aspx</w:t>
      </w:r>
    </w:p>
    <w:p w:rsidR="00A1320F" w:rsidRPr="009434A2" w:rsidRDefault="00A1320F" w:rsidP="009434A2">
      <w:pPr>
        <w:pStyle w:val="EndnoteText"/>
        <w:rPr>
          <w:sz w:val="18"/>
          <w:szCs w:val="18"/>
          <w:lang w:val="en-AU"/>
        </w:rPr>
      </w:pPr>
    </w:p>
  </w:endnote>
  <w:endnote w:id="4">
    <w:p w:rsidR="00A1320F" w:rsidRPr="009434A2" w:rsidRDefault="00A1320F" w:rsidP="009434A2">
      <w:pPr>
        <w:spacing w:after="0"/>
        <w:rPr>
          <w:sz w:val="18"/>
          <w:szCs w:val="18"/>
          <w:lang w:val="en-AU"/>
        </w:rPr>
      </w:pPr>
      <w:r w:rsidRPr="009434A2">
        <w:rPr>
          <w:rStyle w:val="EndnoteReference"/>
          <w:sz w:val="18"/>
          <w:szCs w:val="18"/>
        </w:rPr>
        <w:endnoteRef/>
      </w:r>
      <w:r w:rsidRPr="009434A2">
        <w:rPr>
          <w:sz w:val="18"/>
          <w:szCs w:val="18"/>
        </w:rPr>
        <w:t xml:space="preserve"> </w:t>
      </w:r>
      <w:r w:rsidRPr="009434A2">
        <w:rPr>
          <w:sz w:val="18"/>
          <w:szCs w:val="18"/>
          <w:lang w:val="en-AU"/>
        </w:rPr>
        <w:t>OK this cheats a bit.  The chart shows the cost in 2030 to be $30bn not the quoted $37bn.  The $30bn is the ‘base case’ scenario; $37 bn is the ‘worst case’.  Still apocalyptic though.</w:t>
      </w:r>
    </w:p>
    <w:p w:rsidR="00A1320F" w:rsidRPr="009434A2" w:rsidRDefault="00A1320F" w:rsidP="009434A2">
      <w:pPr>
        <w:pStyle w:val="EndnoteText"/>
        <w:rPr>
          <w:sz w:val="18"/>
          <w:szCs w:val="18"/>
          <w:lang w:val="en-AU"/>
        </w:rPr>
      </w:pPr>
    </w:p>
  </w:endnote>
  <w:endnote w:id="5">
    <w:p w:rsidR="00A1320F" w:rsidRPr="009434A2" w:rsidRDefault="00A1320F" w:rsidP="009434A2">
      <w:pPr>
        <w:pStyle w:val="EndnoteText"/>
        <w:rPr>
          <w:sz w:val="18"/>
          <w:szCs w:val="18"/>
        </w:rPr>
      </w:pPr>
      <w:r w:rsidRPr="009434A2">
        <w:rPr>
          <w:rStyle w:val="EndnoteReference"/>
          <w:sz w:val="18"/>
          <w:szCs w:val="18"/>
        </w:rPr>
        <w:endnoteRef/>
      </w:r>
      <w:r w:rsidRPr="009434A2">
        <w:rPr>
          <w:sz w:val="18"/>
          <w:szCs w:val="18"/>
        </w:rPr>
        <w:t xml:space="preserve"> Definition: https://en.wikipedia.org/wiki/Zombie.</w:t>
      </w:r>
    </w:p>
    <w:p w:rsidR="00A1320F" w:rsidRPr="009434A2" w:rsidRDefault="00A1320F" w:rsidP="009434A2">
      <w:pPr>
        <w:pStyle w:val="EndnoteText"/>
        <w:rPr>
          <w:rStyle w:val="Hyperlink"/>
          <w:color w:val="auto"/>
          <w:sz w:val="18"/>
          <w:szCs w:val="18"/>
          <w:u w:val="none"/>
          <w:lang w:val="en-AU"/>
        </w:rPr>
      </w:pPr>
      <w:r w:rsidRPr="009434A2">
        <w:rPr>
          <w:sz w:val="18"/>
          <w:szCs w:val="18"/>
        </w:rPr>
        <w:t xml:space="preserve">For driverless cars see: </w:t>
      </w:r>
      <w:hyperlink r:id="rId3" w:history="1">
        <w:r w:rsidRPr="009434A2">
          <w:rPr>
            <w:rStyle w:val="Hyperlink"/>
            <w:sz w:val="18"/>
            <w:szCs w:val="18"/>
            <w:lang w:val="en-AU"/>
          </w:rPr>
          <w:t>http://dpti.sa.gov.au/driverlesscars</w:t>
        </w:r>
      </w:hyperlink>
      <w:r w:rsidRPr="009434A2">
        <w:rPr>
          <w:rStyle w:val="Hyperlink"/>
          <w:sz w:val="18"/>
          <w:szCs w:val="18"/>
          <w:lang w:val="en-AU"/>
        </w:rPr>
        <w:t>.</w:t>
      </w:r>
      <w:r w:rsidRPr="009434A2">
        <w:rPr>
          <w:rStyle w:val="Hyperlink"/>
          <w:color w:val="auto"/>
          <w:sz w:val="18"/>
          <w:szCs w:val="18"/>
          <w:u w:val="none"/>
          <w:lang w:val="en-AU"/>
        </w:rPr>
        <w:t xml:space="preserve">  It may be the case that driverless cars can increase effective road capacity, however this author is sceptical.  Automation in railways, automatic train protection/control, does not necessarily increase infrastructure capacity.  In some cases it may reduce capacity.  This is because of real world factors such as variations in braking/ acceleration.  ‘Headways’ (vehicle separation) need to be based on the ‘worst braking / accelerating’ vehicle, and cannot assume ideal conditions such as dry weather, no contamination of infrastructure (rail or road) surface, zero gradient and camber, and zero wear on brakes.  The question of ‘fail to safe mode’ and manual override also needs to be addressed. </w:t>
      </w:r>
    </w:p>
    <w:p w:rsidR="00A1320F" w:rsidRPr="009434A2" w:rsidRDefault="00A1320F" w:rsidP="009434A2">
      <w:pPr>
        <w:pStyle w:val="EndnoteText"/>
        <w:rPr>
          <w:rStyle w:val="Hyperlink"/>
          <w:color w:val="auto"/>
          <w:sz w:val="18"/>
          <w:szCs w:val="18"/>
          <w:u w:val="none"/>
          <w:lang w:val="en-AU"/>
        </w:rPr>
      </w:pPr>
      <w:r w:rsidRPr="009434A2">
        <w:rPr>
          <w:rStyle w:val="Hyperlink"/>
          <w:color w:val="auto"/>
          <w:sz w:val="18"/>
          <w:szCs w:val="18"/>
          <w:u w:val="none"/>
          <w:lang w:val="en-AU"/>
        </w:rPr>
        <w:t>The Bureau’s Information sheet 74 cites Bradlow, H &amp; Jayachandra A 2015, ‘</w:t>
      </w:r>
      <w:r w:rsidRPr="009434A2">
        <w:rPr>
          <w:rStyle w:val="Hyperlink"/>
          <w:i/>
          <w:color w:val="auto"/>
          <w:sz w:val="18"/>
          <w:szCs w:val="18"/>
          <w:u w:val="none"/>
          <w:lang w:val="en-AU"/>
        </w:rPr>
        <w:t>How Digital Infrastructure Can Substitute for Physical Infrastructure’</w:t>
      </w:r>
      <w:r w:rsidRPr="009434A2">
        <w:rPr>
          <w:rStyle w:val="Hyperlink"/>
          <w:color w:val="auto"/>
          <w:sz w:val="18"/>
          <w:szCs w:val="18"/>
          <w:u w:val="none"/>
          <w:lang w:val="en-AU"/>
        </w:rPr>
        <w:t xml:space="preserve"> to support its assertion that automation can increase effective road capacity.  However that paper merely assumed an increase in capacity; a similar approach to what originally done for automated train control, the assumptions including dedication of lanes (or tracks) to automated vehicles.  </w:t>
      </w:r>
    </w:p>
    <w:p w:rsidR="00202845" w:rsidRDefault="00A1320F" w:rsidP="009434A2">
      <w:pPr>
        <w:pStyle w:val="EndnoteText"/>
        <w:rPr>
          <w:rStyle w:val="Hyperlink"/>
          <w:color w:val="auto"/>
          <w:sz w:val="18"/>
          <w:szCs w:val="18"/>
          <w:u w:val="none"/>
          <w:lang w:val="en-AU"/>
        </w:rPr>
      </w:pPr>
      <w:r w:rsidRPr="009434A2">
        <w:rPr>
          <w:rStyle w:val="Hyperlink"/>
          <w:color w:val="auto"/>
          <w:sz w:val="18"/>
          <w:szCs w:val="18"/>
          <w:u w:val="none"/>
          <w:lang w:val="en-AU"/>
        </w:rPr>
        <w:t>Of more interest is what is not addressed by the Bureau</w:t>
      </w:r>
      <w:r w:rsidR="00202845">
        <w:rPr>
          <w:rStyle w:val="Hyperlink"/>
          <w:color w:val="auto"/>
          <w:sz w:val="18"/>
          <w:szCs w:val="18"/>
          <w:u w:val="none"/>
          <w:lang w:val="en-AU"/>
        </w:rPr>
        <w:t>:</w:t>
      </w:r>
      <w:r w:rsidRPr="009434A2">
        <w:rPr>
          <w:rStyle w:val="Hyperlink"/>
          <w:color w:val="auto"/>
          <w:sz w:val="18"/>
          <w:szCs w:val="18"/>
          <w:u w:val="none"/>
          <w:lang w:val="en-AU"/>
        </w:rPr>
        <w:t xml:space="preserve"> rail experience with automation; the possibility of the creation and enforcement of access rights eg. Under national competition policy; the idea of dedicated freight infrastructure.  The last of these is the most logical place to start for consideration of infrastructure needed for ‘special’ vehicles such as automated ones.  </w:t>
      </w:r>
    </w:p>
    <w:p w:rsidR="00A1320F" w:rsidRPr="009434A2" w:rsidRDefault="00A1320F" w:rsidP="009434A2">
      <w:pPr>
        <w:pStyle w:val="EndnoteText"/>
        <w:rPr>
          <w:rStyle w:val="Hyperlink"/>
          <w:color w:val="auto"/>
          <w:sz w:val="18"/>
          <w:szCs w:val="18"/>
          <w:u w:val="none"/>
          <w:lang w:val="en-AU"/>
        </w:rPr>
      </w:pPr>
      <w:r w:rsidRPr="009434A2">
        <w:rPr>
          <w:rStyle w:val="Hyperlink"/>
          <w:color w:val="auto"/>
          <w:sz w:val="18"/>
          <w:szCs w:val="18"/>
          <w:u w:val="none"/>
          <w:lang w:val="en-AU"/>
        </w:rPr>
        <w:t>In the policy domain, the more important question is whether the case for automation (minimal headways) is in fact a restatement of the case for mass transit; in which case the alternatives should be compared.</w:t>
      </w:r>
    </w:p>
    <w:p w:rsidR="00A1320F" w:rsidRPr="009434A2" w:rsidRDefault="00A1320F" w:rsidP="009434A2">
      <w:pPr>
        <w:pStyle w:val="EndnoteText"/>
        <w:rPr>
          <w:rStyle w:val="Hyperlink"/>
          <w:rFonts w:cs="Arial"/>
          <w:sz w:val="18"/>
          <w:szCs w:val="18"/>
          <w:shd w:val="clear" w:color="auto" w:fill="FFFFFF"/>
        </w:rPr>
      </w:pPr>
      <w:r w:rsidRPr="009434A2">
        <w:rPr>
          <w:rStyle w:val="Hyperlink"/>
          <w:color w:val="auto"/>
          <w:sz w:val="18"/>
          <w:szCs w:val="18"/>
          <w:u w:val="none"/>
          <w:lang w:val="en-AU"/>
        </w:rPr>
        <w:t xml:space="preserve">Honda’s view on driverless cars: </w:t>
      </w:r>
      <w:r w:rsidRPr="009434A2">
        <w:rPr>
          <w:sz w:val="18"/>
          <w:szCs w:val="18"/>
        </w:rPr>
        <w:t xml:space="preserve"> </w:t>
      </w:r>
      <w:hyperlink r:id="rId4" w:history="1">
        <w:r w:rsidRPr="009434A2">
          <w:rPr>
            <w:rStyle w:val="Hyperlink"/>
            <w:rFonts w:cs="Arial"/>
            <w:sz w:val="18"/>
            <w:szCs w:val="18"/>
            <w:shd w:val="clear" w:color="auto" w:fill="FFFFFF"/>
          </w:rPr>
          <w:t>http://www.news.com.au/technology/innovation/honda-says-autonomous-cars-wont-be-ready-until-2030-at-the-earliest-despite-what-apple-and-google-may-claim/story-fnjwucvh-1227584020244</w:t>
        </w:r>
      </w:hyperlink>
    </w:p>
    <w:p w:rsidR="00A1320F" w:rsidRPr="009434A2" w:rsidRDefault="00A1320F" w:rsidP="009434A2">
      <w:pPr>
        <w:pStyle w:val="EndnoteText"/>
        <w:rPr>
          <w:sz w:val="18"/>
          <w:szCs w:val="18"/>
          <w:lang w:val="en-AU"/>
        </w:rPr>
      </w:pPr>
    </w:p>
  </w:endnote>
  <w:endnote w:id="6">
    <w:p w:rsidR="00A1320F" w:rsidRPr="009434A2" w:rsidRDefault="00A1320F" w:rsidP="009434A2">
      <w:pPr>
        <w:pStyle w:val="EndnoteText"/>
        <w:rPr>
          <w:sz w:val="18"/>
          <w:szCs w:val="18"/>
          <w:lang w:val="en-AU"/>
        </w:rPr>
      </w:pPr>
      <w:r w:rsidRPr="009434A2">
        <w:rPr>
          <w:rStyle w:val="EndnoteReference"/>
          <w:sz w:val="18"/>
          <w:szCs w:val="18"/>
        </w:rPr>
        <w:endnoteRef/>
      </w:r>
      <w:r w:rsidRPr="009434A2">
        <w:rPr>
          <w:sz w:val="18"/>
          <w:szCs w:val="18"/>
        </w:rPr>
        <w:t xml:space="preserve"> </w:t>
      </w:r>
      <w:r w:rsidRPr="009434A2">
        <w:rPr>
          <w:sz w:val="18"/>
          <w:szCs w:val="18"/>
          <w:lang w:val="en-AU"/>
        </w:rPr>
        <w:t xml:space="preserve">Mr Wood directed several legendary zombie movies including the incomparable Plan 9 from Outer Space.  </w:t>
      </w:r>
      <w:hyperlink r:id="rId5" w:history="1">
        <w:r w:rsidRPr="009434A2">
          <w:rPr>
            <w:rStyle w:val="Hyperlink"/>
            <w:sz w:val="18"/>
            <w:szCs w:val="18"/>
            <w:lang w:val="en-AU"/>
          </w:rPr>
          <w:t>https://en.wikipedia.org/wiki/Ed_Wood</w:t>
        </w:r>
      </w:hyperlink>
    </w:p>
    <w:p w:rsidR="00A1320F" w:rsidRPr="009434A2" w:rsidRDefault="00A1320F" w:rsidP="009434A2">
      <w:pPr>
        <w:pStyle w:val="EndnoteText"/>
        <w:rPr>
          <w:sz w:val="18"/>
          <w:szCs w:val="18"/>
          <w:lang w:val="en-AU"/>
        </w:rPr>
      </w:pPr>
    </w:p>
  </w:endnote>
  <w:endnote w:id="7">
    <w:p w:rsidR="00A1320F" w:rsidRPr="009434A2" w:rsidRDefault="00A1320F" w:rsidP="009434A2">
      <w:pPr>
        <w:pStyle w:val="EndnoteText"/>
        <w:rPr>
          <w:sz w:val="18"/>
          <w:szCs w:val="18"/>
        </w:rPr>
      </w:pPr>
      <w:r w:rsidRPr="009434A2">
        <w:rPr>
          <w:rStyle w:val="EndnoteReference"/>
          <w:sz w:val="18"/>
          <w:szCs w:val="18"/>
        </w:rPr>
        <w:endnoteRef/>
      </w:r>
      <w:r w:rsidRPr="009434A2">
        <w:rPr>
          <w:sz w:val="18"/>
          <w:szCs w:val="18"/>
        </w:rPr>
        <w:t xml:space="preserve"> For a discussion of the Commonwealth’s role see: Federal urban transport prelude at thejadebeagle.com</w:t>
      </w:r>
    </w:p>
    <w:p w:rsidR="00A1320F" w:rsidRPr="009434A2" w:rsidRDefault="00A1320F" w:rsidP="009434A2">
      <w:pPr>
        <w:pStyle w:val="EndnoteText"/>
        <w:rPr>
          <w:sz w:val="18"/>
          <w:szCs w:val="18"/>
          <w:lang w:val="en-AU"/>
        </w:rPr>
      </w:pPr>
    </w:p>
  </w:endnote>
  <w:endnote w:id="8">
    <w:p w:rsidR="00A1320F" w:rsidRPr="009434A2" w:rsidRDefault="00A1320F" w:rsidP="009434A2">
      <w:pPr>
        <w:pStyle w:val="EndnoteText"/>
        <w:rPr>
          <w:rFonts w:cs="Arial"/>
          <w:color w:val="252525"/>
          <w:sz w:val="18"/>
          <w:szCs w:val="18"/>
          <w:shd w:val="clear" w:color="auto" w:fill="FFFFFF"/>
        </w:rPr>
      </w:pPr>
      <w:r w:rsidRPr="009434A2">
        <w:rPr>
          <w:rStyle w:val="EndnoteReference"/>
          <w:sz w:val="18"/>
          <w:szCs w:val="18"/>
        </w:rPr>
        <w:endnoteRef/>
      </w:r>
      <w:r w:rsidRPr="009434A2">
        <w:rPr>
          <w:sz w:val="18"/>
          <w:szCs w:val="18"/>
        </w:rPr>
        <w:t xml:space="preserve"> </w:t>
      </w:r>
      <w:r w:rsidRPr="009434A2">
        <w:rPr>
          <w:rFonts w:cs="Arial"/>
          <w:color w:val="252525"/>
          <w:sz w:val="18"/>
          <w:szCs w:val="18"/>
          <w:shd w:val="clear" w:color="auto" w:fill="FFFFFF"/>
        </w:rPr>
        <w:t xml:space="preserve">Is it reasonable to ask what consequence this preference should have for the national infrastructure plan (forthcoming from Infrastructure Australia)?  Presumably both Infrastructure Australia and the Bureau think the figure should have some consequence; why else publish it.  </w:t>
      </w:r>
    </w:p>
    <w:p w:rsidR="00A1320F" w:rsidRPr="009434A2" w:rsidRDefault="00A1320F" w:rsidP="009434A2">
      <w:pPr>
        <w:pStyle w:val="EndnoteText"/>
        <w:rPr>
          <w:sz w:val="18"/>
          <w:szCs w:val="18"/>
          <w:lang w:val="en-AU"/>
        </w:rPr>
      </w:pPr>
    </w:p>
  </w:endnote>
  <w:endnote w:id="9">
    <w:p w:rsidR="00A1320F" w:rsidRPr="009434A2" w:rsidRDefault="00A1320F" w:rsidP="009434A2">
      <w:pPr>
        <w:pStyle w:val="EndnoteText"/>
        <w:rPr>
          <w:i/>
          <w:sz w:val="18"/>
          <w:szCs w:val="18"/>
        </w:rPr>
      </w:pPr>
      <w:r w:rsidRPr="009434A2">
        <w:rPr>
          <w:rStyle w:val="EndnoteReference"/>
          <w:sz w:val="18"/>
          <w:szCs w:val="18"/>
        </w:rPr>
        <w:endnoteRef/>
      </w:r>
      <w:r w:rsidRPr="009434A2">
        <w:rPr>
          <w:sz w:val="18"/>
          <w:szCs w:val="18"/>
        </w:rPr>
        <w:t>The Bureau states</w:t>
      </w:r>
      <w:r w:rsidRPr="009434A2">
        <w:rPr>
          <w:i/>
          <w:sz w:val="18"/>
          <w:szCs w:val="18"/>
        </w:rPr>
        <w:t xml:space="preserve">: ‘Despite significant differences in methodology between the two traffic simulation approaches, both scenarios estimate that urban road congestion costs for Australia could hypothetically climb to over $50 billion per annum by about 2030, if current metropolitan networks do not receive any further increases to effective capacity’.  </w:t>
      </w:r>
    </w:p>
    <w:p w:rsidR="00A1320F" w:rsidRPr="009434A2" w:rsidRDefault="00A1320F" w:rsidP="009434A2">
      <w:pPr>
        <w:pStyle w:val="EndnoteText"/>
        <w:rPr>
          <w:sz w:val="18"/>
          <w:szCs w:val="18"/>
        </w:rPr>
      </w:pPr>
      <w:r w:rsidRPr="009434A2">
        <w:rPr>
          <w:sz w:val="18"/>
          <w:szCs w:val="18"/>
        </w:rPr>
        <w:t xml:space="preserve">The Tar baby and subsequent roads articles (available at thejadebeagle website) demonstrated that using 2014 figures published by the Bureau Australia had incurred significant public sector debt due to road building in recent years (2015 figures are discussed later in this article).  Whether or not this building was considered ‘efficient’, it could not be considered effective if claims by the Bureau and Infrastructure Australia about current and future congestion are given credit.  In this context, the final part of the Bureau’s comment is incorrect; congestion can be reduced by alternatives to road use eg. public transport, rail freight; or by pricing.  Readers should not be misled by the Bureau’s comment: congestion is not of itself an argument to increase road capacity, even ‘effective’ road capacity.   </w:t>
      </w:r>
    </w:p>
    <w:p w:rsidR="00A1320F" w:rsidRPr="009434A2" w:rsidRDefault="00A1320F" w:rsidP="009434A2">
      <w:pPr>
        <w:pStyle w:val="EndnoteText"/>
        <w:rPr>
          <w:sz w:val="18"/>
          <w:szCs w:val="18"/>
          <w:lang w:val="en-AU"/>
        </w:rPr>
      </w:pPr>
    </w:p>
  </w:endnote>
  <w:endnote w:id="10">
    <w:p w:rsidR="00A1320F" w:rsidRPr="009434A2" w:rsidRDefault="00A1320F" w:rsidP="009434A2">
      <w:pPr>
        <w:spacing w:after="0"/>
        <w:rPr>
          <w:sz w:val="18"/>
          <w:szCs w:val="18"/>
          <w:lang w:val="en-AU"/>
        </w:rPr>
      </w:pPr>
      <w:r w:rsidRPr="009434A2">
        <w:rPr>
          <w:rStyle w:val="EndnoteReference"/>
          <w:sz w:val="18"/>
          <w:szCs w:val="18"/>
        </w:rPr>
        <w:endnoteRef/>
      </w:r>
      <w:r w:rsidRPr="009434A2">
        <w:rPr>
          <w:sz w:val="18"/>
          <w:szCs w:val="18"/>
        </w:rPr>
        <w:t xml:space="preserve"> T</w:t>
      </w:r>
      <w:r w:rsidRPr="009434A2">
        <w:rPr>
          <w:sz w:val="18"/>
          <w:szCs w:val="18"/>
          <w:lang w:val="en-AU"/>
        </w:rPr>
        <w:t>raffic (growth) is measured by vehicle kilometres travelled (vkt).</w:t>
      </w:r>
      <w:r w:rsidRPr="009434A2">
        <w:rPr>
          <w:sz w:val="18"/>
          <w:szCs w:val="18"/>
        </w:rPr>
        <w:t xml:space="preserve"> The </w:t>
      </w:r>
      <w:r w:rsidRPr="009434A2">
        <w:rPr>
          <w:sz w:val="18"/>
          <w:szCs w:val="18"/>
          <w:lang w:val="en-AU"/>
        </w:rPr>
        <w:t xml:space="preserve">Tar baby article compared projected car vkt with actual passenger vkt (both indexed) because the Bureau </w:t>
      </w:r>
      <w:r w:rsidR="00202845">
        <w:rPr>
          <w:sz w:val="18"/>
          <w:szCs w:val="18"/>
          <w:lang w:val="en-AU"/>
        </w:rPr>
        <w:t xml:space="preserve">had </w:t>
      </w:r>
      <w:r w:rsidRPr="009434A2">
        <w:rPr>
          <w:sz w:val="18"/>
          <w:szCs w:val="18"/>
          <w:lang w:val="en-AU"/>
        </w:rPr>
        <w:t>not publish</w:t>
      </w:r>
      <w:r w:rsidR="00202845">
        <w:rPr>
          <w:sz w:val="18"/>
          <w:szCs w:val="18"/>
          <w:lang w:val="en-AU"/>
        </w:rPr>
        <w:t>ed</w:t>
      </w:r>
      <w:r w:rsidRPr="009434A2">
        <w:rPr>
          <w:sz w:val="18"/>
          <w:szCs w:val="18"/>
          <w:lang w:val="en-AU"/>
        </w:rPr>
        <w:t xml:space="preserve"> annually the series (car vkt) consistent with its projection.  The Bureau has now published total vkt (cars, trucks etc).  </w:t>
      </w:r>
    </w:p>
    <w:p w:rsidR="00A1320F" w:rsidRDefault="00A1320F" w:rsidP="00202845">
      <w:pPr>
        <w:spacing w:after="0"/>
        <w:rPr>
          <w:rFonts w:cs="Arial"/>
          <w:color w:val="252525"/>
          <w:sz w:val="18"/>
          <w:szCs w:val="18"/>
          <w:shd w:val="clear" w:color="auto" w:fill="FFFFFF"/>
        </w:rPr>
      </w:pPr>
      <w:r w:rsidRPr="009434A2">
        <w:rPr>
          <w:rFonts w:cs="Arial"/>
          <w:color w:val="252525"/>
          <w:sz w:val="18"/>
          <w:szCs w:val="18"/>
          <w:shd w:val="clear" w:color="auto" w:fill="FFFFFF"/>
        </w:rPr>
        <w:t>Figure 2 shows traffic was projected to rise by 22% between 2005 and 2014 but increased by only 9%.  The disparity between projection and reality for car traffic is even greater.</w:t>
      </w:r>
      <w:r w:rsidR="00202845">
        <w:rPr>
          <w:rFonts w:cs="Arial"/>
          <w:color w:val="252525"/>
          <w:sz w:val="18"/>
          <w:szCs w:val="18"/>
          <w:shd w:val="clear" w:color="auto" w:fill="FFFFFF"/>
        </w:rPr>
        <w:t xml:space="preserve">  </w:t>
      </w:r>
      <w:r w:rsidRPr="009434A2">
        <w:rPr>
          <w:rFonts w:cs="Arial"/>
          <w:color w:val="252525"/>
          <w:sz w:val="18"/>
          <w:szCs w:val="18"/>
          <w:shd w:val="clear" w:color="auto" w:fill="FFFFFF"/>
        </w:rPr>
        <w:t>The Bureau revised, downwards, the 2005 results.</w:t>
      </w:r>
    </w:p>
    <w:p w:rsidR="00A1320F" w:rsidRPr="009434A2" w:rsidRDefault="00A1320F" w:rsidP="009434A2">
      <w:pPr>
        <w:pStyle w:val="EndnoteText"/>
        <w:rPr>
          <w:rFonts w:cs="Arial"/>
          <w:color w:val="252525"/>
          <w:sz w:val="18"/>
          <w:szCs w:val="18"/>
          <w:shd w:val="clear" w:color="auto" w:fill="FFFFFF"/>
        </w:rPr>
      </w:pPr>
    </w:p>
    <w:p w:rsidR="00A1320F" w:rsidRPr="009434A2" w:rsidRDefault="00A1320F" w:rsidP="009434A2">
      <w:pPr>
        <w:pStyle w:val="EndnoteText"/>
        <w:rPr>
          <w:sz w:val="18"/>
          <w:szCs w:val="18"/>
          <w:lang w:val="en-AU"/>
        </w:rPr>
      </w:pPr>
    </w:p>
  </w:endnote>
  <w:endnote w:id="11">
    <w:p w:rsidR="00A1320F" w:rsidRPr="009434A2" w:rsidRDefault="00A1320F" w:rsidP="009434A2">
      <w:pPr>
        <w:spacing w:after="0"/>
        <w:rPr>
          <w:sz w:val="18"/>
          <w:szCs w:val="18"/>
        </w:rPr>
      </w:pPr>
      <w:r w:rsidRPr="009434A2">
        <w:rPr>
          <w:rStyle w:val="EndnoteReference"/>
          <w:sz w:val="18"/>
          <w:szCs w:val="18"/>
        </w:rPr>
        <w:endnoteRef/>
      </w:r>
      <w:r w:rsidRPr="009434A2">
        <w:rPr>
          <w:sz w:val="18"/>
          <w:szCs w:val="18"/>
        </w:rPr>
        <w:t xml:space="preserve"> Figure 6 below compares the Bureau’s 2007 and 2015 projections.</w:t>
      </w:r>
    </w:p>
    <w:p w:rsidR="00A1320F" w:rsidRPr="009434A2" w:rsidRDefault="00A1320F" w:rsidP="009434A2">
      <w:pPr>
        <w:spacing w:after="0"/>
        <w:rPr>
          <w:rFonts w:cs="Arial"/>
          <w:b/>
          <w:color w:val="252525"/>
          <w:sz w:val="18"/>
          <w:szCs w:val="18"/>
          <w:shd w:val="clear" w:color="auto" w:fill="FFFFFF"/>
        </w:rPr>
      </w:pPr>
      <w:r w:rsidRPr="009434A2">
        <w:rPr>
          <w:rFonts w:cs="Arial"/>
          <w:b/>
          <w:color w:val="252525"/>
          <w:sz w:val="18"/>
          <w:szCs w:val="18"/>
          <w:shd w:val="clear" w:color="auto" w:fill="FFFFFF"/>
        </w:rPr>
        <w:t>Figure 6: Previous and new Bureau projections for traffic levels in 2020</w:t>
      </w:r>
    </w:p>
    <w:p w:rsidR="00A1320F" w:rsidRPr="009434A2" w:rsidRDefault="00A1320F" w:rsidP="009434A2">
      <w:pPr>
        <w:spacing w:after="0"/>
        <w:rPr>
          <w:rFonts w:cs="Arial"/>
          <w:color w:val="252525"/>
          <w:sz w:val="18"/>
          <w:szCs w:val="18"/>
          <w:shd w:val="clear" w:color="auto" w:fill="FFFFFF"/>
        </w:rPr>
      </w:pPr>
      <w:r w:rsidRPr="009434A2">
        <w:rPr>
          <w:noProof/>
          <w:sz w:val="18"/>
          <w:szCs w:val="18"/>
          <w:lang w:eastAsia="en-GB"/>
        </w:rPr>
        <w:drawing>
          <wp:inline distT="0" distB="0" distL="0" distR="0" wp14:anchorId="57863A12" wp14:editId="536E9A42">
            <wp:extent cx="4307840" cy="2649415"/>
            <wp:effectExtent l="0" t="0" r="1651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320F" w:rsidRPr="009434A2" w:rsidRDefault="00A1320F" w:rsidP="009434A2">
      <w:pPr>
        <w:pStyle w:val="EndnoteText"/>
        <w:rPr>
          <w:rFonts w:cs="Arial"/>
          <w:color w:val="252525"/>
          <w:sz w:val="18"/>
          <w:szCs w:val="18"/>
          <w:shd w:val="clear" w:color="auto" w:fill="FFFFFF"/>
        </w:rPr>
      </w:pPr>
      <w:r w:rsidRPr="009434A2">
        <w:rPr>
          <w:sz w:val="18"/>
          <w:szCs w:val="18"/>
        </w:rPr>
        <w:t xml:space="preserve">The Bureau states </w:t>
      </w:r>
      <w:r w:rsidRPr="009434A2">
        <w:rPr>
          <w:i/>
          <w:sz w:val="18"/>
          <w:szCs w:val="18"/>
        </w:rPr>
        <w:t>‘This 2015 metropolitan total is comprised of approximately $6 billion in private time costs, $8 billion in business time costs, $1.5 billion in extra vehicle operating costs and $1 billion in extra air pollution costs.’</w:t>
      </w:r>
      <w:r w:rsidRPr="009434A2">
        <w:rPr>
          <w:sz w:val="18"/>
          <w:szCs w:val="18"/>
        </w:rPr>
        <w:t xml:space="preserve">  This</w:t>
      </w:r>
      <w:r w:rsidR="00202845">
        <w:rPr>
          <w:sz w:val="18"/>
          <w:szCs w:val="18"/>
        </w:rPr>
        <w:t xml:space="preserve"> may</w:t>
      </w:r>
      <w:r w:rsidRPr="009434A2">
        <w:rPr>
          <w:sz w:val="18"/>
          <w:szCs w:val="18"/>
        </w:rPr>
        <w:t xml:space="preserve"> mean that o</w:t>
      </w:r>
      <w:r w:rsidRPr="009434A2">
        <w:rPr>
          <w:rFonts w:cs="Arial"/>
          <w:color w:val="252525"/>
          <w:sz w:val="18"/>
          <w:szCs w:val="18"/>
          <w:shd w:val="clear" w:color="auto" w:fill="FFFFFF"/>
        </w:rPr>
        <w:t xml:space="preserve">f the cost of congestion (today) about half is related to GDP, and ‘national productivity’. ‘Economic effects’ costs as popularly understood, can be roughly halved </w:t>
      </w:r>
      <w:r w:rsidR="00E72B9F" w:rsidRPr="009434A2">
        <w:rPr>
          <w:rFonts w:cs="Arial"/>
          <w:color w:val="252525"/>
          <w:sz w:val="18"/>
          <w:szCs w:val="18"/>
          <w:shd w:val="clear" w:color="auto" w:fill="FFFFFF"/>
        </w:rPr>
        <w:t>i.e.</w:t>
      </w:r>
      <w:r w:rsidRPr="009434A2">
        <w:rPr>
          <w:rFonts w:cs="Arial"/>
          <w:color w:val="252525"/>
          <w:sz w:val="18"/>
          <w:szCs w:val="18"/>
          <w:shd w:val="clear" w:color="auto" w:fill="FFFFFF"/>
        </w:rPr>
        <w:t xml:space="preserve"> a congestion cost projection of $15bn.</w:t>
      </w:r>
    </w:p>
    <w:p w:rsidR="00A1320F" w:rsidRPr="009434A2" w:rsidRDefault="00A1320F" w:rsidP="009434A2">
      <w:pPr>
        <w:pStyle w:val="EndnoteText"/>
        <w:rPr>
          <w:sz w:val="18"/>
          <w:szCs w:val="18"/>
        </w:rPr>
      </w:pPr>
      <w:r w:rsidRPr="009434A2">
        <w:rPr>
          <w:sz w:val="18"/>
          <w:szCs w:val="18"/>
        </w:rPr>
        <w:t>Productivity is output divided by input.  In aggregate, output is measured by GDP.  Of these business time costs and in vehicle operating costs relate to GDP.</w:t>
      </w:r>
    </w:p>
    <w:p w:rsidR="00A1320F" w:rsidRPr="009434A2" w:rsidRDefault="00A1320F" w:rsidP="009434A2">
      <w:pPr>
        <w:pStyle w:val="EndnoteText"/>
        <w:rPr>
          <w:sz w:val="18"/>
          <w:szCs w:val="18"/>
          <w:lang w:val="en-AU"/>
        </w:rPr>
      </w:pPr>
    </w:p>
  </w:endnote>
  <w:endnote w:id="12">
    <w:p w:rsidR="00A1320F" w:rsidRPr="009434A2" w:rsidRDefault="00A1320F" w:rsidP="009434A2">
      <w:pPr>
        <w:spacing w:after="0"/>
        <w:rPr>
          <w:sz w:val="18"/>
          <w:szCs w:val="18"/>
        </w:rPr>
      </w:pPr>
      <w:r w:rsidRPr="009434A2">
        <w:rPr>
          <w:rStyle w:val="EndnoteReference"/>
          <w:sz w:val="18"/>
          <w:szCs w:val="18"/>
        </w:rPr>
        <w:endnoteRef/>
      </w:r>
      <w:r w:rsidRPr="009434A2">
        <w:rPr>
          <w:sz w:val="18"/>
          <w:szCs w:val="18"/>
        </w:rPr>
        <w:t xml:space="preserve"> Figure 7 </w:t>
      </w:r>
      <w:r w:rsidR="00202845">
        <w:rPr>
          <w:sz w:val="18"/>
          <w:szCs w:val="18"/>
        </w:rPr>
        <w:t>below f</w:t>
      </w:r>
      <w:r w:rsidRPr="009434A2">
        <w:rPr>
          <w:sz w:val="18"/>
          <w:szCs w:val="18"/>
        </w:rPr>
        <w:t xml:space="preserve">rom the Bureau’s Information sheet, shows very long term traffic trends.  Note </w:t>
      </w:r>
      <w:r w:rsidR="00202845">
        <w:rPr>
          <w:sz w:val="18"/>
          <w:szCs w:val="18"/>
        </w:rPr>
        <w:t>the line</w:t>
      </w:r>
      <w:r w:rsidRPr="009434A2">
        <w:rPr>
          <w:sz w:val="18"/>
          <w:szCs w:val="18"/>
        </w:rPr>
        <w:t xml:space="preserve"> flattened out </w:t>
      </w:r>
      <w:r w:rsidR="00202845">
        <w:rPr>
          <w:sz w:val="18"/>
          <w:szCs w:val="18"/>
        </w:rPr>
        <w:t>from</w:t>
      </w:r>
      <w:r w:rsidRPr="009434A2">
        <w:rPr>
          <w:sz w:val="18"/>
          <w:szCs w:val="18"/>
        </w:rPr>
        <w:t xml:space="preserve"> 1995 except for an unexplained spike in 2004.  The Global Financial Crisis was in the late 2000s.</w:t>
      </w:r>
    </w:p>
    <w:p w:rsidR="00A1320F" w:rsidRPr="009434A2" w:rsidRDefault="00A1320F" w:rsidP="009434A2">
      <w:pPr>
        <w:spacing w:after="0"/>
        <w:rPr>
          <w:rFonts w:cs="Arial"/>
          <w:b/>
          <w:color w:val="252525"/>
          <w:sz w:val="18"/>
          <w:szCs w:val="18"/>
          <w:shd w:val="clear" w:color="auto" w:fill="FFFFFF"/>
        </w:rPr>
      </w:pPr>
      <w:r w:rsidRPr="009434A2">
        <w:rPr>
          <w:rFonts w:cs="Arial"/>
          <w:b/>
          <w:color w:val="252525"/>
          <w:sz w:val="18"/>
          <w:szCs w:val="18"/>
          <w:shd w:val="clear" w:color="auto" w:fill="FFFFFF"/>
        </w:rPr>
        <w:t>Figure 7: Bureau traffic (vkt) per capita actual and projections</w:t>
      </w:r>
    </w:p>
    <w:p w:rsidR="00A1320F" w:rsidRPr="009434A2" w:rsidRDefault="00A1320F" w:rsidP="009434A2">
      <w:pPr>
        <w:spacing w:after="0"/>
        <w:rPr>
          <w:rFonts w:cs="Arial"/>
          <w:color w:val="252525"/>
          <w:sz w:val="18"/>
          <w:szCs w:val="18"/>
          <w:shd w:val="clear" w:color="auto" w:fill="FFFFFF"/>
        </w:rPr>
      </w:pPr>
      <w:r w:rsidRPr="009434A2">
        <w:rPr>
          <w:noProof/>
          <w:sz w:val="18"/>
          <w:szCs w:val="18"/>
          <w:lang w:eastAsia="en-GB"/>
        </w:rPr>
        <w:drawing>
          <wp:inline distT="0" distB="0" distL="0" distR="0" wp14:anchorId="723A7529" wp14:editId="47AD9FCD">
            <wp:extent cx="4412051" cy="314764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359" t="23681" r="27543" b="21471"/>
                    <a:stretch/>
                  </pic:blipFill>
                  <pic:spPr bwMode="auto">
                    <a:xfrm>
                      <a:off x="0" y="0"/>
                      <a:ext cx="4484035" cy="3199001"/>
                    </a:xfrm>
                    <a:prstGeom prst="rect">
                      <a:avLst/>
                    </a:prstGeom>
                    <a:ln>
                      <a:noFill/>
                    </a:ln>
                    <a:extLst>
                      <a:ext uri="{53640926-AAD7-44D8-BBD7-CCE9431645EC}">
                        <a14:shadowObscured xmlns:a14="http://schemas.microsoft.com/office/drawing/2010/main"/>
                      </a:ext>
                    </a:extLst>
                  </pic:spPr>
                </pic:pic>
              </a:graphicData>
            </a:graphic>
          </wp:inline>
        </w:drawing>
      </w:r>
    </w:p>
    <w:p w:rsidR="00A1320F" w:rsidRPr="009434A2" w:rsidRDefault="00A1320F" w:rsidP="009434A2">
      <w:pPr>
        <w:pStyle w:val="EndnoteText"/>
        <w:rPr>
          <w:sz w:val="18"/>
          <w:szCs w:val="18"/>
          <w:lang w:val="en-AU"/>
        </w:rPr>
      </w:pPr>
    </w:p>
  </w:endnote>
  <w:endnote w:id="13">
    <w:p w:rsidR="00A1320F" w:rsidRDefault="00A1320F" w:rsidP="009434A2">
      <w:pPr>
        <w:spacing w:after="0"/>
        <w:rPr>
          <w:sz w:val="18"/>
          <w:szCs w:val="18"/>
        </w:rPr>
      </w:pPr>
      <w:r w:rsidRPr="009434A2">
        <w:rPr>
          <w:rStyle w:val="EndnoteReference"/>
          <w:sz w:val="18"/>
          <w:szCs w:val="18"/>
        </w:rPr>
        <w:endnoteRef/>
      </w:r>
      <w:r w:rsidRPr="009434A2">
        <w:rPr>
          <w:sz w:val="18"/>
          <w:szCs w:val="18"/>
        </w:rPr>
        <w:t xml:space="preserve"> Figures 8 and 9 (below) show growth rates and a trend line fitted by excel spreadsheet function.  The </w:t>
      </w:r>
      <w:r w:rsidR="00202845">
        <w:rPr>
          <w:sz w:val="18"/>
          <w:szCs w:val="18"/>
        </w:rPr>
        <w:t xml:space="preserve">actual </w:t>
      </w:r>
      <w:r w:rsidRPr="009434A2">
        <w:rPr>
          <w:sz w:val="18"/>
          <w:szCs w:val="18"/>
        </w:rPr>
        <w:t xml:space="preserve">trend line 2000 to 2014 is downwards (figure 8).  The </w:t>
      </w:r>
      <w:r w:rsidR="00E72B9F" w:rsidRPr="009434A2">
        <w:rPr>
          <w:sz w:val="18"/>
          <w:szCs w:val="18"/>
        </w:rPr>
        <w:t>trend line</w:t>
      </w:r>
      <w:r w:rsidRPr="009434A2">
        <w:rPr>
          <w:sz w:val="18"/>
          <w:szCs w:val="18"/>
        </w:rPr>
        <w:t xml:space="preserve"> 2000 to 2030 (figure 9)</w:t>
      </w:r>
      <w:r w:rsidR="00202845">
        <w:rPr>
          <w:sz w:val="18"/>
          <w:szCs w:val="18"/>
        </w:rPr>
        <w:t>, including the projection period,</w:t>
      </w:r>
      <w:r w:rsidRPr="009434A2">
        <w:rPr>
          <w:sz w:val="18"/>
          <w:szCs w:val="18"/>
        </w:rPr>
        <w:t xml:space="preserve"> is upwards.  The difference occurs because the period 2015 to 2030 is higher on average tha</w:t>
      </w:r>
      <w:r w:rsidR="00202845">
        <w:rPr>
          <w:sz w:val="18"/>
          <w:szCs w:val="18"/>
        </w:rPr>
        <w:t>n</w:t>
      </w:r>
      <w:r w:rsidRPr="009434A2">
        <w:rPr>
          <w:sz w:val="18"/>
          <w:szCs w:val="18"/>
        </w:rPr>
        <w:t xml:space="preserve"> the preceding 15 years.</w:t>
      </w:r>
    </w:p>
    <w:p w:rsidR="00A1320F" w:rsidRDefault="00A1320F" w:rsidP="009434A2">
      <w:pPr>
        <w:spacing w:after="0"/>
        <w:rPr>
          <w:sz w:val="18"/>
          <w:szCs w:val="18"/>
        </w:rPr>
      </w:pPr>
    </w:p>
    <w:p w:rsidR="00A1320F" w:rsidRDefault="00A1320F" w:rsidP="009434A2">
      <w:pPr>
        <w:spacing w:after="0"/>
        <w:rPr>
          <w:sz w:val="18"/>
          <w:szCs w:val="18"/>
        </w:rPr>
      </w:pPr>
    </w:p>
    <w:p w:rsidR="00A1320F" w:rsidRDefault="00A1320F" w:rsidP="009434A2">
      <w:pPr>
        <w:spacing w:after="0"/>
        <w:rPr>
          <w:sz w:val="18"/>
          <w:szCs w:val="18"/>
        </w:rPr>
      </w:pPr>
    </w:p>
    <w:p w:rsidR="00A1320F" w:rsidRPr="009434A2" w:rsidRDefault="00A1320F" w:rsidP="009434A2">
      <w:pPr>
        <w:spacing w:after="0"/>
        <w:rPr>
          <w:sz w:val="18"/>
          <w:szCs w:val="18"/>
        </w:rPr>
      </w:pPr>
    </w:p>
    <w:p w:rsidR="00A1320F" w:rsidRPr="009434A2" w:rsidRDefault="00A1320F" w:rsidP="009434A2">
      <w:pPr>
        <w:spacing w:after="0"/>
        <w:rPr>
          <w:rFonts w:cs="Arial"/>
          <w:color w:val="252525"/>
          <w:sz w:val="18"/>
          <w:szCs w:val="18"/>
          <w:shd w:val="clear" w:color="auto" w:fill="FFFFFF"/>
        </w:rPr>
      </w:pPr>
      <w:r w:rsidRPr="009434A2">
        <w:rPr>
          <w:rFonts w:cs="Arial"/>
          <w:b/>
          <w:color w:val="252525"/>
          <w:sz w:val="18"/>
          <w:szCs w:val="18"/>
          <w:shd w:val="clear" w:color="auto" w:fill="FFFFFF"/>
        </w:rPr>
        <w:t xml:space="preserve">Figure </w:t>
      </w:r>
      <w:r>
        <w:rPr>
          <w:rFonts w:cs="Arial"/>
          <w:b/>
          <w:color w:val="252525"/>
          <w:sz w:val="18"/>
          <w:szCs w:val="18"/>
          <w:shd w:val="clear" w:color="auto" w:fill="FFFFFF"/>
        </w:rPr>
        <w:t>8:</w:t>
      </w:r>
      <w:r w:rsidRPr="009434A2">
        <w:rPr>
          <w:rFonts w:cs="Arial"/>
          <w:b/>
          <w:color w:val="252525"/>
          <w:sz w:val="18"/>
          <w:szCs w:val="18"/>
          <w:shd w:val="clear" w:color="auto" w:fill="FFFFFF"/>
        </w:rPr>
        <w:t xml:space="preserve"> Bureau traffic growth </w:t>
      </w:r>
      <w:r w:rsidR="00202845">
        <w:rPr>
          <w:rFonts w:cs="Arial"/>
          <w:b/>
          <w:color w:val="252525"/>
          <w:sz w:val="18"/>
          <w:szCs w:val="18"/>
          <w:shd w:val="clear" w:color="auto" w:fill="FFFFFF"/>
        </w:rPr>
        <w:t xml:space="preserve">actual </w:t>
      </w:r>
      <w:r w:rsidRPr="009434A2">
        <w:rPr>
          <w:rFonts w:cs="Arial"/>
          <w:b/>
          <w:color w:val="252525"/>
          <w:sz w:val="18"/>
          <w:szCs w:val="18"/>
          <w:shd w:val="clear" w:color="auto" w:fill="FFFFFF"/>
        </w:rPr>
        <w:t>trend 2000 to 2014</w:t>
      </w:r>
    </w:p>
    <w:p w:rsidR="00A1320F" w:rsidRPr="009434A2" w:rsidRDefault="00A1320F" w:rsidP="009434A2">
      <w:pPr>
        <w:spacing w:after="0"/>
        <w:rPr>
          <w:rFonts w:cs="Arial"/>
          <w:color w:val="252525"/>
          <w:sz w:val="18"/>
          <w:szCs w:val="18"/>
          <w:shd w:val="clear" w:color="auto" w:fill="FFFFFF"/>
        </w:rPr>
      </w:pPr>
      <w:r w:rsidRPr="009434A2">
        <w:rPr>
          <w:noProof/>
          <w:sz w:val="18"/>
          <w:szCs w:val="18"/>
          <w:lang w:eastAsia="en-GB"/>
        </w:rPr>
        <w:drawing>
          <wp:inline distT="0" distB="0" distL="0" distR="0" wp14:anchorId="522C1B19" wp14:editId="01185D10">
            <wp:extent cx="4196715" cy="2590800"/>
            <wp:effectExtent l="0" t="0" r="133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320F" w:rsidRPr="009434A2" w:rsidRDefault="00A1320F" w:rsidP="009434A2">
      <w:pPr>
        <w:spacing w:after="0"/>
        <w:rPr>
          <w:rFonts w:cs="Arial"/>
          <w:color w:val="252525"/>
          <w:sz w:val="18"/>
          <w:szCs w:val="18"/>
          <w:shd w:val="clear" w:color="auto" w:fill="FFFFFF"/>
        </w:rPr>
      </w:pPr>
    </w:p>
    <w:p w:rsidR="00A1320F" w:rsidRPr="009434A2" w:rsidRDefault="00A1320F" w:rsidP="009434A2">
      <w:pPr>
        <w:spacing w:after="0"/>
        <w:rPr>
          <w:rFonts w:cs="Arial"/>
          <w:color w:val="252525"/>
          <w:sz w:val="18"/>
          <w:szCs w:val="18"/>
          <w:shd w:val="clear" w:color="auto" w:fill="FFFFFF"/>
        </w:rPr>
      </w:pPr>
    </w:p>
    <w:p w:rsidR="00A1320F" w:rsidRPr="009434A2" w:rsidRDefault="000D18F8" w:rsidP="009434A2">
      <w:pPr>
        <w:spacing w:after="0"/>
        <w:rPr>
          <w:rFonts w:cs="Arial"/>
          <w:color w:val="252525"/>
          <w:sz w:val="18"/>
          <w:szCs w:val="18"/>
          <w:shd w:val="clear" w:color="auto" w:fill="FFFFFF"/>
        </w:rPr>
      </w:pPr>
      <w:r>
        <w:rPr>
          <w:rFonts w:cs="Arial"/>
          <w:b/>
          <w:color w:val="252525"/>
          <w:sz w:val="18"/>
          <w:szCs w:val="18"/>
          <w:shd w:val="clear" w:color="auto" w:fill="FFFFFF"/>
        </w:rPr>
        <w:t>Figure 9</w:t>
      </w:r>
      <w:r w:rsidR="00A1320F" w:rsidRPr="009434A2">
        <w:rPr>
          <w:rFonts w:cs="Arial"/>
          <w:b/>
          <w:color w:val="252525"/>
          <w:sz w:val="18"/>
          <w:szCs w:val="18"/>
          <w:shd w:val="clear" w:color="auto" w:fill="FFFFFF"/>
        </w:rPr>
        <w:t xml:space="preserve">: Bureau traffic growth </w:t>
      </w:r>
      <w:r w:rsidR="00202845">
        <w:rPr>
          <w:rFonts w:cs="Arial"/>
          <w:b/>
          <w:color w:val="252525"/>
          <w:sz w:val="18"/>
          <w:szCs w:val="18"/>
          <w:shd w:val="clear" w:color="auto" w:fill="FFFFFF"/>
        </w:rPr>
        <w:t xml:space="preserve">actual and projected </w:t>
      </w:r>
      <w:r w:rsidR="00A1320F" w:rsidRPr="009434A2">
        <w:rPr>
          <w:rFonts w:cs="Arial"/>
          <w:b/>
          <w:color w:val="252525"/>
          <w:sz w:val="18"/>
          <w:szCs w:val="18"/>
          <w:shd w:val="clear" w:color="auto" w:fill="FFFFFF"/>
        </w:rPr>
        <w:t>trend 2000 to 2030</w:t>
      </w:r>
    </w:p>
    <w:p w:rsidR="00A1320F" w:rsidRPr="009434A2" w:rsidRDefault="00A1320F" w:rsidP="009434A2">
      <w:pPr>
        <w:pStyle w:val="EndnoteText"/>
        <w:rPr>
          <w:sz w:val="18"/>
          <w:szCs w:val="18"/>
          <w:lang w:val="en-AU"/>
        </w:rPr>
      </w:pPr>
      <w:r w:rsidRPr="009434A2">
        <w:rPr>
          <w:noProof/>
          <w:sz w:val="18"/>
          <w:szCs w:val="18"/>
          <w:lang w:eastAsia="en-GB"/>
        </w:rPr>
        <w:drawing>
          <wp:inline distT="0" distB="0" distL="0" distR="0" wp14:anchorId="68DD105E" wp14:editId="6E303A92">
            <wp:extent cx="4272915" cy="2655277"/>
            <wp:effectExtent l="0" t="0" r="13335"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endnote>
  <w:endnote w:id="14">
    <w:p w:rsidR="00A1320F" w:rsidRPr="009434A2" w:rsidRDefault="00A1320F" w:rsidP="009434A2">
      <w:pPr>
        <w:pStyle w:val="EndnoteText"/>
        <w:rPr>
          <w:sz w:val="18"/>
          <w:szCs w:val="18"/>
        </w:rPr>
      </w:pPr>
    </w:p>
    <w:p w:rsidR="00A1320F" w:rsidRPr="009434A2" w:rsidRDefault="00A1320F" w:rsidP="009434A2">
      <w:pPr>
        <w:pStyle w:val="EndnoteText"/>
        <w:rPr>
          <w:sz w:val="18"/>
          <w:szCs w:val="18"/>
        </w:rPr>
      </w:pPr>
      <w:r w:rsidRPr="009434A2">
        <w:rPr>
          <w:rStyle w:val="EndnoteReference"/>
          <w:sz w:val="18"/>
          <w:szCs w:val="18"/>
        </w:rPr>
        <w:endnoteRef/>
      </w:r>
      <w:r w:rsidRPr="009434A2">
        <w:rPr>
          <w:sz w:val="18"/>
          <w:szCs w:val="18"/>
        </w:rPr>
        <w:t xml:space="preserve"> See: </w:t>
      </w:r>
      <w:hyperlink r:id="rId10" w:history="1">
        <w:r w:rsidRPr="009434A2">
          <w:rPr>
            <w:rStyle w:val="Hyperlink"/>
            <w:sz w:val="18"/>
            <w:szCs w:val="18"/>
          </w:rPr>
          <w:t>https://sourceable.net/congestion-on-roads-costing-australian-cities-billions/#</w:t>
        </w:r>
      </w:hyperlink>
    </w:p>
    <w:p w:rsidR="00A1320F" w:rsidRPr="009434A2" w:rsidRDefault="00A1320F" w:rsidP="009434A2">
      <w:pPr>
        <w:pStyle w:val="EndnoteText"/>
        <w:rPr>
          <w:sz w:val="18"/>
          <w:szCs w:val="18"/>
          <w:lang w:val="en-AU"/>
        </w:rPr>
      </w:pPr>
    </w:p>
  </w:endnote>
  <w:endnote w:id="15">
    <w:p w:rsidR="00A1320F" w:rsidRPr="009434A2" w:rsidRDefault="00A1320F" w:rsidP="009434A2">
      <w:pPr>
        <w:pStyle w:val="EndnoteText"/>
        <w:rPr>
          <w:sz w:val="18"/>
          <w:szCs w:val="18"/>
          <w:lang w:val="en-AU"/>
        </w:rPr>
      </w:pPr>
      <w:r w:rsidRPr="009434A2">
        <w:rPr>
          <w:rStyle w:val="EndnoteReference"/>
          <w:sz w:val="18"/>
          <w:szCs w:val="18"/>
        </w:rPr>
        <w:endnoteRef/>
      </w:r>
      <w:r w:rsidRPr="009434A2">
        <w:rPr>
          <w:sz w:val="18"/>
          <w:szCs w:val="18"/>
        </w:rPr>
        <w:t xml:space="preserve"> </w:t>
      </w:r>
      <w:r w:rsidRPr="009434A2">
        <w:rPr>
          <w:sz w:val="18"/>
          <w:szCs w:val="18"/>
          <w:lang w:val="en-AU"/>
        </w:rPr>
        <w:t xml:space="preserve">Westconnex reported blowout; </w:t>
      </w:r>
      <w:hyperlink r:id="rId11" w:history="1">
        <w:r w:rsidRPr="009434A2">
          <w:rPr>
            <w:rStyle w:val="Hyperlink"/>
            <w:sz w:val="18"/>
            <w:szCs w:val="18"/>
            <w:lang w:val="en-AU"/>
          </w:rPr>
          <w:t>http://www.abc.net.au/news/2015-11-20/westconnex-construction-costs-blow-out-business-report/6958380</w:t>
        </w:r>
      </w:hyperlink>
      <w:r w:rsidRPr="009434A2">
        <w:rPr>
          <w:sz w:val="18"/>
          <w:szCs w:val="18"/>
          <w:lang w:val="en-AU"/>
        </w:rPr>
        <w:t>, note that the original cost estimate was around $10bn.</w:t>
      </w:r>
    </w:p>
    <w:p w:rsidR="00A1320F" w:rsidRPr="009434A2" w:rsidRDefault="00A1320F" w:rsidP="009434A2">
      <w:pPr>
        <w:pStyle w:val="EndnoteText"/>
        <w:rPr>
          <w:sz w:val="18"/>
          <w:szCs w:val="18"/>
          <w:lang w:val="en-AU"/>
        </w:rPr>
      </w:pPr>
      <w:r w:rsidRPr="009434A2">
        <w:rPr>
          <w:sz w:val="18"/>
          <w:szCs w:val="18"/>
          <w:lang w:val="en-AU"/>
        </w:rPr>
        <w:t xml:space="preserve">Road maintenance deficit: a maintenance backlog in NSW of $5.3bn  see: </w:t>
      </w:r>
      <w:hyperlink r:id="rId12" w:history="1">
        <w:r w:rsidRPr="009434A2">
          <w:rPr>
            <w:rStyle w:val="Hyperlink"/>
            <w:sz w:val="18"/>
            <w:szCs w:val="18"/>
            <w:lang w:val="en-AU"/>
          </w:rPr>
          <w:t>http://www.smh.com.au/nsw/road-maintenance-backlog-grows-as-peak-hour-traffic-slows-20151122-gl4uhv.html</w:t>
        </w:r>
      </w:hyperlink>
    </w:p>
    <w:p w:rsidR="00A1320F" w:rsidRDefault="00A1320F" w:rsidP="009434A2">
      <w:pPr>
        <w:pStyle w:val="EndnoteText"/>
        <w:rPr>
          <w:sz w:val="18"/>
          <w:szCs w:val="18"/>
          <w:lang w:val="en-AU"/>
        </w:rPr>
      </w:pPr>
      <w:r w:rsidRPr="009434A2">
        <w:rPr>
          <w:sz w:val="18"/>
          <w:szCs w:val="18"/>
          <w:lang w:val="en-AU"/>
        </w:rPr>
        <w:t>Auditors General reports: ‘wooden spoons’ for all</w:t>
      </w:r>
      <w:r w:rsidRPr="009434A2">
        <w:rPr>
          <w:sz w:val="18"/>
          <w:szCs w:val="18"/>
        </w:rPr>
        <w:t xml:space="preserve"> </w:t>
      </w:r>
      <w:hyperlink r:id="rId13" w:history="1">
        <w:r w:rsidRPr="009434A2">
          <w:rPr>
            <w:rStyle w:val="Hyperlink"/>
            <w:sz w:val="18"/>
            <w:szCs w:val="18"/>
            <w:lang w:val="en-AU"/>
          </w:rPr>
          <w:t>http://www.smh.com.au/business/comment-and-analysis/auditorgeneral-makes-it-official-east-west-link-was-a-debacle-top-to-bottom-20151209-gljdfi.html</w:t>
        </w:r>
      </w:hyperlink>
      <w:r w:rsidRPr="009434A2">
        <w:rPr>
          <w:sz w:val="18"/>
          <w:szCs w:val="18"/>
          <w:lang w:val="en-AU"/>
        </w:rPr>
        <w:t xml:space="preserve">, and for the Commonwealth </w:t>
      </w:r>
      <w:hyperlink r:id="rId14" w:history="1">
        <w:r w:rsidRPr="00186E4A">
          <w:rPr>
            <w:rStyle w:val="Hyperlink"/>
            <w:sz w:val="18"/>
            <w:szCs w:val="18"/>
            <w:lang w:val="en-AU"/>
          </w:rPr>
          <w:t>http://www.theguardian.com/australia-news/2015/dec/14/scathing-report-damns-abbotts-handling-of-east-west-link-funds</w:t>
        </w:r>
      </w:hyperlink>
    </w:p>
    <w:p w:rsidR="00A1320F" w:rsidRPr="009434A2" w:rsidRDefault="00A1320F" w:rsidP="009434A2">
      <w:pPr>
        <w:pStyle w:val="EndnoteText"/>
        <w:rPr>
          <w:sz w:val="18"/>
          <w:szCs w:val="18"/>
          <w:lang w:val="en-AU"/>
        </w:rPr>
      </w:pPr>
    </w:p>
  </w:endnote>
  <w:endnote w:id="16">
    <w:p w:rsidR="00A1320F" w:rsidRPr="009434A2" w:rsidRDefault="00A1320F" w:rsidP="009434A2">
      <w:pPr>
        <w:pStyle w:val="EndnoteText"/>
        <w:rPr>
          <w:sz w:val="18"/>
          <w:szCs w:val="18"/>
          <w:lang w:val="en-AU"/>
        </w:rPr>
      </w:pPr>
      <w:r w:rsidRPr="009434A2">
        <w:rPr>
          <w:rStyle w:val="EndnoteReference"/>
          <w:sz w:val="18"/>
          <w:szCs w:val="18"/>
        </w:rPr>
        <w:endnoteRef/>
      </w:r>
      <w:r w:rsidRPr="009434A2">
        <w:rPr>
          <w:sz w:val="18"/>
          <w:szCs w:val="18"/>
        </w:rPr>
        <w:t xml:space="preserve"> </w:t>
      </w:r>
      <w:r w:rsidRPr="009434A2">
        <w:rPr>
          <w:sz w:val="18"/>
          <w:szCs w:val="18"/>
          <w:lang w:val="en-AU"/>
        </w:rPr>
        <w:t xml:space="preserve">Bureau of Infrastructure Transport and Regional Economics, </w:t>
      </w:r>
      <w:r w:rsidRPr="009434A2">
        <w:rPr>
          <w:i/>
          <w:sz w:val="18"/>
          <w:szCs w:val="18"/>
          <w:lang w:val="en-AU"/>
        </w:rPr>
        <w:t>Infrastructure statistics yearbook,</w:t>
      </w:r>
      <w:r w:rsidRPr="009434A2">
        <w:rPr>
          <w:sz w:val="18"/>
          <w:szCs w:val="18"/>
          <w:lang w:val="en-AU"/>
        </w:rPr>
        <w:t xml:space="preserve"> various.</w:t>
      </w: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p>
    <w:p w:rsidR="00A1320F" w:rsidRPr="009434A2" w:rsidRDefault="00A1320F" w:rsidP="009434A2">
      <w:pPr>
        <w:pStyle w:val="EndnoteText"/>
        <w:rPr>
          <w:sz w:val="18"/>
          <w:szCs w:val="18"/>
          <w:lang w:val="en-AU"/>
        </w:rPr>
      </w:pPr>
    </w:p>
    <w:p w:rsidR="00A1320F" w:rsidRPr="009434A2" w:rsidRDefault="00A1320F" w:rsidP="009434A2">
      <w:pPr>
        <w:pStyle w:val="EndnoteText"/>
        <w:rPr>
          <w:sz w:val="18"/>
          <w:szCs w:val="18"/>
          <w:lang w:val="en-AU"/>
        </w:rPr>
      </w:pPr>
      <w:r w:rsidRPr="009434A2">
        <w:rPr>
          <w:sz w:val="18"/>
          <w:szCs w:val="18"/>
          <w:lang w:val="en-AU"/>
        </w:rPr>
        <w:t>From the 2014 yearbook</w:t>
      </w:r>
    </w:p>
    <w:p w:rsidR="00A1320F" w:rsidRPr="009434A2" w:rsidRDefault="00A1320F" w:rsidP="009434A2">
      <w:pPr>
        <w:pStyle w:val="EndnoteText"/>
        <w:rPr>
          <w:sz w:val="18"/>
          <w:szCs w:val="18"/>
          <w:lang w:val="en-AU"/>
        </w:rPr>
      </w:pPr>
    </w:p>
    <w:p w:rsidR="00A1320F" w:rsidRDefault="00A1320F" w:rsidP="009434A2">
      <w:pPr>
        <w:pStyle w:val="EndnoteText"/>
        <w:rPr>
          <w:sz w:val="18"/>
          <w:szCs w:val="18"/>
          <w:lang w:val="en-AU"/>
        </w:rPr>
      </w:pPr>
      <w:r w:rsidRPr="009434A2">
        <w:rPr>
          <w:sz w:val="18"/>
          <w:szCs w:val="18"/>
          <w:lang w:val="en-AU"/>
        </w:rPr>
        <w:t xml:space="preserve"> </w:t>
      </w:r>
      <w:r w:rsidRPr="009434A2">
        <w:rPr>
          <w:noProof/>
          <w:sz w:val="18"/>
          <w:szCs w:val="18"/>
          <w:lang w:eastAsia="en-GB"/>
        </w:rPr>
        <w:drawing>
          <wp:inline distT="0" distB="0" distL="0" distR="0" wp14:anchorId="1D8FD586" wp14:editId="6676D0A9">
            <wp:extent cx="4271597" cy="308317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383" t="46381" r="28207" b="-966"/>
                    <a:stretch/>
                  </pic:blipFill>
                  <pic:spPr bwMode="auto">
                    <a:xfrm>
                      <a:off x="0" y="0"/>
                      <a:ext cx="4305025" cy="3107297"/>
                    </a:xfrm>
                    <a:prstGeom prst="rect">
                      <a:avLst/>
                    </a:prstGeom>
                    <a:ln>
                      <a:noFill/>
                    </a:ln>
                    <a:extLst>
                      <a:ext uri="{53640926-AAD7-44D8-BBD7-CCE9431645EC}">
                        <a14:shadowObscured xmlns:a14="http://schemas.microsoft.com/office/drawing/2010/main"/>
                      </a:ext>
                    </a:extLst>
                  </pic:spPr>
                </pic:pic>
              </a:graphicData>
            </a:graphic>
          </wp:inline>
        </w:drawing>
      </w: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r>
        <w:rPr>
          <w:sz w:val="18"/>
          <w:szCs w:val="18"/>
          <w:lang w:val="en-AU"/>
        </w:rPr>
        <w:t>From the 2015 yearbook</w:t>
      </w:r>
      <w:r>
        <w:rPr>
          <w:noProof/>
          <w:lang w:eastAsia="en-GB"/>
        </w:rPr>
        <w:drawing>
          <wp:inline distT="0" distB="0" distL="0" distR="0" wp14:anchorId="2C530B27" wp14:editId="6E6733A9">
            <wp:extent cx="5281246" cy="332935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195" t="3638" r="14520" b="27732"/>
                    <a:stretch/>
                  </pic:blipFill>
                  <pic:spPr bwMode="auto">
                    <a:xfrm>
                      <a:off x="0" y="0"/>
                      <a:ext cx="5289267" cy="3334411"/>
                    </a:xfrm>
                    <a:prstGeom prst="rect">
                      <a:avLst/>
                    </a:prstGeom>
                    <a:ln>
                      <a:noFill/>
                    </a:ln>
                    <a:extLst>
                      <a:ext uri="{53640926-AAD7-44D8-BBD7-CCE9431645EC}">
                        <a14:shadowObscured xmlns:a14="http://schemas.microsoft.com/office/drawing/2010/main"/>
                      </a:ext>
                    </a:extLst>
                  </pic:spPr>
                </pic:pic>
              </a:graphicData>
            </a:graphic>
          </wp:inline>
        </w:drawing>
      </w: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r>
        <w:rPr>
          <w:sz w:val="18"/>
          <w:szCs w:val="18"/>
          <w:lang w:val="en-AU"/>
        </w:rPr>
        <w:t>Note that the 2015 yearbook refers to constant 2013-14 prices</w:t>
      </w:r>
      <w:r w:rsidR="00202845">
        <w:rPr>
          <w:sz w:val="18"/>
          <w:szCs w:val="18"/>
          <w:lang w:val="en-AU"/>
        </w:rPr>
        <w:t>, so the figures need adjustment to derive nominal fiscal positions</w:t>
      </w:r>
      <w:r>
        <w:rPr>
          <w:sz w:val="18"/>
          <w:szCs w:val="18"/>
          <w:lang w:val="en-AU"/>
        </w:rPr>
        <w:t>.</w:t>
      </w: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r>
        <w:rPr>
          <w:sz w:val="18"/>
          <w:szCs w:val="18"/>
          <w:lang w:val="en-AU"/>
        </w:rPr>
        <w:t>Notes on the 2015 table follow:</w:t>
      </w:r>
    </w:p>
    <w:p w:rsidR="00A1320F" w:rsidRDefault="00A1320F" w:rsidP="009434A2">
      <w:pPr>
        <w:pStyle w:val="EndnoteText"/>
        <w:rPr>
          <w:sz w:val="18"/>
          <w:szCs w:val="18"/>
          <w:lang w:val="en-AU"/>
        </w:rPr>
      </w:pPr>
      <w:r>
        <w:rPr>
          <w:noProof/>
          <w:lang w:eastAsia="en-GB"/>
        </w:rPr>
        <w:drawing>
          <wp:inline distT="0" distB="0" distL="0" distR="0" wp14:anchorId="09F9BA5D" wp14:editId="4AB3C66D">
            <wp:extent cx="4560277" cy="4571317"/>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4130" t="2435" r="32298" b="1951"/>
                    <a:stretch/>
                  </pic:blipFill>
                  <pic:spPr bwMode="auto">
                    <a:xfrm>
                      <a:off x="0" y="0"/>
                      <a:ext cx="4578554" cy="4589638"/>
                    </a:xfrm>
                    <a:prstGeom prst="rect">
                      <a:avLst/>
                    </a:prstGeom>
                    <a:ln>
                      <a:noFill/>
                    </a:ln>
                    <a:extLst>
                      <a:ext uri="{53640926-AAD7-44D8-BBD7-CCE9431645EC}">
                        <a14:shadowObscured xmlns:a14="http://schemas.microsoft.com/office/drawing/2010/main"/>
                      </a:ext>
                    </a:extLst>
                  </pic:spPr>
                </pic:pic>
              </a:graphicData>
            </a:graphic>
          </wp:inline>
        </w:drawing>
      </w:r>
    </w:p>
    <w:p w:rsidR="00A1320F" w:rsidRDefault="00A1320F" w:rsidP="009434A2">
      <w:pPr>
        <w:pStyle w:val="EndnoteText"/>
        <w:rPr>
          <w:sz w:val="18"/>
          <w:szCs w:val="18"/>
          <w:lang w:val="en-AU"/>
        </w:rPr>
      </w:pPr>
      <w:r>
        <w:rPr>
          <w:noProof/>
          <w:lang w:eastAsia="en-GB"/>
        </w:rPr>
        <w:drawing>
          <wp:inline distT="0" distB="0" distL="0" distR="0" wp14:anchorId="1D9197AD" wp14:editId="501D265C">
            <wp:extent cx="4413738" cy="107188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2349" t="910" r="31877" b="79064"/>
                    <a:stretch/>
                  </pic:blipFill>
                  <pic:spPr bwMode="auto">
                    <a:xfrm>
                      <a:off x="0" y="0"/>
                      <a:ext cx="4499699" cy="1092756"/>
                    </a:xfrm>
                    <a:prstGeom prst="rect">
                      <a:avLst/>
                    </a:prstGeom>
                    <a:ln>
                      <a:noFill/>
                    </a:ln>
                    <a:extLst>
                      <a:ext uri="{53640926-AAD7-44D8-BBD7-CCE9431645EC}">
                        <a14:shadowObscured xmlns:a14="http://schemas.microsoft.com/office/drawing/2010/main"/>
                      </a:ext>
                    </a:extLst>
                  </pic:spPr>
                </pic:pic>
              </a:graphicData>
            </a:graphic>
          </wp:inline>
        </w:drawing>
      </w:r>
    </w:p>
    <w:p w:rsidR="00A1320F" w:rsidRDefault="00A1320F" w:rsidP="009434A2">
      <w:pPr>
        <w:pStyle w:val="EndnoteText"/>
        <w:rPr>
          <w:sz w:val="18"/>
          <w:szCs w:val="18"/>
          <w:lang w:val="en-AU"/>
        </w:rPr>
      </w:pPr>
    </w:p>
    <w:p w:rsidR="00A1320F" w:rsidRDefault="00A1320F" w:rsidP="009434A2">
      <w:pPr>
        <w:pStyle w:val="EndnoteText"/>
        <w:rPr>
          <w:sz w:val="18"/>
          <w:szCs w:val="18"/>
          <w:lang w:val="en-AU"/>
        </w:rPr>
      </w:pPr>
      <w:r>
        <w:rPr>
          <w:sz w:val="18"/>
          <w:szCs w:val="18"/>
          <w:lang w:val="en-AU"/>
        </w:rPr>
        <w:t>Table 1 (below) shows the extent of the revision in excise.</w:t>
      </w:r>
    </w:p>
    <w:p w:rsidR="00A1320F" w:rsidRDefault="00A1320F" w:rsidP="009434A2">
      <w:pPr>
        <w:pStyle w:val="EndnoteText"/>
        <w:rPr>
          <w:sz w:val="18"/>
          <w:szCs w:val="18"/>
          <w:lang w:val="en-AU"/>
        </w:rPr>
      </w:pPr>
    </w:p>
    <w:p w:rsidR="00A1320F" w:rsidRPr="00771B2E" w:rsidRDefault="00A1320F" w:rsidP="009434A2">
      <w:pPr>
        <w:pStyle w:val="EndnoteText"/>
        <w:rPr>
          <w:b/>
          <w:sz w:val="18"/>
          <w:szCs w:val="18"/>
          <w:lang w:val="en-AU"/>
        </w:rPr>
      </w:pPr>
      <w:r w:rsidRPr="00771B2E">
        <w:rPr>
          <w:b/>
          <w:sz w:val="18"/>
          <w:szCs w:val="18"/>
          <w:lang w:val="en-AU"/>
        </w:rPr>
        <w:t>Table 1: Infrastructure statistics yearbook 2014, 2015; Road related revenue – excise, $bn</w:t>
      </w:r>
    </w:p>
    <w:tbl>
      <w:tblPr>
        <w:tblStyle w:val="TableGrid"/>
        <w:tblW w:w="0" w:type="auto"/>
        <w:tblLook w:val="04A0" w:firstRow="1" w:lastRow="0" w:firstColumn="1" w:lastColumn="0" w:noHBand="0" w:noVBand="1"/>
      </w:tblPr>
      <w:tblGrid>
        <w:gridCol w:w="1413"/>
        <w:gridCol w:w="1843"/>
        <w:gridCol w:w="1842"/>
        <w:gridCol w:w="1276"/>
      </w:tblGrid>
      <w:tr w:rsidR="00A1320F" w:rsidRPr="00771B2E" w:rsidTr="00084B91">
        <w:tc>
          <w:tcPr>
            <w:tcW w:w="1413" w:type="dxa"/>
          </w:tcPr>
          <w:p w:rsidR="00A1320F" w:rsidRPr="00771B2E" w:rsidRDefault="00A1320F" w:rsidP="009434A2">
            <w:pPr>
              <w:pStyle w:val="EndnoteText"/>
              <w:rPr>
                <w:b/>
                <w:sz w:val="18"/>
                <w:szCs w:val="18"/>
                <w:lang w:val="en-AU"/>
              </w:rPr>
            </w:pPr>
            <w:r w:rsidRPr="00771B2E">
              <w:rPr>
                <w:b/>
                <w:sz w:val="18"/>
                <w:szCs w:val="18"/>
                <w:lang w:val="en-AU"/>
              </w:rPr>
              <w:t>Year</w:t>
            </w:r>
          </w:p>
        </w:tc>
        <w:tc>
          <w:tcPr>
            <w:tcW w:w="1843" w:type="dxa"/>
          </w:tcPr>
          <w:p w:rsidR="00A1320F" w:rsidRPr="00771B2E" w:rsidRDefault="00A1320F" w:rsidP="009434A2">
            <w:pPr>
              <w:pStyle w:val="EndnoteText"/>
              <w:rPr>
                <w:b/>
                <w:sz w:val="18"/>
                <w:szCs w:val="18"/>
                <w:lang w:val="en-AU"/>
              </w:rPr>
            </w:pPr>
            <w:r w:rsidRPr="00771B2E">
              <w:rPr>
                <w:b/>
                <w:sz w:val="18"/>
                <w:szCs w:val="18"/>
                <w:lang w:val="en-AU"/>
              </w:rPr>
              <w:t>2014 yearbook</w:t>
            </w:r>
          </w:p>
        </w:tc>
        <w:tc>
          <w:tcPr>
            <w:tcW w:w="1842" w:type="dxa"/>
          </w:tcPr>
          <w:p w:rsidR="00A1320F" w:rsidRPr="00771B2E" w:rsidRDefault="00A1320F" w:rsidP="009434A2">
            <w:pPr>
              <w:pStyle w:val="EndnoteText"/>
              <w:rPr>
                <w:b/>
                <w:sz w:val="18"/>
                <w:szCs w:val="18"/>
                <w:lang w:val="en-AU"/>
              </w:rPr>
            </w:pPr>
            <w:r w:rsidRPr="00771B2E">
              <w:rPr>
                <w:b/>
                <w:sz w:val="18"/>
                <w:szCs w:val="18"/>
                <w:lang w:val="en-AU"/>
              </w:rPr>
              <w:t>2015 yearbook (a)</w:t>
            </w:r>
          </w:p>
        </w:tc>
        <w:tc>
          <w:tcPr>
            <w:tcW w:w="1276" w:type="dxa"/>
          </w:tcPr>
          <w:p w:rsidR="00A1320F" w:rsidRPr="00771B2E" w:rsidRDefault="00A1320F" w:rsidP="009434A2">
            <w:pPr>
              <w:pStyle w:val="EndnoteText"/>
              <w:rPr>
                <w:b/>
                <w:sz w:val="18"/>
                <w:szCs w:val="18"/>
                <w:lang w:val="en-AU"/>
              </w:rPr>
            </w:pPr>
            <w:r w:rsidRPr="00771B2E">
              <w:rPr>
                <w:b/>
                <w:sz w:val="18"/>
                <w:szCs w:val="18"/>
                <w:lang w:val="en-AU"/>
              </w:rPr>
              <w:t>change</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2003-04</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9650</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9378.0</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-272.0</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2004-05</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9771</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9474.7</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-296.3</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2005-06</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9519</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9833.1</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314.1</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2006-07</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9300</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9932.8</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632.8</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2007-08</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9143</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9940.3</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797.3</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2008-09</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8620</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10169.2</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1549.2</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2009-10</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8620</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10360.1</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1740.1</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2010-11</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8573</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10580.5</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2007.5</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2011-12</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9007</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10758.0</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1751.0</w:t>
            </w:r>
          </w:p>
        </w:tc>
      </w:tr>
      <w:tr w:rsidR="00A1320F" w:rsidRPr="00771B2E" w:rsidTr="00084B91">
        <w:tc>
          <w:tcPr>
            <w:tcW w:w="1413" w:type="dxa"/>
          </w:tcPr>
          <w:p w:rsidR="00A1320F" w:rsidRPr="00771B2E" w:rsidRDefault="00A1320F" w:rsidP="00A1320F">
            <w:pPr>
              <w:pStyle w:val="EndnoteText"/>
              <w:rPr>
                <w:sz w:val="18"/>
                <w:szCs w:val="18"/>
                <w:lang w:val="en-AU"/>
              </w:rPr>
            </w:pPr>
            <w:r w:rsidRPr="00771B2E">
              <w:rPr>
                <w:sz w:val="18"/>
                <w:szCs w:val="18"/>
                <w:lang w:val="en-AU"/>
              </w:rPr>
              <w:t>2012-13</w:t>
            </w:r>
          </w:p>
        </w:tc>
        <w:tc>
          <w:tcPr>
            <w:tcW w:w="1843"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8946</w:t>
            </w:r>
          </w:p>
        </w:tc>
        <w:tc>
          <w:tcPr>
            <w:tcW w:w="1842"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10834.0</w:t>
            </w:r>
          </w:p>
        </w:tc>
        <w:tc>
          <w:tcPr>
            <w:tcW w:w="1276" w:type="dxa"/>
            <w:vAlign w:val="bottom"/>
          </w:tcPr>
          <w:p w:rsidR="00A1320F" w:rsidRPr="00771B2E" w:rsidRDefault="00A1320F" w:rsidP="00A1320F">
            <w:pPr>
              <w:rPr>
                <w:rFonts w:ascii="Calibri" w:eastAsia="Times New Roman" w:hAnsi="Calibri" w:cs="Times New Roman"/>
                <w:color w:val="000000"/>
                <w:sz w:val="18"/>
                <w:szCs w:val="18"/>
                <w:lang w:eastAsia="en-GB"/>
              </w:rPr>
            </w:pPr>
            <w:r w:rsidRPr="00771B2E">
              <w:rPr>
                <w:rFonts w:ascii="Calibri" w:eastAsia="Times New Roman" w:hAnsi="Calibri" w:cs="Times New Roman"/>
                <w:color w:val="000000"/>
                <w:sz w:val="18"/>
                <w:szCs w:val="18"/>
                <w:lang w:eastAsia="en-GB"/>
              </w:rPr>
              <w:t>1888.0</w:t>
            </w:r>
          </w:p>
        </w:tc>
      </w:tr>
      <w:tr w:rsidR="00A1320F" w:rsidRPr="00771B2E" w:rsidTr="00084B91">
        <w:tc>
          <w:tcPr>
            <w:tcW w:w="1413" w:type="dxa"/>
          </w:tcPr>
          <w:p w:rsidR="00A1320F" w:rsidRPr="00771B2E" w:rsidRDefault="00A1320F" w:rsidP="00A1320F">
            <w:pPr>
              <w:pStyle w:val="EndnoteText"/>
              <w:rPr>
                <w:sz w:val="18"/>
                <w:szCs w:val="18"/>
                <w:lang w:val="en-AU"/>
              </w:rPr>
            </w:pPr>
          </w:p>
        </w:tc>
        <w:tc>
          <w:tcPr>
            <w:tcW w:w="1843" w:type="dxa"/>
          </w:tcPr>
          <w:p w:rsidR="00A1320F" w:rsidRPr="00771B2E" w:rsidRDefault="00A1320F" w:rsidP="00A1320F">
            <w:pPr>
              <w:pStyle w:val="EndnoteText"/>
              <w:rPr>
                <w:sz w:val="18"/>
                <w:szCs w:val="18"/>
                <w:lang w:val="en-AU"/>
              </w:rPr>
            </w:pPr>
          </w:p>
        </w:tc>
        <w:tc>
          <w:tcPr>
            <w:tcW w:w="1842" w:type="dxa"/>
          </w:tcPr>
          <w:p w:rsidR="00A1320F" w:rsidRPr="00771B2E" w:rsidRDefault="00A1320F" w:rsidP="00A1320F">
            <w:pPr>
              <w:pStyle w:val="EndnoteText"/>
              <w:rPr>
                <w:sz w:val="18"/>
                <w:szCs w:val="18"/>
                <w:lang w:val="en-AU"/>
              </w:rPr>
            </w:pPr>
          </w:p>
        </w:tc>
        <w:tc>
          <w:tcPr>
            <w:tcW w:w="1276" w:type="dxa"/>
          </w:tcPr>
          <w:p w:rsidR="00A1320F" w:rsidRPr="00771B2E" w:rsidRDefault="00A1320F" w:rsidP="00A1320F">
            <w:pPr>
              <w:pStyle w:val="EndnoteText"/>
              <w:rPr>
                <w:sz w:val="18"/>
                <w:szCs w:val="18"/>
                <w:lang w:val="en-AU"/>
              </w:rPr>
            </w:pPr>
          </w:p>
        </w:tc>
      </w:tr>
    </w:tbl>
    <w:p w:rsidR="00A1320F" w:rsidRPr="00771B2E" w:rsidRDefault="00A1320F" w:rsidP="00A1320F">
      <w:pPr>
        <w:pStyle w:val="EndnoteText"/>
        <w:numPr>
          <w:ilvl w:val="0"/>
          <w:numId w:val="1"/>
        </w:numPr>
        <w:rPr>
          <w:sz w:val="16"/>
          <w:szCs w:val="16"/>
          <w:lang w:val="en-AU"/>
        </w:rPr>
      </w:pPr>
      <w:r w:rsidRPr="00771B2E">
        <w:rPr>
          <w:sz w:val="16"/>
          <w:szCs w:val="16"/>
          <w:lang w:val="en-AU"/>
        </w:rPr>
        <w:t>Converted to nominal $ by CPI</w:t>
      </w:r>
    </w:p>
    <w:tbl>
      <w:tblPr>
        <w:tblW w:w="6160" w:type="dxa"/>
        <w:tblLook w:val="04A0" w:firstRow="1" w:lastRow="0" w:firstColumn="1" w:lastColumn="0" w:noHBand="0" w:noVBand="1"/>
      </w:tblPr>
      <w:tblGrid>
        <w:gridCol w:w="960"/>
        <w:gridCol w:w="1000"/>
        <w:gridCol w:w="1000"/>
        <w:gridCol w:w="1000"/>
        <w:gridCol w:w="1220"/>
        <w:gridCol w:w="980"/>
      </w:tblGrid>
      <w:tr w:rsidR="00A1320F" w:rsidRPr="00A1320F" w:rsidTr="00A1320F">
        <w:trPr>
          <w:trHeight w:val="300"/>
        </w:trPr>
        <w:tc>
          <w:tcPr>
            <w:tcW w:w="96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98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Times New Roman" w:eastAsia="Times New Roman" w:hAnsi="Times New Roman" w:cs="Times New Roman"/>
                <w:sz w:val="20"/>
                <w:szCs w:val="20"/>
                <w:lang w:eastAsia="en-GB"/>
              </w:rPr>
            </w:pPr>
          </w:p>
        </w:tc>
      </w:tr>
      <w:tr w:rsidR="00A1320F" w:rsidRPr="00A1320F" w:rsidTr="00A1320F">
        <w:trPr>
          <w:trHeight w:val="300"/>
        </w:trPr>
        <w:tc>
          <w:tcPr>
            <w:tcW w:w="96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c>
          <w:tcPr>
            <w:tcW w:w="980" w:type="dxa"/>
            <w:tcBorders>
              <w:top w:val="nil"/>
              <w:left w:val="nil"/>
              <w:bottom w:val="nil"/>
              <w:right w:val="nil"/>
            </w:tcBorders>
            <w:shd w:val="clear" w:color="auto" w:fill="auto"/>
            <w:noWrap/>
            <w:vAlign w:val="bottom"/>
          </w:tcPr>
          <w:p w:rsidR="00A1320F" w:rsidRPr="00A1320F" w:rsidRDefault="00A1320F" w:rsidP="00A1320F">
            <w:pPr>
              <w:spacing w:after="0" w:line="240" w:lineRule="auto"/>
              <w:rPr>
                <w:rFonts w:ascii="Calibri" w:eastAsia="Times New Roman" w:hAnsi="Calibri" w:cs="Times New Roman"/>
                <w:color w:val="000000"/>
                <w:lang w:eastAsia="en-GB"/>
              </w:rPr>
            </w:pPr>
          </w:p>
        </w:tc>
      </w:tr>
    </w:tbl>
    <w:p w:rsidR="00A1320F" w:rsidRPr="009434A2" w:rsidRDefault="00A1320F" w:rsidP="009434A2">
      <w:pPr>
        <w:pStyle w:val="EndnoteText"/>
        <w:rPr>
          <w:sz w:val="18"/>
          <w:szCs w:val="18"/>
          <w:lang w:val="en-AU"/>
        </w:rPr>
      </w:pPr>
    </w:p>
  </w:endnote>
  <w:endnote w:id="17">
    <w:p w:rsidR="00A1320F" w:rsidRPr="00367AB1" w:rsidRDefault="00A1320F">
      <w:pPr>
        <w:pStyle w:val="EndnoteText"/>
        <w:rPr>
          <w:sz w:val="18"/>
          <w:szCs w:val="18"/>
          <w:lang w:val="en-AU"/>
        </w:rPr>
      </w:pPr>
      <w:r w:rsidRPr="00367AB1">
        <w:rPr>
          <w:rStyle w:val="EndnoteReference"/>
          <w:sz w:val="18"/>
          <w:szCs w:val="18"/>
        </w:rPr>
        <w:endnoteRef/>
      </w:r>
      <w:r w:rsidRPr="00367AB1">
        <w:rPr>
          <w:sz w:val="18"/>
          <w:szCs w:val="18"/>
        </w:rPr>
        <w:t xml:space="preserve"> Trainline at https://bitre.gov.au/publications/publications.aspx?query=s:%22trainline%22&amp;link-search=true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0F" w:rsidRDefault="00A1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068469"/>
      <w:docPartObj>
        <w:docPartGallery w:val="Page Numbers (Bottom of Page)"/>
        <w:docPartUnique/>
      </w:docPartObj>
    </w:sdtPr>
    <w:sdtEndPr>
      <w:rPr>
        <w:noProof/>
      </w:rPr>
    </w:sdtEndPr>
    <w:sdtContent>
      <w:p w:rsidR="00A1320F" w:rsidRDefault="00A1320F">
        <w:pPr>
          <w:pStyle w:val="Footer"/>
          <w:jc w:val="center"/>
        </w:pPr>
        <w:r>
          <w:fldChar w:fldCharType="begin"/>
        </w:r>
        <w:r>
          <w:instrText xml:space="preserve"> PAGE   \* MERGEFORMAT </w:instrText>
        </w:r>
        <w:r>
          <w:fldChar w:fldCharType="separate"/>
        </w:r>
        <w:r w:rsidR="00856E52">
          <w:rPr>
            <w:noProof/>
          </w:rPr>
          <w:t>5</w:t>
        </w:r>
        <w:r>
          <w:rPr>
            <w:noProof/>
          </w:rPr>
          <w:fldChar w:fldCharType="end"/>
        </w:r>
      </w:p>
    </w:sdtContent>
  </w:sdt>
  <w:p w:rsidR="00A1320F" w:rsidRDefault="00A13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0F" w:rsidRDefault="00A1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DC" w:rsidRDefault="00466BDC" w:rsidP="00D24597">
      <w:pPr>
        <w:spacing w:after="0" w:line="240" w:lineRule="auto"/>
      </w:pPr>
      <w:r>
        <w:separator/>
      </w:r>
    </w:p>
  </w:footnote>
  <w:footnote w:type="continuationSeparator" w:id="0">
    <w:p w:rsidR="00466BDC" w:rsidRDefault="00466BDC" w:rsidP="00D24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0F" w:rsidRDefault="00A13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0F" w:rsidRDefault="00A13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0F" w:rsidRDefault="00A1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CA2"/>
    <w:multiLevelType w:val="hybridMultilevel"/>
    <w:tmpl w:val="4998DEC4"/>
    <w:lvl w:ilvl="0" w:tplc="56FED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0261B"/>
    <w:multiLevelType w:val="hybridMultilevel"/>
    <w:tmpl w:val="457C1720"/>
    <w:lvl w:ilvl="0" w:tplc="C7547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338A6"/>
    <w:multiLevelType w:val="hybridMultilevel"/>
    <w:tmpl w:val="FD4A9E96"/>
    <w:lvl w:ilvl="0" w:tplc="A8E4D3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07F7"/>
    <w:multiLevelType w:val="hybridMultilevel"/>
    <w:tmpl w:val="2174B234"/>
    <w:lvl w:ilvl="0" w:tplc="B576DE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B7D35"/>
    <w:multiLevelType w:val="hybridMultilevel"/>
    <w:tmpl w:val="FCA606B0"/>
    <w:lvl w:ilvl="0" w:tplc="93A0D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D3FAE"/>
    <w:multiLevelType w:val="hybridMultilevel"/>
    <w:tmpl w:val="7E0AE4FE"/>
    <w:lvl w:ilvl="0" w:tplc="5C361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0D"/>
    <w:rsid w:val="000114DD"/>
    <w:rsid w:val="00011AC0"/>
    <w:rsid w:val="00025896"/>
    <w:rsid w:val="00053223"/>
    <w:rsid w:val="00055E24"/>
    <w:rsid w:val="0006457B"/>
    <w:rsid w:val="00071FB2"/>
    <w:rsid w:val="000764B0"/>
    <w:rsid w:val="00084B91"/>
    <w:rsid w:val="000A20D0"/>
    <w:rsid w:val="000C353D"/>
    <w:rsid w:val="000D18F8"/>
    <w:rsid w:val="000E2EBD"/>
    <w:rsid w:val="00102A36"/>
    <w:rsid w:val="00103A2E"/>
    <w:rsid w:val="0011445A"/>
    <w:rsid w:val="001268D7"/>
    <w:rsid w:val="00170374"/>
    <w:rsid w:val="00172F9E"/>
    <w:rsid w:val="001B05CC"/>
    <w:rsid w:val="001B1440"/>
    <w:rsid w:val="001C4783"/>
    <w:rsid w:val="001E67DF"/>
    <w:rsid w:val="00201134"/>
    <w:rsid w:val="00202845"/>
    <w:rsid w:val="002122F0"/>
    <w:rsid w:val="002353FE"/>
    <w:rsid w:val="003045B2"/>
    <w:rsid w:val="00335C0D"/>
    <w:rsid w:val="00346448"/>
    <w:rsid w:val="00367AB1"/>
    <w:rsid w:val="00381D2E"/>
    <w:rsid w:val="003A7DE5"/>
    <w:rsid w:val="003D33C3"/>
    <w:rsid w:val="003D47E4"/>
    <w:rsid w:val="003E2869"/>
    <w:rsid w:val="0040550A"/>
    <w:rsid w:val="00417CC2"/>
    <w:rsid w:val="004257B2"/>
    <w:rsid w:val="00450CC0"/>
    <w:rsid w:val="004570AD"/>
    <w:rsid w:val="00466BDC"/>
    <w:rsid w:val="004B2586"/>
    <w:rsid w:val="004B5957"/>
    <w:rsid w:val="004B7D68"/>
    <w:rsid w:val="004C25D7"/>
    <w:rsid w:val="004D0AA2"/>
    <w:rsid w:val="005024C1"/>
    <w:rsid w:val="00524760"/>
    <w:rsid w:val="00563317"/>
    <w:rsid w:val="005A0054"/>
    <w:rsid w:val="005D705D"/>
    <w:rsid w:val="005E2855"/>
    <w:rsid w:val="006040DA"/>
    <w:rsid w:val="00607EE4"/>
    <w:rsid w:val="00627D31"/>
    <w:rsid w:val="00633326"/>
    <w:rsid w:val="00696BF5"/>
    <w:rsid w:val="006B3382"/>
    <w:rsid w:val="006C78C0"/>
    <w:rsid w:val="006D04FF"/>
    <w:rsid w:val="006F1436"/>
    <w:rsid w:val="007142CD"/>
    <w:rsid w:val="007460B0"/>
    <w:rsid w:val="00771B2E"/>
    <w:rsid w:val="00773744"/>
    <w:rsid w:val="007A3665"/>
    <w:rsid w:val="007A46DC"/>
    <w:rsid w:val="007F35F6"/>
    <w:rsid w:val="00824A5A"/>
    <w:rsid w:val="008343B2"/>
    <w:rsid w:val="00841820"/>
    <w:rsid w:val="00855E28"/>
    <w:rsid w:val="00856E52"/>
    <w:rsid w:val="00862DCB"/>
    <w:rsid w:val="00890868"/>
    <w:rsid w:val="008A6FC2"/>
    <w:rsid w:val="008C6E19"/>
    <w:rsid w:val="008D3FE7"/>
    <w:rsid w:val="008F0774"/>
    <w:rsid w:val="0091670B"/>
    <w:rsid w:val="00920C1C"/>
    <w:rsid w:val="00930E09"/>
    <w:rsid w:val="009434A2"/>
    <w:rsid w:val="00952AB0"/>
    <w:rsid w:val="00994104"/>
    <w:rsid w:val="00996552"/>
    <w:rsid w:val="009B61C8"/>
    <w:rsid w:val="009E4DBF"/>
    <w:rsid w:val="009F5D9E"/>
    <w:rsid w:val="00A1320F"/>
    <w:rsid w:val="00A13FAE"/>
    <w:rsid w:val="00A21F28"/>
    <w:rsid w:val="00A31D11"/>
    <w:rsid w:val="00A548B5"/>
    <w:rsid w:val="00A66BA2"/>
    <w:rsid w:val="00A74F0E"/>
    <w:rsid w:val="00A810DB"/>
    <w:rsid w:val="00A91A5D"/>
    <w:rsid w:val="00A9362B"/>
    <w:rsid w:val="00A978CF"/>
    <w:rsid w:val="00AB34B0"/>
    <w:rsid w:val="00AF0D20"/>
    <w:rsid w:val="00B0589F"/>
    <w:rsid w:val="00B26854"/>
    <w:rsid w:val="00B52F2C"/>
    <w:rsid w:val="00B85600"/>
    <w:rsid w:val="00B91137"/>
    <w:rsid w:val="00BA16B4"/>
    <w:rsid w:val="00BB4664"/>
    <w:rsid w:val="00BB6096"/>
    <w:rsid w:val="00BC30A2"/>
    <w:rsid w:val="00BD51AA"/>
    <w:rsid w:val="00BF0466"/>
    <w:rsid w:val="00BF2313"/>
    <w:rsid w:val="00BF6F52"/>
    <w:rsid w:val="00C02AE0"/>
    <w:rsid w:val="00C1127A"/>
    <w:rsid w:val="00C11CD7"/>
    <w:rsid w:val="00C30C57"/>
    <w:rsid w:val="00C5026F"/>
    <w:rsid w:val="00C5253A"/>
    <w:rsid w:val="00C6125F"/>
    <w:rsid w:val="00C63BF3"/>
    <w:rsid w:val="00C63E8E"/>
    <w:rsid w:val="00C82D0D"/>
    <w:rsid w:val="00C9034E"/>
    <w:rsid w:val="00C9229F"/>
    <w:rsid w:val="00CC397F"/>
    <w:rsid w:val="00CC737F"/>
    <w:rsid w:val="00CC7916"/>
    <w:rsid w:val="00CD3021"/>
    <w:rsid w:val="00CF4048"/>
    <w:rsid w:val="00CF7443"/>
    <w:rsid w:val="00D00A27"/>
    <w:rsid w:val="00D17DB0"/>
    <w:rsid w:val="00D24597"/>
    <w:rsid w:val="00D32262"/>
    <w:rsid w:val="00D54773"/>
    <w:rsid w:val="00D625D4"/>
    <w:rsid w:val="00D9190B"/>
    <w:rsid w:val="00D9315F"/>
    <w:rsid w:val="00D95218"/>
    <w:rsid w:val="00DB5D6A"/>
    <w:rsid w:val="00DD0C5D"/>
    <w:rsid w:val="00DD1C42"/>
    <w:rsid w:val="00DF3A6A"/>
    <w:rsid w:val="00DF55DD"/>
    <w:rsid w:val="00E30BFB"/>
    <w:rsid w:val="00E4723E"/>
    <w:rsid w:val="00E66F60"/>
    <w:rsid w:val="00E703F4"/>
    <w:rsid w:val="00E72B9F"/>
    <w:rsid w:val="00E976D2"/>
    <w:rsid w:val="00EC5F42"/>
    <w:rsid w:val="00EE0175"/>
    <w:rsid w:val="00EE0BEF"/>
    <w:rsid w:val="00F4270C"/>
    <w:rsid w:val="00F43E3D"/>
    <w:rsid w:val="00F776CE"/>
    <w:rsid w:val="00F8339E"/>
    <w:rsid w:val="00FB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7809C-A2B7-4D61-A2A9-F208094E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5C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7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0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5C0D"/>
    <w:rPr>
      <w:color w:val="0563C1" w:themeColor="hyperlink"/>
      <w:u w:val="single"/>
    </w:rPr>
  </w:style>
  <w:style w:type="character" w:customStyle="1" w:styleId="Heading2Char">
    <w:name w:val="Heading 2 Char"/>
    <w:basedOn w:val="DefaultParagraphFont"/>
    <w:link w:val="Heading2"/>
    <w:uiPriority w:val="9"/>
    <w:rsid w:val="006C78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24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97"/>
  </w:style>
  <w:style w:type="paragraph" w:styleId="Footer">
    <w:name w:val="footer"/>
    <w:basedOn w:val="Normal"/>
    <w:link w:val="FooterChar"/>
    <w:uiPriority w:val="99"/>
    <w:unhideWhenUsed/>
    <w:rsid w:val="00D24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97"/>
  </w:style>
  <w:style w:type="paragraph" w:styleId="EndnoteText">
    <w:name w:val="endnote text"/>
    <w:basedOn w:val="Normal"/>
    <w:link w:val="EndnoteTextChar"/>
    <w:uiPriority w:val="99"/>
    <w:semiHidden/>
    <w:unhideWhenUsed/>
    <w:rsid w:val="00952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AB0"/>
    <w:rPr>
      <w:sz w:val="20"/>
      <w:szCs w:val="20"/>
    </w:rPr>
  </w:style>
  <w:style w:type="character" w:styleId="EndnoteReference">
    <w:name w:val="endnote reference"/>
    <w:basedOn w:val="DefaultParagraphFont"/>
    <w:uiPriority w:val="99"/>
    <w:semiHidden/>
    <w:unhideWhenUsed/>
    <w:rsid w:val="00952AB0"/>
    <w:rPr>
      <w:vertAlign w:val="superscript"/>
    </w:rPr>
  </w:style>
  <w:style w:type="paragraph" w:styleId="FootnoteText">
    <w:name w:val="footnote text"/>
    <w:basedOn w:val="Normal"/>
    <w:link w:val="FootnoteTextChar"/>
    <w:uiPriority w:val="99"/>
    <w:semiHidden/>
    <w:unhideWhenUsed/>
    <w:rsid w:val="00952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AB0"/>
    <w:rPr>
      <w:sz w:val="20"/>
      <w:szCs w:val="20"/>
    </w:rPr>
  </w:style>
  <w:style w:type="character" w:styleId="FootnoteReference">
    <w:name w:val="footnote reference"/>
    <w:basedOn w:val="DefaultParagraphFont"/>
    <w:uiPriority w:val="99"/>
    <w:semiHidden/>
    <w:unhideWhenUsed/>
    <w:rsid w:val="00952AB0"/>
    <w:rPr>
      <w:vertAlign w:val="superscript"/>
    </w:rPr>
  </w:style>
  <w:style w:type="table" w:styleId="TableGrid">
    <w:name w:val="Table Grid"/>
    <w:basedOn w:val="TableNormal"/>
    <w:uiPriority w:val="39"/>
    <w:rsid w:val="00A1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93517">
      <w:bodyDiv w:val="1"/>
      <w:marLeft w:val="0"/>
      <w:marRight w:val="0"/>
      <w:marTop w:val="0"/>
      <w:marBottom w:val="0"/>
      <w:divBdr>
        <w:top w:val="none" w:sz="0" w:space="0" w:color="auto"/>
        <w:left w:val="none" w:sz="0" w:space="0" w:color="auto"/>
        <w:bottom w:val="none" w:sz="0" w:space="0" w:color="auto"/>
        <w:right w:val="none" w:sz="0" w:space="0" w:color="auto"/>
      </w:divBdr>
    </w:div>
    <w:div w:id="11822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t.com/au/news/joy-apocalypse-delayed-until-2030/" TargetMode="External"/><Relationship Id="rId13" Type="http://schemas.openxmlformats.org/officeDocument/2006/relationships/chart" Target="charts/chart8.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7.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hyperlink" Target="http://www.smh.com.au/business/comment-and-analysis/auditorgeneral-makes-it-official-east-west-link-was-a-debacle-top-to-bottom-20151209-gljdfi.html" TargetMode="External"/><Relationship Id="rId18" Type="http://schemas.openxmlformats.org/officeDocument/2006/relationships/image" Target="media/image5.png"/><Relationship Id="rId3" Type="http://schemas.openxmlformats.org/officeDocument/2006/relationships/hyperlink" Target="http://dpti.sa.gov.au/driverlesscars" TargetMode="External"/><Relationship Id="rId7" Type="http://schemas.openxmlformats.org/officeDocument/2006/relationships/image" Target="media/image1.png"/><Relationship Id="rId12" Type="http://schemas.openxmlformats.org/officeDocument/2006/relationships/hyperlink" Target="http://www.smh.com.au/nsw/road-maintenance-backlog-grows-as-peak-hour-traffic-slows-20151122-gl4uhv.html" TargetMode="External"/><Relationship Id="rId17" Type="http://schemas.openxmlformats.org/officeDocument/2006/relationships/image" Target="media/image4.png"/><Relationship Id="rId2" Type="http://schemas.openxmlformats.org/officeDocument/2006/relationships/hyperlink" Target="https://bitre.gov.au/publications/2015/is_074.aspx" TargetMode="External"/><Relationship Id="rId16" Type="http://schemas.openxmlformats.org/officeDocument/2006/relationships/image" Target="media/image3.png"/><Relationship Id="rId1" Type="http://schemas.openxmlformats.org/officeDocument/2006/relationships/hyperlink" Target="https://heavenawaits.wordpress.com/the-hebrew-timeline-for-the-messianic-kingdom/" TargetMode="External"/><Relationship Id="rId6" Type="http://schemas.openxmlformats.org/officeDocument/2006/relationships/chart" Target="charts/chart3.xml"/><Relationship Id="rId11" Type="http://schemas.openxmlformats.org/officeDocument/2006/relationships/hyperlink" Target="http://www.abc.net.au/news/2015-11-20/westconnex-construction-costs-blow-out-business-report/6958380" TargetMode="External"/><Relationship Id="rId5" Type="http://schemas.openxmlformats.org/officeDocument/2006/relationships/hyperlink" Target="https://en.wikipedia.org/wiki/Ed_Wood" TargetMode="External"/><Relationship Id="rId15" Type="http://schemas.openxmlformats.org/officeDocument/2006/relationships/image" Target="media/image2.png"/><Relationship Id="rId10" Type="http://schemas.openxmlformats.org/officeDocument/2006/relationships/hyperlink" Target="https://sourceable.net/congestion-on-roads-costing-australian-cities-billions/" TargetMode="External"/><Relationship Id="rId4" Type="http://schemas.openxmlformats.org/officeDocument/2006/relationships/hyperlink" Target="http://www.news.com.au/technology/innovation/honda-says-autonomous-cars-wont-be-ready-until-2030-at-the-earliest-despite-what-apple-and-google-may-claim/story-fnjwucvh-1227584020244" TargetMode="External"/><Relationship Id="rId9" Type="http://schemas.openxmlformats.org/officeDocument/2006/relationships/chart" Target="charts/chart6.xml"/><Relationship Id="rId14" Type="http://schemas.openxmlformats.org/officeDocument/2006/relationships/hyperlink" Target="http://www.theguardian.com/australia-news/2015/dec/14/scathing-report-damns-abbotts-handling-of-east-west-link-fund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road%20outlays%20and%20revenu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Documents\vkt%20pk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Documents\vkt%20pk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hn\Documents\new%20road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hn\Documents\vkt%20pk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hn\Documents\vkt%20pk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hn\Documents\luk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ohn\Documents\luk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metropolitan road congestion cost $bn forecast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Sheet1!$D$120:$D$136</c:f>
              <c:numCache>
                <c:formatCode>General</c:formatCode>
                <c:ptCount val="17"/>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numCache>
            </c:numRef>
          </c:xVal>
          <c:yVal>
            <c:numRef>
              <c:f>Sheet1!$E$120:$E$136</c:f>
              <c:numCache>
                <c:formatCode>General</c:formatCode>
                <c:ptCount val="17"/>
                <c:pt idx="0">
                  <c:v>16.5</c:v>
                </c:pt>
                <c:pt idx="1">
                  <c:v>17.176499999999997</c:v>
                </c:pt>
                <c:pt idx="2">
                  <c:v>17.880736499999998</c:v>
                </c:pt>
                <c:pt idx="3">
                  <c:v>18.613846696499998</c:v>
                </c:pt>
                <c:pt idx="4">
                  <c:v>19.377014411056496</c:v>
                </c:pt>
                <c:pt idx="5">
                  <c:v>20.171472001909812</c:v>
                </c:pt>
                <c:pt idx="6">
                  <c:v>20.998502353988112</c:v>
                </c:pt>
                <c:pt idx="7">
                  <c:v>21.859440950501622</c:v>
                </c:pt>
                <c:pt idx="8">
                  <c:v>22.755678029472186</c:v>
                </c:pt>
                <c:pt idx="9">
                  <c:v>23.688660828680543</c:v>
                </c:pt>
                <c:pt idx="10">
                  <c:v>24.659895922656442</c:v>
                </c:pt>
                <c:pt idx="11">
                  <c:v>25.670951655485354</c:v>
                </c:pt>
                <c:pt idx="12">
                  <c:v>26.72346067336025</c:v>
                </c:pt>
                <c:pt idx="13">
                  <c:v>27.819122560968019</c:v>
                </c:pt>
                <c:pt idx="14">
                  <c:v>28.959706585967705</c:v>
                </c:pt>
                <c:pt idx="15">
                  <c:v>30</c:v>
                </c:pt>
                <c:pt idx="16">
                  <c:v>53</c:v>
                </c:pt>
              </c:numCache>
            </c:numRef>
          </c:yVal>
          <c:smooth val="0"/>
        </c:ser>
        <c:dLbls>
          <c:showLegendKey val="0"/>
          <c:showVal val="0"/>
          <c:showCatName val="0"/>
          <c:showSerName val="0"/>
          <c:showPercent val="0"/>
          <c:showBubbleSize val="0"/>
        </c:dLbls>
        <c:axId val="323891120"/>
        <c:axId val="323895432"/>
      </c:scatterChart>
      <c:valAx>
        <c:axId val="323891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95432"/>
        <c:crosses val="autoZero"/>
        <c:crossBetween val="midCat"/>
      </c:valAx>
      <c:valAx>
        <c:axId val="32389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911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metropolitan</a:t>
            </a:r>
            <a:r>
              <a:rPr lang="en-GB" baseline="0"/>
              <a:t> vkt change 2005 to 2014: 2007 base projection v. actual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Sheet2!$A$80</c:f>
              <c:strCache>
                <c:ptCount val="1"/>
                <c:pt idx="0">
                  <c:v>projection</c:v>
                </c:pt>
              </c:strCache>
            </c:strRef>
          </c:tx>
          <c:spPr>
            <a:solidFill>
              <a:schemeClr val="accent1"/>
            </a:solidFill>
            <a:ln>
              <a:noFill/>
            </a:ln>
            <a:effectLst/>
          </c:spPr>
          <c:invertIfNegative val="0"/>
          <c:cat>
            <c:strRef>
              <c:f>Sheet2!$B$79:$G$79</c:f>
              <c:strCache>
                <c:ptCount val="6"/>
                <c:pt idx="0">
                  <c:v>sydney</c:v>
                </c:pt>
                <c:pt idx="1">
                  <c:v>melbourne</c:v>
                </c:pt>
                <c:pt idx="2">
                  <c:v>brisbane</c:v>
                </c:pt>
                <c:pt idx="3">
                  <c:v>perth</c:v>
                </c:pt>
                <c:pt idx="4">
                  <c:v>adelaide</c:v>
                </c:pt>
                <c:pt idx="5">
                  <c:v>total</c:v>
                </c:pt>
              </c:strCache>
            </c:strRef>
          </c:cat>
          <c:val>
            <c:numRef>
              <c:f>Sheet2!$B$80:$G$80</c:f>
              <c:numCache>
                <c:formatCode>0.00%</c:formatCode>
                <c:ptCount val="6"/>
                <c:pt idx="0">
                  <c:v>0.22587015551715628</c:v>
                </c:pt>
                <c:pt idx="1">
                  <c:v>0.20032094142818946</c:v>
                </c:pt>
                <c:pt idx="2">
                  <c:v>0.27135980746089028</c:v>
                </c:pt>
                <c:pt idx="3">
                  <c:v>0.28327645051194539</c:v>
                </c:pt>
                <c:pt idx="4">
                  <c:v>0.16651162790697671</c:v>
                </c:pt>
                <c:pt idx="5">
                  <c:v>0.22164173197182002</c:v>
                </c:pt>
              </c:numCache>
            </c:numRef>
          </c:val>
        </c:ser>
        <c:ser>
          <c:idx val="1"/>
          <c:order val="1"/>
          <c:tx>
            <c:strRef>
              <c:f>Sheet2!$A$81</c:f>
              <c:strCache>
                <c:ptCount val="1"/>
                <c:pt idx="0">
                  <c:v>actual with reduced 2005 figures</c:v>
                </c:pt>
              </c:strCache>
            </c:strRef>
          </c:tx>
          <c:spPr>
            <a:solidFill>
              <a:schemeClr val="accent2"/>
            </a:solidFill>
            <a:ln>
              <a:noFill/>
            </a:ln>
            <a:effectLst/>
          </c:spPr>
          <c:invertIfNegative val="0"/>
          <c:cat>
            <c:strRef>
              <c:f>Sheet2!$B$79:$G$79</c:f>
              <c:strCache>
                <c:ptCount val="6"/>
                <c:pt idx="0">
                  <c:v>sydney</c:v>
                </c:pt>
                <c:pt idx="1">
                  <c:v>melbourne</c:v>
                </c:pt>
                <c:pt idx="2">
                  <c:v>brisbane</c:v>
                </c:pt>
                <c:pt idx="3">
                  <c:v>perth</c:v>
                </c:pt>
                <c:pt idx="4">
                  <c:v>adelaide</c:v>
                </c:pt>
                <c:pt idx="5">
                  <c:v>total</c:v>
                </c:pt>
              </c:strCache>
            </c:strRef>
          </c:cat>
          <c:val>
            <c:numRef>
              <c:f>Sheet2!$B$81:$G$81</c:f>
              <c:numCache>
                <c:formatCode>0.00%</c:formatCode>
                <c:ptCount val="6"/>
                <c:pt idx="0">
                  <c:v>9.9407327586207073E-2</c:v>
                </c:pt>
                <c:pt idx="1">
                  <c:v>0.13267882187938307</c:v>
                </c:pt>
                <c:pt idx="2">
                  <c:v>0.14285714285714302</c:v>
                </c:pt>
                <c:pt idx="3">
                  <c:v>0.15960912052117271</c:v>
                </c:pt>
                <c:pt idx="4">
                  <c:v>3.5892323030907392E-2</c:v>
                </c:pt>
                <c:pt idx="5">
                  <c:v>0.11777579638485847</c:v>
                </c:pt>
              </c:numCache>
            </c:numRef>
          </c:val>
        </c:ser>
        <c:ser>
          <c:idx val="2"/>
          <c:order val="2"/>
          <c:tx>
            <c:strRef>
              <c:f>Sheet2!$A$82</c:f>
              <c:strCache>
                <c:ptCount val="1"/>
                <c:pt idx="0">
                  <c:v>actual with original 2005 figures</c:v>
                </c:pt>
              </c:strCache>
            </c:strRef>
          </c:tx>
          <c:spPr>
            <a:solidFill>
              <a:schemeClr val="accent3"/>
            </a:solidFill>
            <a:ln>
              <a:noFill/>
            </a:ln>
            <a:effectLst/>
          </c:spPr>
          <c:invertIfNegative val="0"/>
          <c:cat>
            <c:strRef>
              <c:f>Sheet2!$B$79:$G$79</c:f>
              <c:strCache>
                <c:ptCount val="6"/>
                <c:pt idx="0">
                  <c:v>sydney</c:v>
                </c:pt>
                <c:pt idx="1">
                  <c:v>melbourne</c:v>
                </c:pt>
                <c:pt idx="2">
                  <c:v>brisbane</c:v>
                </c:pt>
                <c:pt idx="3">
                  <c:v>perth</c:v>
                </c:pt>
                <c:pt idx="4">
                  <c:v>adelaide</c:v>
                </c:pt>
                <c:pt idx="5">
                  <c:v>total</c:v>
                </c:pt>
              </c:strCache>
            </c:strRef>
          </c:cat>
          <c:val>
            <c:numRef>
              <c:f>Sheet2!$B$82:$G$82</c:f>
              <c:numCache>
                <c:formatCode>0.00%</c:formatCode>
                <c:ptCount val="6"/>
                <c:pt idx="0">
                  <c:v>7.4055788694151747E-3</c:v>
                </c:pt>
                <c:pt idx="1">
                  <c:v>7.9967905857181165E-2</c:v>
                </c:pt>
                <c:pt idx="2">
                  <c:v>0.29963898916967513</c:v>
                </c:pt>
                <c:pt idx="3">
                  <c:v>0.21501706484641647</c:v>
                </c:pt>
                <c:pt idx="4">
                  <c:v>-3.3488372093023244E-2</c:v>
                </c:pt>
                <c:pt idx="5">
                  <c:v>9.1585529961212719E-2</c:v>
                </c:pt>
              </c:numCache>
            </c:numRef>
          </c:val>
        </c:ser>
        <c:dLbls>
          <c:showLegendKey val="0"/>
          <c:showVal val="0"/>
          <c:showCatName val="0"/>
          <c:showSerName val="0"/>
          <c:showPercent val="0"/>
          <c:showBubbleSize val="0"/>
        </c:dLbls>
        <c:gapWidth val="219"/>
        <c:overlap val="-27"/>
        <c:axId val="328241896"/>
        <c:axId val="328245032"/>
      </c:barChart>
      <c:catAx>
        <c:axId val="32824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245032"/>
        <c:crosses val="autoZero"/>
        <c:auto val="1"/>
        <c:lblAlgn val="ctr"/>
        <c:lblOffset val="100"/>
        <c:noMultiLvlLbl val="0"/>
      </c:catAx>
      <c:valAx>
        <c:axId val="3282450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241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metropolitan vkt 2020 projections: 2007 compared with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Sheet2!$A$88</c:f>
              <c:strCache>
                <c:ptCount val="1"/>
                <c:pt idx="0">
                  <c:v>in 2007</c:v>
                </c:pt>
              </c:strCache>
            </c:strRef>
          </c:tx>
          <c:spPr>
            <a:solidFill>
              <a:schemeClr val="accent1"/>
            </a:solidFill>
            <a:ln>
              <a:noFill/>
            </a:ln>
            <a:effectLst/>
          </c:spPr>
          <c:invertIfNegative val="0"/>
          <c:cat>
            <c:strRef>
              <c:f>Sheet2!$B$87:$G$87</c:f>
              <c:strCache>
                <c:ptCount val="6"/>
                <c:pt idx="0">
                  <c:v>sydney</c:v>
                </c:pt>
                <c:pt idx="1">
                  <c:v>melbourne</c:v>
                </c:pt>
                <c:pt idx="2">
                  <c:v>brisbane</c:v>
                </c:pt>
                <c:pt idx="3">
                  <c:v>perth</c:v>
                </c:pt>
                <c:pt idx="4">
                  <c:v>adelaide</c:v>
                </c:pt>
                <c:pt idx="5">
                  <c:v>total</c:v>
                </c:pt>
              </c:strCache>
            </c:strRef>
          </c:cat>
          <c:val>
            <c:numRef>
              <c:f>Sheet2!$B$88:$G$88</c:f>
              <c:numCache>
                <c:formatCode>General</c:formatCode>
                <c:ptCount val="6"/>
                <c:pt idx="0">
                  <c:v>54.7</c:v>
                </c:pt>
                <c:pt idx="1">
                  <c:v>48.72</c:v>
                </c:pt>
                <c:pt idx="2">
                  <c:v>23.8</c:v>
                </c:pt>
                <c:pt idx="3">
                  <c:v>20.63</c:v>
                </c:pt>
                <c:pt idx="4">
                  <c:v>13.39</c:v>
                </c:pt>
                <c:pt idx="5">
                  <c:v>169.21</c:v>
                </c:pt>
              </c:numCache>
            </c:numRef>
          </c:val>
        </c:ser>
        <c:ser>
          <c:idx val="1"/>
          <c:order val="1"/>
          <c:tx>
            <c:strRef>
              <c:f>Sheet2!$A$89</c:f>
              <c:strCache>
                <c:ptCount val="1"/>
                <c:pt idx="0">
                  <c:v>in 2015</c:v>
                </c:pt>
              </c:strCache>
            </c:strRef>
          </c:tx>
          <c:spPr>
            <a:solidFill>
              <a:schemeClr val="accent2"/>
            </a:solidFill>
            <a:ln>
              <a:noFill/>
            </a:ln>
            <a:effectLst/>
          </c:spPr>
          <c:invertIfNegative val="0"/>
          <c:cat>
            <c:strRef>
              <c:f>Sheet2!$B$87:$G$87</c:f>
              <c:strCache>
                <c:ptCount val="6"/>
                <c:pt idx="0">
                  <c:v>sydney</c:v>
                </c:pt>
                <c:pt idx="1">
                  <c:v>melbourne</c:v>
                </c:pt>
                <c:pt idx="2">
                  <c:v>brisbane</c:v>
                </c:pt>
                <c:pt idx="3">
                  <c:v>perth</c:v>
                </c:pt>
                <c:pt idx="4">
                  <c:v>adelaide</c:v>
                </c:pt>
                <c:pt idx="5">
                  <c:v>total</c:v>
                </c:pt>
              </c:strCache>
            </c:strRef>
          </c:cat>
          <c:val>
            <c:numRef>
              <c:f>Sheet2!$B$89:$G$89</c:f>
              <c:numCache>
                <c:formatCode>General</c:formatCode>
                <c:ptCount val="6"/>
                <c:pt idx="0">
                  <c:v>45.45</c:v>
                </c:pt>
                <c:pt idx="1">
                  <c:v>45.65</c:v>
                </c:pt>
                <c:pt idx="2">
                  <c:v>24.8</c:v>
                </c:pt>
                <c:pt idx="3">
                  <c:v>20.51</c:v>
                </c:pt>
                <c:pt idx="4">
                  <c:v>11.38</c:v>
                </c:pt>
                <c:pt idx="5">
                  <c:v>137.9</c:v>
                </c:pt>
              </c:numCache>
            </c:numRef>
          </c:val>
        </c:ser>
        <c:dLbls>
          <c:showLegendKey val="0"/>
          <c:showVal val="0"/>
          <c:showCatName val="0"/>
          <c:showSerName val="0"/>
          <c:showPercent val="0"/>
          <c:showBubbleSize val="0"/>
        </c:dLbls>
        <c:gapWidth val="219"/>
        <c:overlap val="-27"/>
        <c:axId val="385015768"/>
        <c:axId val="385018512"/>
      </c:barChart>
      <c:catAx>
        <c:axId val="38501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18512"/>
        <c:crosses val="autoZero"/>
        <c:auto val="1"/>
        <c:lblAlgn val="ctr"/>
        <c:lblOffset val="100"/>
        <c:noMultiLvlLbl val="0"/>
      </c:catAx>
      <c:valAx>
        <c:axId val="38501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1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vkt growth: last 15 years actual, next 15 years</a:t>
            </a:r>
          </a:p>
        </c:rich>
      </c:tx>
      <c:layout>
        <c:manualLayout>
          <c:xMode val="edge"/>
          <c:yMode val="edge"/>
          <c:x val="7.938885433657604E-2"/>
          <c:y val="3.79027163613392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623467148573639E-2"/>
          <c:y val="0.2411876184459886"/>
          <c:w val="0.60535268784397478"/>
          <c:h val="0.61937216786625626"/>
        </c:manualLayout>
      </c:layout>
      <c:barChart>
        <c:barDir val="col"/>
        <c:grouping val="clustered"/>
        <c:varyColors val="0"/>
        <c:ser>
          <c:idx val="0"/>
          <c:order val="0"/>
          <c:tx>
            <c:strRef>
              <c:f>Sheet1!$E$177</c:f>
              <c:strCache>
                <c:ptCount val="1"/>
                <c:pt idx="0">
                  <c:v>actual</c:v>
                </c:pt>
              </c:strCache>
            </c:strRef>
          </c:tx>
          <c:spPr>
            <a:solidFill>
              <a:schemeClr val="accent1"/>
            </a:solidFill>
            <a:ln>
              <a:noFill/>
            </a:ln>
            <a:effectLst/>
          </c:spPr>
          <c:invertIfNegative val="0"/>
          <c:cat>
            <c:strRef>
              <c:f>Sheet1!$F$176:$G$176</c:f>
              <c:strCache>
                <c:ptCount val="2"/>
                <c:pt idx="0">
                  <c:v>car vkt</c:v>
                </c:pt>
                <c:pt idx="1">
                  <c:v>total vkt</c:v>
                </c:pt>
              </c:strCache>
            </c:strRef>
          </c:cat>
          <c:val>
            <c:numRef>
              <c:f>Sheet1!$F$177:$G$177</c:f>
              <c:numCache>
                <c:formatCode>0%</c:formatCode>
                <c:ptCount val="2"/>
                <c:pt idx="0">
                  <c:v>0.17503651275137622</c:v>
                </c:pt>
                <c:pt idx="1">
                  <c:v>0.23593764244689575</c:v>
                </c:pt>
              </c:numCache>
            </c:numRef>
          </c:val>
        </c:ser>
        <c:ser>
          <c:idx val="1"/>
          <c:order val="1"/>
          <c:tx>
            <c:strRef>
              <c:f>Sheet1!$E$178</c:f>
              <c:strCache>
                <c:ptCount val="1"/>
                <c:pt idx="0">
                  <c:v>projected</c:v>
                </c:pt>
              </c:strCache>
            </c:strRef>
          </c:tx>
          <c:spPr>
            <a:solidFill>
              <a:schemeClr val="accent2"/>
            </a:solidFill>
            <a:ln>
              <a:noFill/>
            </a:ln>
            <a:effectLst/>
          </c:spPr>
          <c:invertIfNegative val="0"/>
          <c:cat>
            <c:strRef>
              <c:f>Sheet1!$F$176:$G$176</c:f>
              <c:strCache>
                <c:ptCount val="2"/>
                <c:pt idx="0">
                  <c:v>car vkt</c:v>
                </c:pt>
                <c:pt idx="1">
                  <c:v>total vkt</c:v>
                </c:pt>
              </c:strCache>
            </c:strRef>
          </c:cat>
          <c:val>
            <c:numRef>
              <c:f>Sheet1!$F$178:$G$178</c:f>
              <c:numCache>
                <c:formatCode>0%</c:formatCode>
                <c:ptCount val="2"/>
                <c:pt idx="0">
                  <c:v>0.37001625394397175</c:v>
                </c:pt>
                <c:pt idx="1">
                  <c:v>0.41270192520469129</c:v>
                </c:pt>
              </c:numCache>
            </c:numRef>
          </c:val>
        </c:ser>
        <c:dLbls>
          <c:showLegendKey val="0"/>
          <c:showVal val="0"/>
          <c:showCatName val="0"/>
          <c:showSerName val="0"/>
          <c:showPercent val="0"/>
          <c:showBubbleSize val="0"/>
        </c:dLbls>
        <c:gapWidth val="219"/>
        <c:overlap val="-27"/>
        <c:axId val="262544112"/>
        <c:axId val="227574696"/>
      </c:barChart>
      <c:catAx>
        <c:axId val="26254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574696"/>
        <c:crosses val="autoZero"/>
        <c:auto val="1"/>
        <c:lblAlgn val="ctr"/>
        <c:lblOffset val="100"/>
        <c:noMultiLvlLbl val="0"/>
      </c:catAx>
      <c:valAx>
        <c:axId val="227574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544112"/>
        <c:crosses val="autoZero"/>
        <c:crossBetween val="between"/>
      </c:valAx>
      <c:spPr>
        <a:noFill/>
        <a:ln w="25400">
          <a:noFill/>
        </a:ln>
        <a:effectLst/>
      </c:spPr>
    </c:plotArea>
    <c:legend>
      <c:legendPos val="b"/>
      <c:layout>
        <c:manualLayout>
          <c:xMode val="edge"/>
          <c:yMode val="edge"/>
          <c:x val="0.71945456892404114"/>
          <c:y val="0.58385901383299921"/>
          <c:w val="0.27644108569886289"/>
          <c:h val="0.106602135882730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vkt % change  2000 to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val>
            <c:numRef>
              <c:f>Sheet2!$C$105:$C$119</c:f>
              <c:numCache>
                <c:formatCode>0.00%</c:formatCode>
                <c:ptCount val="15"/>
                <c:pt idx="0">
                  <c:v>2.2973835354179961E-2</c:v>
                </c:pt>
                <c:pt idx="1">
                  <c:v>-1.6041351038230678E-3</c:v>
                </c:pt>
                <c:pt idx="2">
                  <c:v>2.4457734535392239E-2</c:v>
                </c:pt>
                <c:pt idx="3">
                  <c:v>2.4222357758996171E-2</c:v>
                </c:pt>
                <c:pt idx="4">
                  <c:v>4.2024670353041138E-2</c:v>
                </c:pt>
                <c:pt idx="5">
                  <c:v>7.1842599395870455E-3</c:v>
                </c:pt>
                <c:pt idx="6">
                  <c:v>-6.9709005430818038E-3</c:v>
                </c:pt>
                <c:pt idx="7">
                  <c:v>1.5019182107582907E-2</c:v>
                </c:pt>
                <c:pt idx="8">
                  <c:v>1.2625653397667858E-2</c:v>
                </c:pt>
                <c:pt idx="9">
                  <c:v>7.1473951715383954E-4</c:v>
                </c:pt>
                <c:pt idx="10">
                  <c:v>1.3490992778350863E-2</c:v>
                </c:pt>
                <c:pt idx="11">
                  <c:v>1.7774645681622347E-2</c:v>
                </c:pt>
                <c:pt idx="12">
                  <c:v>1.4848438221264804E-2</c:v>
                </c:pt>
                <c:pt idx="13">
                  <c:v>1.4934424986733363E-2</c:v>
                </c:pt>
                <c:pt idx="14">
                  <c:v>1.2623244696743363E-2</c:v>
                </c:pt>
              </c:numCache>
            </c:numRef>
          </c:val>
          <c:smooth val="0"/>
        </c:ser>
        <c:dLbls>
          <c:showLegendKey val="0"/>
          <c:showVal val="0"/>
          <c:showCatName val="0"/>
          <c:showSerName val="0"/>
          <c:showPercent val="0"/>
          <c:showBubbleSize val="0"/>
        </c:dLbls>
        <c:smooth val="0"/>
        <c:axId val="385017336"/>
        <c:axId val="385016160"/>
      </c:lineChart>
      <c:catAx>
        <c:axId val="385017336"/>
        <c:scaling>
          <c:orientation val="minMax"/>
        </c:scaling>
        <c:delete val="1"/>
        <c:axPos val="b"/>
        <c:majorTickMark val="none"/>
        <c:minorTickMark val="none"/>
        <c:tickLblPos val="nextTo"/>
        <c:crossAx val="385016160"/>
        <c:crosses val="autoZero"/>
        <c:auto val="1"/>
        <c:lblAlgn val="ctr"/>
        <c:lblOffset val="100"/>
        <c:noMultiLvlLbl val="0"/>
      </c:catAx>
      <c:valAx>
        <c:axId val="385016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1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vkt % growth 2000 to 2030 </a:t>
            </a:r>
          </a:p>
        </c:rich>
      </c:tx>
      <c:layout>
        <c:manualLayout>
          <c:xMode val="edge"/>
          <c:yMode val="edge"/>
          <c:x val="0.27354908768370079"/>
          <c:y val="2.77776678668935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val>
            <c:numRef>
              <c:f>Sheet2!$B$139:$B$170</c:f>
              <c:numCache>
                <c:formatCode>0.00%</c:formatCode>
                <c:ptCount val="32"/>
                <c:pt idx="0">
                  <c:v>0</c:v>
                </c:pt>
                <c:pt idx="1">
                  <c:v>2.2973835354179961E-2</c:v>
                </c:pt>
                <c:pt idx="2">
                  <c:v>-1.6041351038230678E-3</c:v>
                </c:pt>
                <c:pt idx="3">
                  <c:v>2.4457734535392239E-2</c:v>
                </c:pt>
                <c:pt idx="4">
                  <c:v>2.4222357758996171E-2</c:v>
                </c:pt>
                <c:pt idx="5">
                  <c:v>4.2024670353041138E-2</c:v>
                </c:pt>
                <c:pt idx="6">
                  <c:v>7.1842599395870455E-3</c:v>
                </c:pt>
                <c:pt idx="7">
                  <c:v>-6.9709005430818038E-3</c:v>
                </c:pt>
                <c:pt idx="8">
                  <c:v>1.5019182107582907E-2</c:v>
                </c:pt>
                <c:pt idx="9">
                  <c:v>1.2625653397667858E-2</c:v>
                </c:pt>
                <c:pt idx="10">
                  <c:v>7.1473951715383954E-4</c:v>
                </c:pt>
                <c:pt idx="11">
                  <c:v>1.3490992778350863E-2</c:v>
                </c:pt>
                <c:pt idx="12">
                  <c:v>1.7774645681622347E-2</c:v>
                </c:pt>
                <c:pt idx="13">
                  <c:v>1.4848438221264804E-2</c:v>
                </c:pt>
                <c:pt idx="14">
                  <c:v>1.4934424986733363E-2</c:v>
                </c:pt>
                <c:pt idx="15">
                  <c:v>1.2623244696743363E-2</c:v>
                </c:pt>
                <c:pt idx="16">
                  <c:v>1.7186693221214133E-2</c:v>
                </c:pt>
                <c:pt idx="17">
                  <c:v>2.0014503263234174E-2</c:v>
                </c:pt>
                <c:pt idx="18">
                  <c:v>2.2820986776624475E-2</c:v>
                </c:pt>
                <c:pt idx="19">
                  <c:v>2.5022589838048281E-2</c:v>
                </c:pt>
                <c:pt idx="20">
                  <c:v>2.6581677629348155E-2</c:v>
                </c:pt>
                <c:pt idx="21">
                  <c:v>2.6950260915516333E-2</c:v>
                </c:pt>
                <c:pt idx="22">
                  <c:v>2.6821894899337506E-2</c:v>
                </c:pt>
                <c:pt idx="23">
                  <c:v>2.6685041343021965E-2</c:v>
                </c:pt>
                <c:pt idx="24">
                  <c:v>2.5808419768151181E-2</c:v>
                </c:pt>
                <c:pt idx="25">
                  <c:v>2.4861714149765124E-2</c:v>
                </c:pt>
                <c:pt idx="26">
                  <c:v>2.4026463931286601E-2</c:v>
                </c:pt>
                <c:pt idx="27">
                  <c:v>2.2669311419665661E-2</c:v>
                </c:pt>
                <c:pt idx="28">
                  <c:v>2.1280133000831203E-2</c:v>
                </c:pt>
                <c:pt idx="29">
                  <c:v>1.9968527863693186E-2</c:v>
                </c:pt>
                <c:pt idx="30">
                  <c:v>1.8885992445603073E-2</c:v>
                </c:pt>
                <c:pt idx="31">
                  <c:v>1.8222639933166196E-2</c:v>
                </c:pt>
              </c:numCache>
            </c:numRef>
          </c:val>
          <c:smooth val="0"/>
        </c:ser>
        <c:dLbls>
          <c:showLegendKey val="0"/>
          <c:showVal val="0"/>
          <c:showCatName val="0"/>
          <c:showSerName val="0"/>
          <c:showPercent val="0"/>
          <c:showBubbleSize val="0"/>
        </c:dLbls>
        <c:smooth val="0"/>
        <c:axId val="385020472"/>
        <c:axId val="385021256"/>
      </c:lineChart>
      <c:catAx>
        <c:axId val="385020472"/>
        <c:scaling>
          <c:orientation val="minMax"/>
        </c:scaling>
        <c:delete val="1"/>
        <c:axPos val="b"/>
        <c:majorTickMark val="out"/>
        <c:minorTickMark val="none"/>
        <c:tickLblPos val="nextTo"/>
        <c:crossAx val="385021256"/>
        <c:crosses val="autoZero"/>
        <c:auto val="1"/>
        <c:lblAlgn val="ctr"/>
        <c:lblOffset val="100"/>
        <c:noMultiLvlLbl val="0"/>
      </c:catAx>
      <c:valAx>
        <c:axId val="385021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2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Infrastructure</a:t>
            </a:r>
            <a:r>
              <a:rPr lang="en-GB" baseline="0"/>
              <a:t> statistics yearbooks 2014, 2015 road related revenue in 2012-13, nominal $bn</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'2015 data'!$A$154</c:f>
              <c:strCache>
                <c:ptCount val="1"/>
                <c:pt idx="0">
                  <c:v>2015 yearbook</c:v>
                </c:pt>
              </c:strCache>
            </c:strRef>
          </c:tx>
          <c:spPr>
            <a:solidFill>
              <a:schemeClr val="accent1"/>
            </a:solidFill>
            <a:ln>
              <a:noFill/>
            </a:ln>
            <a:effectLst/>
          </c:spPr>
          <c:invertIfNegative val="0"/>
          <c:cat>
            <c:strRef>
              <c:f>'2015 data'!$B$153:$K$153</c:f>
              <c:strCache>
                <c:ptCount val="10"/>
                <c:pt idx="0">
                  <c:v>excise</c:v>
                </c:pt>
                <c:pt idx="1">
                  <c:v>gst</c:v>
                </c:pt>
                <c:pt idx="2">
                  <c:v>fringe benefits tax</c:v>
                </c:pt>
                <c:pt idx="3">
                  <c:v>federal registration</c:v>
                </c:pt>
                <c:pt idx="4">
                  <c:v>luxury car tax</c:v>
                </c:pt>
                <c:pt idx="5">
                  <c:v>customs duty</c:v>
                </c:pt>
                <c:pt idx="6">
                  <c:v>registration</c:v>
                </c:pt>
                <c:pt idx="7">
                  <c:v>licences</c:v>
                </c:pt>
                <c:pt idx="8">
                  <c:v>stamp duty</c:v>
                </c:pt>
                <c:pt idx="9">
                  <c:v>tolls</c:v>
                </c:pt>
              </c:strCache>
            </c:strRef>
          </c:cat>
          <c:val>
            <c:numRef>
              <c:f>'2015 data'!$B$154:$K$154</c:f>
              <c:numCache>
                <c:formatCode>0.0</c:formatCode>
                <c:ptCount val="10"/>
                <c:pt idx="0">
                  <c:v>10757.644370388005</c:v>
                </c:pt>
                <c:pt idx="1">
                  <c:v>3825.965722447037</c:v>
                </c:pt>
                <c:pt idx="2">
                  <c:v>1439.8240895024996</c:v>
                </c:pt>
                <c:pt idx="3">
                  <c:v>76.815282075696274</c:v>
                </c:pt>
                <c:pt idx="4">
                  <c:v>426.03761009283511</c:v>
                </c:pt>
                <c:pt idx="5">
                  <c:v>891.99190668888377</c:v>
                </c:pt>
                <c:pt idx="6">
                  <c:v>4981.1156867412528</c:v>
                </c:pt>
                <c:pt idx="7">
                  <c:v>427.79004998809813</c:v>
                </c:pt>
                <c:pt idx="8">
                  <c:v>2472.9847655320164</c:v>
                </c:pt>
                <c:pt idx="9">
                  <c:v>1879.6865032135206</c:v>
                </c:pt>
              </c:numCache>
            </c:numRef>
          </c:val>
        </c:ser>
        <c:ser>
          <c:idx val="1"/>
          <c:order val="1"/>
          <c:tx>
            <c:strRef>
              <c:f>'2015 data'!$A$155</c:f>
              <c:strCache>
                <c:ptCount val="1"/>
                <c:pt idx="0">
                  <c:v>2014 yearbook</c:v>
                </c:pt>
              </c:strCache>
            </c:strRef>
          </c:tx>
          <c:spPr>
            <a:solidFill>
              <a:schemeClr val="accent2"/>
            </a:solidFill>
            <a:ln>
              <a:noFill/>
            </a:ln>
            <a:effectLst/>
          </c:spPr>
          <c:invertIfNegative val="0"/>
          <c:cat>
            <c:strRef>
              <c:f>'2015 data'!$B$153:$K$153</c:f>
              <c:strCache>
                <c:ptCount val="10"/>
                <c:pt idx="0">
                  <c:v>excise</c:v>
                </c:pt>
                <c:pt idx="1">
                  <c:v>gst</c:v>
                </c:pt>
                <c:pt idx="2">
                  <c:v>fringe benefits tax</c:v>
                </c:pt>
                <c:pt idx="3">
                  <c:v>federal registration</c:v>
                </c:pt>
                <c:pt idx="4">
                  <c:v>luxury car tax</c:v>
                </c:pt>
                <c:pt idx="5">
                  <c:v>customs duty</c:v>
                </c:pt>
                <c:pt idx="6">
                  <c:v>registration</c:v>
                </c:pt>
                <c:pt idx="7">
                  <c:v>licences</c:v>
                </c:pt>
                <c:pt idx="8">
                  <c:v>stamp duty</c:v>
                </c:pt>
                <c:pt idx="9">
                  <c:v>tolls</c:v>
                </c:pt>
              </c:strCache>
            </c:strRef>
          </c:cat>
          <c:val>
            <c:numRef>
              <c:f>'2015 data'!$B$155:$K$155</c:f>
              <c:numCache>
                <c:formatCode>0.0</c:formatCode>
                <c:ptCount val="10"/>
                <c:pt idx="0">
                  <c:v>8945.7999999999993</c:v>
                </c:pt>
                <c:pt idx="1">
                  <c:v>0</c:v>
                </c:pt>
                <c:pt idx="2">
                  <c:v>0</c:v>
                </c:pt>
                <c:pt idx="3">
                  <c:v>78.400000000000006</c:v>
                </c:pt>
                <c:pt idx="4">
                  <c:v>0</c:v>
                </c:pt>
                <c:pt idx="5">
                  <c:v>0</c:v>
                </c:pt>
                <c:pt idx="6">
                  <c:v>5165.1000000000004</c:v>
                </c:pt>
                <c:pt idx="7">
                  <c:v>445.9</c:v>
                </c:pt>
                <c:pt idx="8">
                  <c:v>2471</c:v>
                </c:pt>
                <c:pt idx="9">
                  <c:v>1271.8</c:v>
                </c:pt>
              </c:numCache>
            </c:numRef>
          </c:val>
        </c:ser>
        <c:dLbls>
          <c:showLegendKey val="0"/>
          <c:showVal val="0"/>
          <c:showCatName val="0"/>
          <c:showSerName val="0"/>
          <c:showPercent val="0"/>
          <c:showBubbleSize val="0"/>
        </c:dLbls>
        <c:gapWidth val="182"/>
        <c:axId val="17410416"/>
        <c:axId val="385023216"/>
      </c:barChart>
      <c:catAx>
        <c:axId val="1741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23216"/>
        <c:crosses val="autoZero"/>
        <c:auto val="1"/>
        <c:lblAlgn val="ctr"/>
        <c:lblOffset val="100"/>
        <c:noMultiLvlLbl val="0"/>
      </c:catAx>
      <c:valAx>
        <c:axId val="3850232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Yearbook 2015 road fiscal position including and excluding new revenue items, $bn nominal</a:t>
            </a:r>
          </a:p>
        </c:rich>
      </c:tx>
      <c:layout>
        <c:manualLayout>
          <c:xMode val="edge"/>
          <c:yMode val="edge"/>
          <c:x val="0.1242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'2015 data'!$B$90</c:f>
              <c:strCache>
                <c:ptCount val="1"/>
                <c:pt idx="0">
                  <c:v>including</c:v>
                </c:pt>
              </c:strCache>
            </c:strRef>
          </c:tx>
          <c:spPr>
            <a:solidFill>
              <a:schemeClr val="accent1"/>
            </a:solidFill>
            <a:ln>
              <a:noFill/>
            </a:ln>
            <a:effectLst/>
          </c:spPr>
          <c:invertIfNegative val="0"/>
          <c:cat>
            <c:strRef>
              <c:f>'2015 data'!$A$91:$A$100</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'2015 data'!$B$91:$B$100</c:f>
              <c:numCache>
                <c:formatCode>0.0</c:formatCode>
                <c:ptCount val="10"/>
                <c:pt idx="0">
                  <c:v>9527.0306593668156</c:v>
                </c:pt>
                <c:pt idx="1">
                  <c:v>9068.042370864081</c:v>
                </c:pt>
                <c:pt idx="2">
                  <c:v>8847.6755058319468</c:v>
                </c:pt>
                <c:pt idx="3">
                  <c:v>8067.2821709116852</c:v>
                </c:pt>
                <c:pt idx="4">
                  <c:v>4600.7562247084061</c:v>
                </c:pt>
                <c:pt idx="5">
                  <c:v>2157.7369673887188</c:v>
                </c:pt>
                <c:pt idx="6">
                  <c:v>3971.3905974767913</c:v>
                </c:pt>
                <c:pt idx="7">
                  <c:v>3384.853439657225</c:v>
                </c:pt>
                <c:pt idx="8">
                  <c:v>2012.8268269459695</c:v>
                </c:pt>
                <c:pt idx="9">
                  <c:v>1968.57414901214</c:v>
                </c:pt>
              </c:numCache>
            </c:numRef>
          </c:val>
        </c:ser>
        <c:ser>
          <c:idx val="1"/>
          <c:order val="1"/>
          <c:tx>
            <c:strRef>
              <c:f>'2015 data'!$C$90</c:f>
              <c:strCache>
                <c:ptCount val="1"/>
                <c:pt idx="0">
                  <c:v>excluding</c:v>
                </c:pt>
              </c:strCache>
            </c:strRef>
          </c:tx>
          <c:spPr>
            <a:solidFill>
              <a:schemeClr val="accent2"/>
            </a:solidFill>
            <a:ln>
              <a:noFill/>
            </a:ln>
            <a:effectLst/>
          </c:spPr>
          <c:invertIfNegative val="0"/>
          <c:cat>
            <c:strRef>
              <c:f>'2015 data'!$A$91:$A$100</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'2015 data'!$C$91:$C$100</c:f>
              <c:numCache>
                <c:formatCode>0.0</c:formatCode>
                <c:ptCount val="10"/>
                <c:pt idx="0">
                  <c:v>3947.4525113068303</c:v>
                </c:pt>
                <c:pt idx="1">
                  <c:v>3605.0952154249007</c:v>
                </c:pt>
                <c:pt idx="2">
                  <c:v>3451.2186622232803</c:v>
                </c:pt>
                <c:pt idx="3">
                  <c:v>2222.2073791954263</c:v>
                </c:pt>
                <c:pt idx="4">
                  <c:v>-1345.0962389907145</c:v>
                </c:pt>
                <c:pt idx="5">
                  <c:v>-3835.0850987859994</c:v>
                </c:pt>
                <c:pt idx="6">
                  <c:v>-2311.6888121875745</c:v>
                </c:pt>
                <c:pt idx="7">
                  <c:v>-2812.6004046655507</c:v>
                </c:pt>
                <c:pt idx="8">
                  <c:v>-4469.5321828136111</c:v>
                </c:pt>
                <c:pt idx="9">
                  <c:v>-4615.245179719117</c:v>
                </c:pt>
              </c:numCache>
            </c:numRef>
          </c:val>
        </c:ser>
        <c:dLbls>
          <c:showLegendKey val="0"/>
          <c:showVal val="0"/>
          <c:showCatName val="0"/>
          <c:showSerName val="0"/>
          <c:showPercent val="0"/>
          <c:showBubbleSize val="0"/>
        </c:dLbls>
        <c:gapWidth val="219"/>
        <c:overlap val="-27"/>
        <c:axId val="385022432"/>
        <c:axId val="385022040"/>
      </c:barChart>
      <c:catAx>
        <c:axId val="38502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22040"/>
        <c:crosses val="autoZero"/>
        <c:auto val="1"/>
        <c:lblAlgn val="ctr"/>
        <c:lblOffset val="100"/>
        <c:noMultiLvlLbl val="0"/>
      </c:catAx>
      <c:valAx>
        <c:axId val="385022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2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C443-FA01-4A3D-9EA9-EE4C3EAA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13815</TotalTime>
  <Pages>10</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81</cp:revision>
  <dcterms:created xsi:type="dcterms:W3CDTF">2015-11-14T03:00:00Z</dcterms:created>
  <dcterms:modified xsi:type="dcterms:W3CDTF">2015-12-21T05:25:00Z</dcterms:modified>
</cp:coreProperties>
</file>