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747" w:rsidRPr="00B8693F" w:rsidRDefault="009205E5" w:rsidP="00B8693F">
      <w:pPr>
        <w:pStyle w:val="Heading1"/>
      </w:pPr>
      <w:bookmarkStart w:id="0" w:name="_GoBack"/>
      <w:bookmarkEnd w:id="0"/>
      <w:r w:rsidRPr="00B8693F">
        <w:t xml:space="preserve">The Williams case </w:t>
      </w:r>
      <w:r w:rsidR="008A42DE">
        <w:t xml:space="preserve">and transport </w:t>
      </w:r>
      <w:r w:rsidRPr="00B8693F">
        <w:t xml:space="preserve">– </w:t>
      </w:r>
      <w:r w:rsidR="00F52071">
        <w:t xml:space="preserve">discarding </w:t>
      </w:r>
      <w:r w:rsidR="008A42DE">
        <w:t xml:space="preserve">Captain </w:t>
      </w:r>
      <w:r w:rsidR="00F52071">
        <w:t xml:space="preserve">Jack’s compass </w:t>
      </w:r>
    </w:p>
    <w:p w:rsidR="009205E5" w:rsidRDefault="009464A3" w:rsidP="002E6D23">
      <w:pPr>
        <w:spacing w:after="0"/>
      </w:pPr>
      <w:r>
        <w:t>This article expands on p</w:t>
      </w:r>
      <w:r w:rsidR="009205E5">
        <w:t xml:space="preserve">revious </w:t>
      </w:r>
      <w:r>
        <w:t xml:space="preserve">comments that </w:t>
      </w:r>
      <w:r w:rsidR="009205E5">
        <w:t>the Williams (</w:t>
      </w:r>
      <w:r>
        <w:t xml:space="preserve">No. </w:t>
      </w:r>
      <w:r w:rsidR="009205E5">
        <w:t xml:space="preserve">2) case </w:t>
      </w:r>
      <w:r>
        <w:t>i</w:t>
      </w:r>
      <w:r w:rsidR="009205E5">
        <w:t>s reason to reconsider Commonwealth engagement in land transport.</w:t>
      </w:r>
      <w:r>
        <w:t xml:space="preserve"> [1]</w:t>
      </w:r>
      <w:r w:rsidR="009205E5">
        <w:t xml:space="preserve">  </w:t>
      </w:r>
    </w:p>
    <w:p w:rsidR="002E6D23" w:rsidRDefault="002E6D23" w:rsidP="002E6D23">
      <w:pPr>
        <w:pStyle w:val="Heading2"/>
        <w:spacing w:before="0"/>
      </w:pPr>
    </w:p>
    <w:p w:rsidR="00AD257F" w:rsidRDefault="00AD257F" w:rsidP="002E6D23">
      <w:pPr>
        <w:pStyle w:val="Heading2"/>
        <w:spacing w:before="0"/>
      </w:pPr>
      <w:r>
        <w:t xml:space="preserve">The </w:t>
      </w:r>
      <w:r w:rsidR="008C0F90">
        <w:t>challenge to Government spending programs</w:t>
      </w:r>
    </w:p>
    <w:p w:rsidR="007C128A" w:rsidRDefault="00AD257F" w:rsidP="002E6D23">
      <w:pPr>
        <w:spacing w:after="0"/>
      </w:pPr>
      <w:r>
        <w:t>Williams (</w:t>
      </w:r>
      <w:r w:rsidR="004A01AD">
        <w:t xml:space="preserve">No. </w:t>
      </w:r>
      <w:r>
        <w:t>2) was the third recent challenge in the High Court to Commonwealth Government</w:t>
      </w:r>
      <w:r w:rsidR="00CF6379">
        <w:t xml:space="preserve"> spending</w:t>
      </w:r>
      <w:r>
        <w:t>.</w:t>
      </w:r>
      <w:r w:rsidR="00B8693F">
        <w:t xml:space="preserve">  </w:t>
      </w:r>
    </w:p>
    <w:p w:rsidR="007C128A" w:rsidRDefault="007C128A" w:rsidP="002E6D23">
      <w:pPr>
        <w:spacing w:after="0"/>
      </w:pPr>
    </w:p>
    <w:p w:rsidR="009464A3" w:rsidRDefault="00B8693F" w:rsidP="002E6D23">
      <w:pPr>
        <w:spacing w:after="0"/>
      </w:pPr>
      <w:r>
        <w:t xml:space="preserve">Until these cases it </w:t>
      </w:r>
      <w:r w:rsidR="00CF6379">
        <w:t>was widely</w:t>
      </w:r>
      <w:r>
        <w:t xml:space="preserve"> assumed the Government could spend as it sees fit</w:t>
      </w:r>
      <w:r w:rsidR="009464A3">
        <w:t>.</w:t>
      </w:r>
      <w:r w:rsidR="007C128A">
        <w:t xml:space="preserve">  </w:t>
      </w:r>
      <w:r w:rsidR="009464A3">
        <w:t>Governments worked on that assumption using the equivalent of</w:t>
      </w:r>
      <w:r w:rsidR="00F52071">
        <w:t xml:space="preserve"> Jack Sparrow’s compass</w:t>
      </w:r>
      <w:r w:rsidR="009464A3">
        <w:t xml:space="preserve"> to guide them;</w:t>
      </w:r>
      <w:r w:rsidR="00F52071">
        <w:t xml:space="preserve"> </w:t>
      </w:r>
      <w:r w:rsidR="009464A3">
        <w:t xml:space="preserve">Conservative administrations set course towards </w:t>
      </w:r>
      <w:r w:rsidR="00F52071">
        <w:t>rural roads</w:t>
      </w:r>
      <w:r w:rsidR="009464A3">
        <w:t>, Labor steer</w:t>
      </w:r>
      <w:r w:rsidR="007C128A">
        <w:t>ed</w:t>
      </w:r>
      <w:r w:rsidR="009464A3">
        <w:t xml:space="preserve"> to </w:t>
      </w:r>
      <w:r w:rsidR="00F52071">
        <w:t>cities</w:t>
      </w:r>
      <w:r>
        <w:t>.</w:t>
      </w:r>
      <w:r w:rsidR="00F52071">
        <w:t xml:space="preserve"> </w:t>
      </w:r>
    </w:p>
    <w:p w:rsidR="009464A3" w:rsidRDefault="009464A3" w:rsidP="002E6D23">
      <w:pPr>
        <w:spacing w:after="0"/>
      </w:pPr>
    </w:p>
    <w:p w:rsidR="00AD257F" w:rsidRDefault="00B8693F" w:rsidP="002E6D23">
      <w:pPr>
        <w:spacing w:after="0"/>
      </w:pPr>
      <w:r>
        <w:t xml:space="preserve">The </w:t>
      </w:r>
      <w:r w:rsidR="00CF6379">
        <w:t xml:space="preserve">three </w:t>
      </w:r>
      <w:r w:rsidR="009464A3">
        <w:t xml:space="preserve">High Court cases </w:t>
      </w:r>
      <w:r w:rsidR="00BA76CE">
        <w:t>should consign th</w:t>
      </w:r>
      <w:r w:rsidR="007C128A">
        <w:t>e assumption</w:t>
      </w:r>
      <w:r w:rsidR="00BA76CE">
        <w:t>, the compass</w:t>
      </w:r>
      <w:r w:rsidR="009464A3">
        <w:t xml:space="preserve"> and lack of proper Commonwealth direction</w:t>
      </w:r>
      <w:r w:rsidR="00BA76CE">
        <w:t xml:space="preserve"> to the</w:t>
      </w:r>
      <w:r>
        <w:t xml:space="preserve"> </w:t>
      </w:r>
      <w:r w:rsidR="00BA76CE">
        <w:t>deep</w:t>
      </w:r>
      <w:r>
        <w:t>.</w:t>
      </w:r>
      <w:r w:rsidR="00BA76CE" w:rsidRPr="00BA76CE">
        <w:t xml:space="preserve"> </w:t>
      </w:r>
      <w:r w:rsidR="00BA76CE">
        <w:t>[</w:t>
      </w:r>
      <w:r w:rsidR="009464A3">
        <w:t>2</w:t>
      </w:r>
      <w:r w:rsidR="00BA76CE">
        <w:t>]</w:t>
      </w:r>
    </w:p>
    <w:p w:rsidR="008C0F90" w:rsidRDefault="008C0F90" w:rsidP="002E6D23">
      <w:pPr>
        <w:spacing w:after="0"/>
      </w:pPr>
    </w:p>
    <w:p w:rsidR="008C0F90" w:rsidRDefault="008C0F90" w:rsidP="008C0F90">
      <w:pPr>
        <w:pStyle w:val="Heading2"/>
      </w:pPr>
      <w:r>
        <w:t>The three cases</w:t>
      </w:r>
    </w:p>
    <w:p w:rsidR="00B8693F" w:rsidRDefault="00AD257F" w:rsidP="002E6D23">
      <w:pPr>
        <w:spacing w:after="0"/>
      </w:pPr>
      <w:r>
        <w:t xml:space="preserve">The first </w:t>
      </w:r>
      <w:r w:rsidR="00B8693F">
        <w:t>case</w:t>
      </w:r>
      <w:r>
        <w:t>, Pape</w:t>
      </w:r>
      <w:r w:rsidR="00326B49">
        <w:t xml:space="preserve"> </w:t>
      </w:r>
      <w:r w:rsidR="003A4B84">
        <w:t>(</w:t>
      </w:r>
      <w:r w:rsidR="00326B49">
        <w:t>2009</w:t>
      </w:r>
      <w:r w:rsidR="003A4B84">
        <w:t>)</w:t>
      </w:r>
      <w:r>
        <w:t xml:space="preserve">, </w:t>
      </w:r>
      <w:r w:rsidR="00B8693F">
        <w:t>challenged</w:t>
      </w:r>
      <w:r>
        <w:t xml:space="preserve"> part of the </w:t>
      </w:r>
      <w:r w:rsidR="00CF6379">
        <w:t>Government’s</w:t>
      </w:r>
      <w:r>
        <w:t xml:space="preserve"> response to the Global Financial Crisis</w:t>
      </w:r>
      <w:r w:rsidR="00CF6379">
        <w:t>; payments</w:t>
      </w:r>
      <w:r w:rsidR="000527DF">
        <w:t xml:space="preserve"> to taxpayers</w:t>
      </w:r>
      <w:r>
        <w:t xml:space="preserve">.  </w:t>
      </w:r>
      <w:r w:rsidR="000527DF">
        <w:t xml:space="preserve">The </w:t>
      </w:r>
      <w:r w:rsidR="00B8693F">
        <w:t xml:space="preserve">Court </w:t>
      </w:r>
      <w:r w:rsidR="00CF6379">
        <w:t xml:space="preserve">unanimously </w:t>
      </w:r>
      <w:r w:rsidR="00476413">
        <w:t xml:space="preserve">agreed that Commonwealth </w:t>
      </w:r>
      <w:r>
        <w:t xml:space="preserve">spending </w:t>
      </w:r>
      <w:r w:rsidR="00CF6379">
        <w:t>must</w:t>
      </w:r>
      <w:r w:rsidR="00476413">
        <w:t xml:space="preserve"> be supported by legislation or </w:t>
      </w:r>
      <w:r w:rsidR="00D41A47">
        <w:t xml:space="preserve">implied </w:t>
      </w:r>
      <w:r w:rsidR="00476413">
        <w:t xml:space="preserve">executive power.  A 4-3 majority considered the </w:t>
      </w:r>
      <w:r w:rsidR="00775FDE">
        <w:t xml:space="preserve">payments lawful </w:t>
      </w:r>
      <w:r w:rsidR="003A4B84">
        <w:t>under an implied ‘nationhood power’ in times of</w:t>
      </w:r>
      <w:r w:rsidR="00775FDE">
        <w:t xml:space="preserve"> </w:t>
      </w:r>
      <w:r>
        <w:t>a national economic emergency</w:t>
      </w:r>
      <w:r w:rsidR="00B8693F">
        <w:t>.</w:t>
      </w:r>
      <w:r w:rsidR="00C21C48">
        <w:t xml:space="preserve"> </w:t>
      </w:r>
      <w:r w:rsidR="00326B49">
        <w:t>[</w:t>
      </w:r>
      <w:r w:rsidR="009464A3">
        <w:t>3</w:t>
      </w:r>
      <w:r w:rsidR="00326B49">
        <w:t>]</w:t>
      </w:r>
    </w:p>
    <w:p w:rsidR="002E6D23" w:rsidRDefault="002E6D23" w:rsidP="002E6D23">
      <w:pPr>
        <w:spacing w:after="0"/>
      </w:pPr>
    </w:p>
    <w:p w:rsidR="00C9009F" w:rsidRDefault="00AD257F" w:rsidP="002E6D23">
      <w:pPr>
        <w:spacing w:after="0"/>
      </w:pPr>
      <w:r>
        <w:t>The</w:t>
      </w:r>
      <w:r w:rsidR="00B8693F">
        <w:t xml:space="preserve"> </w:t>
      </w:r>
      <w:r>
        <w:t xml:space="preserve">decision was seen </w:t>
      </w:r>
      <w:r w:rsidR="003A4B84">
        <w:t>as raising</w:t>
      </w:r>
      <w:r>
        <w:t xml:space="preserve"> </w:t>
      </w:r>
      <w:r w:rsidR="00D41A47">
        <w:t>question</w:t>
      </w:r>
      <w:r w:rsidR="003A4B84">
        <w:t>s about</w:t>
      </w:r>
      <w:r>
        <w:t xml:space="preserve"> </w:t>
      </w:r>
      <w:r w:rsidR="000B2A3F">
        <w:t>grants</w:t>
      </w:r>
      <w:r>
        <w:t xml:space="preserve"> </w:t>
      </w:r>
      <w:r w:rsidR="00112F4D">
        <w:t>u</w:t>
      </w:r>
      <w:r>
        <w:t>n</w:t>
      </w:r>
      <w:r w:rsidR="00775FDE">
        <w:t xml:space="preserve">related </w:t>
      </w:r>
      <w:r>
        <w:t>to national emergenc</w:t>
      </w:r>
      <w:r w:rsidR="00112F4D">
        <w:t>ies</w:t>
      </w:r>
      <w:r>
        <w:t xml:space="preserve">. </w:t>
      </w:r>
      <w:r w:rsidR="004A01AD">
        <w:t xml:space="preserve"> In 2012 </w:t>
      </w:r>
      <w:r w:rsidR="00B8693F">
        <w:t xml:space="preserve">Mr </w:t>
      </w:r>
      <w:r w:rsidR="00FB2CA1">
        <w:t xml:space="preserve">Williams </w:t>
      </w:r>
      <w:r w:rsidR="00663D69">
        <w:t>challenged</w:t>
      </w:r>
      <w:r w:rsidR="00B8693F">
        <w:t xml:space="preserve"> </w:t>
      </w:r>
      <w:r w:rsidR="003A4B84">
        <w:t xml:space="preserve">the </w:t>
      </w:r>
      <w:r w:rsidR="00B8693F">
        <w:t xml:space="preserve">school chaplains </w:t>
      </w:r>
      <w:r w:rsidR="003A4B84">
        <w:t xml:space="preserve">program </w:t>
      </w:r>
      <w:r w:rsidR="00D41A47">
        <w:t xml:space="preserve">on the </w:t>
      </w:r>
      <w:r w:rsidR="00112F4D">
        <w:t xml:space="preserve">basis of </w:t>
      </w:r>
      <w:r w:rsidR="007C128A">
        <w:t xml:space="preserve">a </w:t>
      </w:r>
      <w:r w:rsidR="00B205BF">
        <w:t>lack</w:t>
      </w:r>
      <w:r w:rsidR="00D41A47">
        <w:t xml:space="preserve"> of </w:t>
      </w:r>
      <w:r w:rsidR="003A4B84">
        <w:t xml:space="preserve">supporting </w:t>
      </w:r>
      <w:r w:rsidR="00D41A47">
        <w:t>legislation</w:t>
      </w:r>
      <w:r w:rsidR="00FB2CA1">
        <w:t>. The</w:t>
      </w:r>
      <w:r w:rsidR="00112F4D">
        <w:t xml:space="preserve"> </w:t>
      </w:r>
      <w:r w:rsidR="00FB2CA1">
        <w:t>challenge s</w:t>
      </w:r>
      <w:r w:rsidR="00D41A47">
        <w:t>ucceeded and s</w:t>
      </w:r>
      <w:r w:rsidR="00FB2CA1">
        <w:t xml:space="preserve">hould have sent a shudder </w:t>
      </w:r>
      <w:r w:rsidR="00C9009F">
        <w:t>through</w:t>
      </w:r>
      <w:r w:rsidR="00FB2CA1">
        <w:t xml:space="preserve"> </w:t>
      </w:r>
      <w:r w:rsidR="00354E2E">
        <w:t>the Government</w:t>
      </w:r>
      <w:r w:rsidR="00476413">
        <w:t xml:space="preserve"> </w:t>
      </w:r>
      <w:r w:rsidR="00326B49">
        <w:t>as</w:t>
      </w:r>
      <w:r w:rsidR="00C9009F">
        <w:t>:</w:t>
      </w:r>
    </w:p>
    <w:p w:rsidR="00C9009F" w:rsidRDefault="00FB2CA1" w:rsidP="002E6D23">
      <w:pPr>
        <w:pStyle w:val="ListParagraph"/>
        <w:numPr>
          <w:ilvl w:val="0"/>
          <w:numId w:val="1"/>
        </w:numPr>
        <w:spacing w:after="0"/>
        <w:ind w:left="567" w:hanging="567"/>
      </w:pPr>
      <w:r>
        <w:t xml:space="preserve">a private citizen </w:t>
      </w:r>
      <w:r w:rsidR="00112F4D">
        <w:t>overturned</w:t>
      </w:r>
      <w:r>
        <w:t xml:space="preserve"> </w:t>
      </w:r>
      <w:r w:rsidR="00476413">
        <w:t>G</w:t>
      </w:r>
      <w:r>
        <w:t>overnment spending</w:t>
      </w:r>
      <w:r w:rsidR="000B2A3F">
        <w:t>;</w:t>
      </w:r>
    </w:p>
    <w:p w:rsidR="00C9009F" w:rsidRDefault="00FB2CA1" w:rsidP="002E6D23">
      <w:pPr>
        <w:pStyle w:val="ListParagraph"/>
        <w:numPr>
          <w:ilvl w:val="0"/>
          <w:numId w:val="1"/>
        </w:numPr>
        <w:spacing w:after="0"/>
        <w:ind w:left="567" w:hanging="567"/>
      </w:pPr>
      <w:r>
        <w:t xml:space="preserve">many </w:t>
      </w:r>
      <w:r w:rsidR="00476413">
        <w:t>C</w:t>
      </w:r>
      <w:r>
        <w:t xml:space="preserve">ommonwealth programs </w:t>
      </w:r>
      <w:r w:rsidR="00775FDE">
        <w:t xml:space="preserve">similarly </w:t>
      </w:r>
      <w:r>
        <w:t>lack</w:t>
      </w:r>
      <w:r w:rsidR="00775FDE">
        <w:t>ed</w:t>
      </w:r>
      <w:r>
        <w:t xml:space="preserve"> a legislative basis</w:t>
      </w:r>
      <w:r w:rsidR="000B2A3F">
        <w:t>;</w:t>
      </w:r>
    </w:p>
    <w:p w:rsidR="00476413" w:rsidRDefault="00476413" w:rsidP="002E6D23">
      <w:pPr>
        <w:pStyle w:val="ListParagraph"/>
        <w:numPr>
          <w:ilvl w:val="0"/>
          <w:numId w:val="1"/>
        </w:numPr>
        <w:spacing w:after="0"/>
        <w:ind w:left="567" w:hanging="567"/>
      </w:pPr>
      <w:r>
        <w:t xml:space="preserve">the High Court decision was a </w:t>
      </w:r>
      <w:r w:rsidR="00EE5531">
        <w:t xml:space="preserve">6-1 </w:t>
      </w:r>
      <w:r>
        <w:t>majority</w:t>
      </w:r>
      <w:r w:rsidR="00FB2CA1">
        <w:t>.</w:t>
      </w:r>
      <w:r w:rsidR="00C21C48">
        <w:t xml:space="preserve"> </w:t>
      </w:r>
      <w:r w:rsidR="00326B49">
        <w:t>[</w:t>
      </w:r>
      <w:r w:rsidR="009464A3">
        <w:t>4</w:t>
      </w:r>
      <w:r w:rsidR="00326B49">
        <w:t>]</w:t>
      </w:r>
      <w:r w:rsidR="00FB2CA1">
        <w:t xml:space="preserve">  </w:t>
      </w:r>
    </w:p>
    <w:p w:rsidR="002E6D23" w:rsidRDefault="002E6D23" w:rsidP="002E6D23">
      <w:pPr>
        <w:pStyle w:val="ListParagraph"/>
        <w:spacing w:after="0"/>
        <w:ind w:left="567"/>
      </w:pPr>
    </w:p>
    <w:p w:rsidR="009464A3" w:rsidRDefault="00FB2CA1" w:rsidP="002E6D23">
      <w:pPr>
        <w:spacing w:after="0"/>
      </w:pPr>
      <w:r>
        <w:t>The Commonwealth response</w:t>
      </w:r>
      <w:r w:rsidR="00D41A47">
        <w:t>,</w:t>
      </w:r>
      <w:r>
        <w:t xml:space="preserve"> </w:t>
      </w:r>
      <w:r w:rsidR="00C9009F">
        <w:t>broad</w:t>
      </w:r>
      <w:r>
        <w:t xml:space="preserve"> legislation </w:t>
      </w:r>
      <w:r w:rsidR="007C128A">
        <w:t>seek</w:t>
      </w:r>
      <w:r w:rsidR="00663D69">
        <w:t xml:space="preserve">ing to </w:t>
      </w:r>
      <w:r>
        <w:t>authoris</w:t>
      </w:r>
      <w:r w:rsidR="00663D69">
        <w:t>e</w:t>
      </w:r>
      <w:r w:rsidR="00C72F3D">
        <w:t xml:space="preserve"> all manner of </w:t>
      </w:r>
      <w:r w:rsidR="00C9009F">
        <w:t xml:space="preserve">Government </w:t>
      </w:r>
      <w:r w:rsidR="00C72F3D">
        <w:t>spending</w:t>
      </w:r>
      <w:r w:rsidR="00D41A47">
        <w:t>,</w:t>
      </w:r>
      <w:r w:rsidR="00C72F3D">
        <w:t xml:space="preserve"> virtually invited another challenge</w:t>
      </w:r>
      <w:r w:rsidR="00476413">
        <w:t xml:space="preserve">.  </w:t>
      </w:r>
      <w:r w:rsidR="00C72F3D">
        <w:t>Mr Williams obliged, claiming Parliament lacked power to legislat</w:t>
      </w:r>
      <w:r w:rsidR="00EE5531">
        <w:t>e for</w:t>
      </w:r>
      <w:r w:rsidR="00C72F3D">
        <w:t xml:space="preserve"> the chaplains program</w:t>
      </w:r>
      <w:r w:rsidR="00B205BF">
        <w:t>,</w:t>
      </w:r>
      <w:r w:rsidR="00BB45AF">
        <w:t xml:space="preserve"> chaplains not being mentioned in the Constitution</w:t>
      </w:r>
      <w:r w:rsidR="00C72F3D">
        <w:t xml:space="preserve">.  </w:t>
      </w:r>
    </w:p>
    <w:p w:rsidR="009464A3" w:rsidRDefault="009464A3" w:rsidP="002E6D23">
      <w:pPr>
        <w:spacing w:after="0"/>
      </w:pPr>
    </w:p>
    <w:p w:rsidR="00C72F3D" w:rsidRDefault="004A01AD" w:rsidP="002E6D23">
      <w:pPr>
        <w:spacing w:after="0"/>
      </w:pPr>
      <w:r>
        <w:t>In 2014 t</w:t>
      </w:r>
      <w:r w:rsidR="00C72F3D">
        <w:t xml:space="preserve">he High Court </w:t>
      </w:r>
      <w:r w:rsidR="009B268C">
        <w:t xml:space="preserve">unanimously </w:t>
      </w:r>
      <w:r w:rsidR="00C9009F">
        <w:t>agreed</w:t>
      </w:r>
      <w:r w:rsidR="00D41A47">
        <w:t xml:space="preserve"> </w:t>
      </w:r>
      <w:r w:rsidR="00700F15">
        <w:t>and</w:t>
      </w:r>
      <w:r w:rsidR="00D41A47">
        <w:t xml:space="preserve"> </w:t>
      </w:r>
      <w:r w:rsidR="00700F15">
        <w:t>i</w:t>
      </w:r>
      <w:r w:rsidR="00D41A47">
        <w:t xml:space="preserve">n a judicial slapdown </w:t>
      </w:r>
      <w:r w:rsidR="00727E2D">
        <w:t>reject</w:t>
      </w:r>
      <w:r w:rsidR="00354E2E">
        <w:t>ed</w:t>
      </w:r>
      <w:r w:rsidR="00B205BF">
        <w:t>:</w:t>
      </w:r>
      <w:r w:rsidR="00727E2D">
        <w:t xml:space="preserve"> </w:t>
      </w:r>
      <w:r w:rsidR="00354E2E">
        <w:t>proposals to reverse Pape and Williams</w:t>
      </w:r>
      <w:r>
        <w:t xml:space="preserve"> (No.1)</w:t>
      </w:r>
      <w:r w:rsidR="00B205BF">
        <w:t>;</w:t>
      </w:r>
      <w:r w:rsidR="00775FDE">
        <w:t xml:space="preserve"> </w:t>
      </w:r>
      <w:r w:rsidR="007A1C65">
        <w:t xml:space="preserve">Commonwealth </w:t>
      </w:r>
      <w:r w:rsidR="009B268C">
        <w:t>arguments</w:t>
      </w:r>
      <w:r w:rsidR="00B205BF">
        <w:t>.  It reasoned</w:t>
      </w:r>
      <w:r w:rsidR="007A1C65">
        <w:t>:</w:t>
      </w:r>
    </w:p>
    <w:p w:rsidR="00CE6DA4" w:rsidRDefault="00CE6DA4" w:rsidP="002E6D23">
      <w:pPr>
        <w:pStyle w:val="ListParagraph"/>
        <w:numPr>
          <w:ilvl w:val="0"/>
          <w:numId w:val="2"/>
        </w:numPr>
        <w:spacing w:after="0"/>
        <w:ind w:left="567" w:hanging="567"/>
      </w:pPr>
      <w:r>
        <w:t>Parliament</w:t>
      </w:r>
      <w:r w:rsidR="00BB45AF">
        <w:t>’s ability</w:t>
      </w:r>
      <w:r>
        <w:t xml:space="preserve"> to legislate does not provide the Government with spending power, actual legislation </w:t>
      </w:r>
      <w:r w:rsidR="00424630">
        <w:t xml:space="preserve">(or implied executive power) </w:t>
      </w:r>
      <w:r>
        <w:t>is required;</w:t>
      </w:r>
    </w:p>
    <w:p w:rsidR="00BB45AF" w:rsidRDefault="00BB45AF" w:rsidP="002E6D23">
      <w:pPr>
        <w:pStyle w:val="ListParagraph"/>
        <w:numPr>
          <w:ilvl w:val="0"/>
          <w:numId w:val="2"/>
        </w:numPr>
        <w:spacing w:after="0"/>
        <w:ind w:left="567" w:hanging="567"/>
      </w:pPr>
      <w:r>
        <w:t>in any event, Parliament lacks power to legislate with respect to the chaplains program;</w:t>
      </w:r>
    </w:p>
    <w:p w:rsidR="009B268C" w:rsidRDefault="00775FDE" w:rsidP="002E6D23">
      <w:pPr>
        <w:pStyle w:val="ListParagraph"/>
        <w:numPr>
          <w:ilvl w:val="0"/>
          <w:numId w:val="2"/>
        </w:numPr>
        <w:spacing w:after="0"/>
        <w:ind w:left="567" w:hanging="567"/>
      </w:pPr>
      <w:r>
        <w:t>f</w:t>
      </w:r>
      <w:r w:rsidR="009B268C">
        <w:t>unding agreement</w:t>
      </w:r>
      <w:r w:rsidR="00424630">
        <w:t>s</w:t>
      </w:r>
      <w:r w:rsidR="00CE6DA4">
        <w:t xml:space="preserve"> </w:t>
      </w:r>
      <w:r w:rsidR="001D5387">
        <w:t>or contracts</w:t>
      </w:r>
      <w:r w:rsidR="00663D69">
        <w:t xml:space="preserve"> </w:t>
      </w:r>
      <w:r w:rsidR="00CE6DA4">
        <w:t>cannot validate Government spending;</w:t>
      </w:r>
    </w:p>
    <w:p w:rsidR="009B268C" w:rsidRDefault="00775FDE" w:rsidP="002E6D23">
      <w:pPr>
        <w:pStyle w:val="ListParagraph"/>
        <w:numPr>
          <w:ilvl w:val="0"/>
          <w:numId w:val="2"/>
        </w:numPr>
        <w:spacing w:after="0"/>
        <w:ind w:left="567" w:hanging="567"/>
      </w:pPr>
      <w:r>
        <w:t>i</w:t>
      </w:r>
      <w:r w:rsidR="00CE6DA4">
        <w:t>ntergovernmental a</w:t>
      </w:r>
      <w:r w:rsidR="009B268C">
        <w:t>greement</w:t>
      </w:r>
      <w:r w:rsidR="00CE6DA4">
        <w:t xml:space="preserve">s </w:t>
      </w:r>
      <w:r w:rsidR="00700F15">
        <w:t>can</w:t>
      </w:r>
      <w:r w:rsidR="00CE6DA4">
        <w:t xml:space="preserve">not </w:t>
      </w:r>
      <w:r w:rsidR="00700F15">
        <w:t>create</w:t>
      </w:r>
      <w:r w:rsidR="00CE6DA4">
        <w:t xml:space="preserve"> Commonwealth powers;</w:t>
      </w:r>
    </w:p>
    <w:p w:rsidR="00BB45AF" w:rsidRDefault="00775FDE" w:rsidP="00BB45AF">
      <w:pPr>
        <w:pStyle w:val="ListParagraph"/>
        <w:numPr>
          <w:ilvl w:val="0"/>
          <w:numId w:val="2"/>
        </w:numPr>
        <w:spacing w:after="0"/>
        <w:ind w:left="567" w:hanging="567"/>
      </w:pPr>
      <w:r>
        <w:t>c</w:t>
      </w:r>
      <w:r w:rsidR="00727E2D">
        <w:t>onvenience</w:t>
      </w:r>
      <w:r w:rsidR="001D5387">
        <w:t xml:space="preserve"> and merit</w:t>
      </w:r>
      <w:r w:rsidR="00727E2D">
        <w:t xml:space="preserve"> </w:t>
      </w:r>
      <w:r w:rsidR="001D5387">
        <w:t>are</w:t>
      </w:r>
      <w:r w:rsidR="00727E2D">
        <w:t xml:space="preserve"> not relevant;</w:t>
      </w:r>
      <w:r w:rsidR="00BB45AF">
        <w:t xml:space="preserve"> </w:t>
      </w:r>
    </w:p>
    <w:p w:rsidR="00BB45AF" w:rsidRDefault="00BB45AF" w:rsidP="00BB45AF">
      <w:pPr>
        <w:pStyle w:val="ListParagraph"/>
        <w:numPr>
          <w:ilvl w:val="0"/>
          <w:numId w:val="2"/>
        </w:numPr>
        <w:spacing w:after="0"/>
        <w:ind w:left="567" w:hanging="567"/>
      </w:pPr>
      <w:r>
        <w:t>the Government does not have the same powers as other national governments;</w:t>
      </w:r>
    </w:p>
    <w:p w:rsidR="00CE6DA4" w:rsidRDefault="00CE6DA4" w:rsidP="00BB45AF">
      <w:pPr>
        <w:pStyle w:val="ListParagraph"/>
        <w:numPr>
          <w:ilvl w:val="0"/>
          <w:numId w:val="2"/>
        </w:numPr>
        <w:spacing w:after="0"/>
        <w:ind w:left="567" w:hanging="567"/>
      </w:pPr>
      <w:r>
        <w:t>Commonwealth power is not correl</w:t>
      </w:r>
      <w:r w:rsidR="00BB45AF">
        <w:t xml:space="preserve">ated with national significance because of inherent circularity; otherwise the Commonwealth </w:t>
      </w:r>
      <w:r w:rsidR="00B205BF">
        <w:t>c</w:t>
      </w:r>
      <w:r w:rsidR="00BB45AF">
        <w:t xml:space="preserve">ould </w:t>
      </w:r>
      <w:r w:rsidR="00B205BF">
        <w:t>circumvent Constitutional limits</w:t>
      </w:r>
      <w:r w:rsidR="00BB45AF">
        <w:t>.</w:t>
      </w:r>
      <w:r w:rsidR="00C21C48">
        <w:t xml:space="preserve"> </w:t>
      </w:r>
      <w:r w:rsidR="004A01AD">
        <w:t>[</w:t>
      </w:r>
      <w:r w:rsidR="009464A3">
        <w:t>5</w:t>
      </w:r>
      <w:r w:rsidR="004A01AD">
        <w:t>]</w:t>
      </w:r>
    </w:p>
    <w:p w:rsidR="002E6D23" w:rsidRDefault="002E6D23" w:rsidP="002E6D23">
      <w:pPr>
        <w:pStyle w:val="ListParagraph"/>
        <w:spacing w:after="0"/>
        <w:ind w:left="567"/>
      </w:pPr>
    </w:p>
    <w:p w:rsidR="00424630" w:rsidRDefault="007A1C65" w:rsidP="002E6D23">
      <w:pPr>
        <w:spacing w:after="0"/>
      </w:pPr>
      <w:r>
        <w:lastRenderedPageBreak/>
        <w:t>The result</w:t>
      </w:r>
      <w:r w:rsidR="00700F15">
        <w:t>,</w:t>
      </w:r>
      <w:r>
        <w:t xml:space="preserve"> Williams (No.2)</w:t>
      </w:r>
      <w:r w:rsidR="002E6D23">
        <w:t>:</w:t>
      </w:r>
      <w:r>
        <w:t xml:space="preserve"> p</w:t>
      </w:r>
      <w:r w:rsidR="00424630">
        <w:t xml:space="preserve">ayments made under the chaplains program </w:t>
      </w:r>
      <w:r w:rsidR="00775FDE">
        <w:t xml:space="preserve">were unlawful and </w:t>
      </w:r>
      <w:r w:rsidR="00424630">
        <w:t>became debts to the Commonwealth</w:t>
      </w:r>
      <w:r w:rsidR="00354E2E">
        <w:t>.  T</w:t>
      </w:r>
      <w:r w:rsidR="000B2A3F">
        <w:t xml:space="preserve">he </w:t>
      </w:r>
      <w:r w:rsidR="00424630">
        <w:t xml:space="preserve">Treasurer </w:t>
      </w:r>
      <w:r>
        <w:t xml:space="preserve">subsequently </w:t>
      </w:r>
      <w:r w:rsidR="00424630">
        <w:t>‘forgave’</w:t>
      </w:r>
      <w:r w:rsidR="00354E2E">
        <w:t xml:space="preserve"> these debts</w:t>
      </w:r>
      <w:r w:rsidR="00424630">
        <w:t xml:space="preserve">. </w:t>
      </w:r>
    </w:p>
    <w:p w:rsidR="00A910AB" w:rsidRDefault="00A910AB" w:rsidP="002E6D23">
      <w:pPr>
        <w:spacing w:after="0"/>
      </w:pPr>
    </w:p>
    <w:p w:rsidR="008C0F90" w:rsidRDefault="00BB06BC" w:rsidP="008C0F90">
      <w:pPr>
        <w:pStyle w:val="Heading2"/>
      </w:pPr>
      <w:r>
        <w:t>Loopholes?</w:t>
      </w:r>
    </w:p>
    <w:p w:rsidR="00354E2E" w:rsidRDefault="00A910AB" w:rsidP="002E6D23">
      <w:pPr>
        <w:spacing w:after="0"/>
      </w:pPr>
      <w:r>
        <w:t xml:space="preserve">Expert commentary on the </w:t>
      </w:r>
      <w:r w:rsidR="00B205BF">
        <w:t>cases</w:t>
      </w:r>
      <w:r w:rsidR="00775FDE">
        <w:t xml:space="preserve"> </w:t>
      </w:r>
      <w:r w:rsidR="00112F4D">
        <w:t>point</w:t>
      </w:r>
      <w:r>
        <w:t>ed</w:t>
      </w:r>
      <w:r w:rsidR="00B205BF">
        <w:t xml:space="preserve"> </w:t>
      </w:r>
      <w:r w:rsidR="00112F4D">
        <w:t>to</w:t>
      </w:r>
      <w:r w:rsidR="000B2A3F">
        <w:t xml:space="preserve"> </w:t>
      </w:r>
      <w:r w:rsidR="00AE1603">
        <w:t>a</w:t>
      </w:r>
      <w:r w:rsidR="000B2A3F">
        <w:t xml:space="preserve"> </w:t>
      </w:r>
      <w:r w:rsidR="00C857AE">
        <w:t>‘loophole’</w:t>
      </w:r>
      <w:r w:rsidR="000B2A3F">
        <w:t xml:space="preserve"> by which the Commonwealth can spend on anything</w:t>
      </w:r>
      <w:r w:rsidR="00354E2E">
        <w:t>;</w:t>
      </w:r>
      <w:r w:rsidR="000B2A3F">
        <w:t xml:space="preserve"> s.96 </w:t>
      </w:r>
      <w:r w:rsidR="00B205BF">
        <w:t xml:space="preserve">conditional state </w:t>
      </w:r>
      <w:r w:rsidR="00354E2E">
        <w:t>grants</w:t>
      </w:r>
      <w:r w:rsidR="00B205BF">
        <w:t xml:space="preserve"> (specific purpose payments)</w:t>
      </w:r>
      <w:r w:rsidR="007A1C65">
        <w:t xml:space="preserve">.  </w:t>
      </w:r>
      <w:r w:rsidR="00663D69">
        <w:t>Th</w:t>
      </w:r>
      <w:r w:rsidR="00354E2E">
        <w:t>ese grants can only be provided to the states and</w:t>
      </w:r>
      <w:r w:rsidR="000B2A3F">
        <w:t xml:space="preserve"> </w:t>
      </w:r>
      <w:r w:rsidR="00354E2E">
        <w:t>the power to set conditions</w:t>
      </w:r>
      <w:r w:rsidR="007A1C65">
        <w:t xml:space="preserve"> </w:t>
      </w:r>
      <w:r w:rsidR="00D41A47">
        <w:t>(</w:t>
      </w:r>
      <w:r w:rsidR="007A1C65">
        <w:t>such as</w:t>
      </w:r>
      <w:r w:rsidR="00D41A47">
        <w:t>:</w:t>
      </w:r>
      <w:r w:rsidR="007A1C65">
        <w:t xml:space="preserve"> </w:t>
      </w:r>
      <w:r w:rsidR="00C21C48">
        <w:t>‘</w:t>
      </w:r>
      <w:r w:rsidR="007A1C65">
        <w:t xml:space="preserve">funds must be spent on </w:t>
      </w:r>
      <w:r w:rsidR="00B205BF">
        <w:t xml:space="preserve">chaplains or </w:t>
      </w:r>
      <w:r w:rsidR="007A1C65">
        <w:t>roads</w:t>
      </w:r>
      <w:r w:rsidR="00C21C48">
        <w:t>’</w:t>
      </w:r>
      <w:r w:rsidR="00D41A47">
        <w:t>)</w:t>
      </w:r>
      <w:r w:rsidR="00354E2E">
        <w:t xml:space="preserve"> lies with Parliament.</w:t>
      </w:r>
      <w:r w:rsidR="00C21C48">
        <w:t xml:space="preserve"> </w:t>
      </w:r>
      <w:r w:rsidR="004A01AD">
        <w:t>[</w:t>
      </w:r>
      <w:r>
        <w:t>6</w:t>
      </w:r>
      <w:r w:rsidR="004A01AD">
        <w:t>]</w:t>
      </w:r>
    </w:p>
    <w:p w:rsidR="00112F4D" w:rsidRDefault="00112F4D" w:rsidP="002E6D23">
      <w:pPr>
        <w:spacing w:after="0"/>
      </w:pPr>
    </w:p>
    <w:p w:rsidR="00B205BF" w:rsidRDefault="00B205BF" w:rsidP="002E6D23">
      <w:pPr>
        <w:spacing w:after="0"/>
      </w:pPr>
      <w:r>
        <w:t xml:space="preserve">There </w:t>
      </w:r>
      <w:r w:rsidR="008C0F90">
        <w:t xml:space="preserve">are </w:t>
      </w:r>
      <w:r>
        <w:t>questions about such grants</w:t>
      </w:r>
      <w:r w:rsidR="00C857AE">
        <w:t>,</w:t>
      </w:r>
      <w:r w:rsidR="008C0F90">
        <w:t xml:space="preserve"> in particular whether they </w:t>
      </w:r>
      <w:r w:rsidR="00121672">
        <w:t xml:space="preserve">can </w:t>
      </w:r>
      <w:r w:rsidR="008C0F90">
        <w:t xml:space="preserve">allow the Government </w:t>
      </w:r>
      <w:r w:rsidR="00C857AE">
        <w:t>to</w:t>
      </w:r>
      <w:r w:rsidR="008C0F90">
        <w:t xml:space="preserve"> do what it wants</w:t>
      </w:r>
      <w:r>
        <w:t>:</w:t>
      </w:r>
    </w:p>
    <w:p w:rsidR="00C937D2" w:rsidRDefault="00C937D2" w:rsidP="002E6D23">
      <w:pPr>
        <w:pStyle w:val="ListParagraph"/>
        <w:numPr>
          <w:ilvl w:val="0"/>
          <w:numId w:val="3"/>
        </w:numPr>
        <w:spacing w:after="0"/>
        <w:ind w:left="567" w:hanging="567"/>
      </w:pPr>
      <w:r>
        <w:t>Are there limits to what Parliament can delegate regarding s.96 grants</w:t>
      </w:r>
      <w:r w:rsidR="00663D69">
        <w:t>?</w:t>
      </w:r>
      <w:r>
        <w:t xml:space="preserve">  Can legislation allow the</w:t>
      </w:r>
      <w:r w:rsidR="00912358">
        <w:t xml:space="preserve"> Government</w:t>
      </w:r>
      <w:r>
        <w:t xml:space="preserve"> </w:t>
      </w:r>
      <w:r w:rsidR="005C2FA4">
        <w:t>to set conditions</w:t>
      </w:r>
      <w:r>
        <w:t>?</w:t>
      </w:r>
    </w:p>
    <w:p w:rsidR="00C937D2" w:rsidRDefault="00C937D2" w:rsidP="002E6D23">
      <w:pPr>
        <w:pStyle w:val="ListParagraph"/>
        <w:numPr>
          <w:ilvl w:val="0"/>
          <w:numId w:val="3"/>
        </w:numPr>
        <w:spacing w:after="0"/>
        <w:ind w:left="567" w:hanging="567"/>
      </w:pPr>
      <w:r>
        <w:t>I</w:t>
      </w:r>
      <w:r w:rsidR="00326B49">
        <w:t xml:space="preserve">f delegation </w:t>
      </w:r>
      <w:r w:rsidR="00912358">
        <w:t xml:space="preserve">of </w:t>
      </w:r>
      <w:r w:rsidR="00326B49">
        <w:t xml:space="preserve">s.96 powers is allowed, </w:t>
      </w:r>
      <w:r w:rsidR="00912358">
        <w:t>how can</w:t>
      </w:r>
      <w:r w:rsidR="00326B49">
        <w:t xml:space="preserve"> </w:t>
      </w:r>
      <w:r w:rsidR="00C21C48">
        <w:t>it</w:t>
      </w:r>
      <w:r w:rsidR="00912358">
        <w:t xml:space="preserve"> be amended or revoked</w:t>
      </w:r>
      <w:r w:rsidR="00326B49">
        <w:t>?</w:t>
      </w:r>
      <w:r>
        <w:t xml:space="preserve"> </w:t>
      </w:r>
    </w:p>
    <w:p w:rsidR="002E6D23" w:rsidRDefault="002E6D23" w:rsidP="002E6D23">
      <w:pPr>
        <w:spacing w:after="0"/>
      </w:pPr>
    </w:p>
    <w:p w:rsidR="002B000C" w:rsidRDefault="00351AA1" w:rsidP="002E6D23">
      <w:pPr>
        <w:spacing w:after="0"/>
      </w:pPr>
      <w:r>
        <w:t xml:space="preserve">The </w:t>
      </w:r>
      <w:r w:rsidR="002E6D23">
        <w:t xml:space="preserve">significance of the </w:t>
      </w:r>
      <w:r>
        <w:t xml:space="preserve">cases </w:t>
      </w:r>
      <w:r w:rsidR="008C0F90">
        <w:t xml:space="preserve">and s.96 </w:t>
      </w:r>
      <w:r w:rsidR="002E6D23">
        <w:t>extend beyond</w:t>
      </w:r>
      <w:r>
        <w:t xml:space="preserve"> </w:t>
      </w:r>
      <w:r w:rsidR="002B000C">
        <w:t xml:space="preserve">Commonwealth </w:t>
      </w:r>
      <w:r w:rsidR="00277559">
        <w:t>spending</w:t>
      </w:r>
      <w:r>
        <w:t xml:space="preserve">.  They </w:t>
      </w:r>
      <w:r w:rsidR="008D7EE3">
        <w:t>are</w:t>
      </w:r>
      <w:r>
        <w:t xml:space="preserve"> part of </w:t>
      </w:r>
      <w:r w:rsidR="002E6D23">
        <w:t>a</w:t>
      </w:r>
      <w:r>
        <w:t xml:space="preserve"> debate about control o</w:t>
      </w:r>
      <w:r w:rsidR="00912358">
        <w:t>f</w:t>
      </w:r>
      <w:r>
        <w:t xml:space="preserve"> executive government; a debate not limited to </w:t>
      </w:r>
      <w:r w:rsidR="002B000C">
        <w:t xml:space="preserve">the Commonwealth or </w:t>
      </w:r>
      <w:r>
        <w:t xml:space="preserve">Australia.  </w:t>
      </w:r>
      <w:r w:rsidR="00121672">
        <w:t xml:space="preserve">The debate is </w:t>
      </w:r>
      <w:r w:rsidR="00A910AB">
        <w:t>familiar to readers of Pearls and Irritants echoing in</w:t>
      </w:r>
      <w:r w:rsidR="008D7EE3">
        <w:t xml:space="preserve"> topics </w:t>
      </w:r>
      <w:r w:rsidR="00A910AB">
        <w:t>like</w:t>
      </w:r>
      <w:r w:rsidR="008D7EE3">
        <w:t xml:space="preserve"> </w:t>
      </w:r>
      <w:r w:rsidR="00277559">
        <w:t xml:space="preserve">foreign policy, </w:t>
      </w:r>
      <w:r>
        <w:t>migration</w:t>
      </w:r>
      <w:r w:rsidR="002B000C">
        <w:t xml:space="preserve">, </w:t>
      </w:r>
      <w:r w:rsidR="00277559">
        <w:t xml:space="preserve">vested interests, </w:t>
      </w:r>
      <w:r w:rsidR="002B000C">
        <w:t>royal commissions</w:t>
      </w:r>
      <w:r w:rsidR="008D7EE3">
        <w:t>, the Solicitor General</w:t>
      </w:r>
      <w:r>
        <w:t xml:space="preserve"> and </w:t>
      </w:r>
      <w:r w:rsidR="00277559">
        <w:t>willingness</w:t>
      </w:r>
      <w:r w:rsidR="002B000C">
        <w:t xml:space="preserve"> to </w:t>
      </w:r>
      <w:r>
        <w:t>declar</w:t>
      </w:r>
      <w:r w:rsidR="002B000C">
        <w:t>e</w:t>
      </w:r>
      <w:r>
        <w:t xml:space="preserve"> war</w:t>
      </w:r>
      <w:r w:rsidR="002B000C">
        <w:t>.</w:t>
      </w:r>
    </w:p>
    <w:p w:rsidR="00C21C48" w:rsidRDefault="00C21C48" w:rsidP="002E6D23">
      <w:pPr>
        <w:spacing w:after="0"/>
      </w:pPr>
    </w:p>
    <w:p w:rsidR="00291958" w:rsidRDefault="00A910AB" w:rsidP="002E6D23">
      <w:pPr>
        <w:spacing w:after="0"/>
      </w:pPr>
      <w:r>
        <w:t>T</w:t>
      </w:r>
      <w:r w:rsidR="00C21C48">
        <w:t xml:space="preserve">he </w:t>
      </w:r>
      <w:r>
        <w:t xml:space="preserve">High Court’s modern interpretation of Commonwealth </w:t>
      </w:r>
      <w:r w:rsidR="00C21C48">
        <w:t>Constitution</w:t>
      </w:r>
      <w:r>
        <w:t>al</w:t>
      </w:r>
      <w:r w:rsidR="00C21C48">
        <w:t xml:space="preserve"> spending</w:t>
      </w:r>
      <w:r w:rsidR="00C857AE">
        <w:t xml:space="preserve"> </w:t>
      </w:r>
      <w:r>
        <w:t>powers shows</w:t>
      </w:r>
      <w:r w:rsidR="00C857AE">
        <w:t xml:space="preserve"> </w:t>
      </w:r>
      <w:r w:rsidR="00121672">
        <w:t xml:space="preserve">a </w:t>
      </w:r>
      <w:r w:rsidR="00C857AE">
        <w:t>sens</w:t>
      </w:r>
      <w:r w:rsidR="00121672">
        <w:t>ible scheme</w:t>
      </w:r>
      <w:r w:rsidR="00C21C48">
        <w:t>.</w:t>
      </w:r>
      <w:r w:rsidR="00440A6B">
        <w:t xml:space="preserve">  </w:t>
      </w:r>
      <w:r w:rsidR="00C857AE">
        <w:t>T</w:t>
      </w:r>
      <w:r w:rsidR="00440A6B">
        <w:t>he Government, formed in the House of Representatives</w:t>
      </w:r>
      <w:r>
        <w:t>,</w:t>
      </w:r>
      <w:r w:rsidR="00291958">
        <w:t xml:space="preserve"> can spend:</w:t>
      </w:r>
    </w:p>
    <w:p w:rsidR="00291958" w:rsidRDefault="00291958" w:rsidP="00C857AE">
      <w:pPr>
        <w:pStyle w:val="ListParagraph"/>
        <w:numPr>
          <w:ilvl w:val="0"/>
          <w:numId w:val="5"/>
        </w:numPr>
        <w:spacing w:after="0"/>
        <w:ind w:left="567" w:hanging="567"/>
      </w:pPr>
      <w:r>
        <w:t xml:space="preserve">on </w:t>
      </w:r>
      <w:r w:rsidR="00440A6B">
        <w:t>matters</w:t>
      </w:r>
      <w:r>
        <w:t xml:space="preserve"> </w:t>
      </w:r>
      <w:r w:rsidR="00440A6B">
        <w:t>essential to its character as a Government</w:t>
      </w:r>
      <w:r>
        <w:t xml:space="preserve"> (implied executive power); and</w:t>
      </w:r>
    </w:p>
    <w:p w:rsidR="00291958" w:rsidRDefault="00440A6B" w:rsidP="00C857AE">
      <w:pPr>
        <w:pStyle w:val="ListParagraph"/>
        <w:numPr>
          <w:ilvl w:val="0"/>
          <w:numId w:val="5"/>
        </w:numPr>
        <w:spacing w:after="0"/>
        <w:ind w:left="567" w:hanging="567"/>
      </w:pPr>
      <w:r>
        <w:t>o</w:t>
      </w:r>
      <w:r w:rsidR="00291958">
        <w:t>n purposes of the Commonwealth, set out in the Constitution, agreed with the Senate (legislation); and</w:t>
      </w:r>
    </w:p>
    <w:p w:rsidR="00291958" w:rsidRDefault="00291958" w:rsidP="00C857AE">
      <w:pPr>
        <w:pStyle w:val="ListParagraph"/>
        <w:numPr>
          <w:ilvl w:val="0"/>
          <w:numId w:val="5"/>
        </w:numPr>
        <w:spacing w:after="0"/>
        <w:ind w:left="567" w:hanging="567"/>
      </w:pPr>
      <w:r>
        <w:t>on any purpose, whether or not identified in the Constitution</w:t>
      </w:r>
      <w:r w:rsidR="001B678E">
        <w:t>,</w:t>
      </w:r>
      <w:r>
        <w:t xml:space="preserve"> agreed with the Senate and </w:t>
      </w:r>
      <w:r w:rsidR="00C857AE">
        <w:t xml:space="preserve">relevant states (s.96 </w:t>
      </w:r>
      <w:r w:rsidR="008C0F90">
        <w:t>grants</w:t>
      </w:r>
      <w:r>
        <w:t>).</w:t>
      </w:r>
    </w:p>
    <w:p w:rsidR="00291958" w:rsidRDefault="00291958" w:rsidP="002E6D23">
      <w:pPr>
        <w:spacing w:after="0"/>
      </w:pPr>
    </w:p>
    <w:p w:rsidR="002A131C" w:rsidRDefault="001B678E" w:rsidP="007D67FF">
      <w:pPr>
        <w:spacing w:after="0"/>
      </w:pPr>
      <w:r>
        <w:t xml:space="preserve">The scheme </w:t>
      </w:r>
      <w:r w:rsidR="005C2FA4">
        <w:t>allows the</w:t>
      </w:r>
      <w:r w:rsidR="00291958">
        <w:t xml:space="preserve"> Commonwealth </w:t>
      </w:r>
      <w:r w:rsidR="005C2FA4">
        <w:t>to</w:t>
      </w:r>
      <w:r w:rsidR="00291958">
        <w:t xml:space="preserve"> enter new fields</w:t>
      </w:r>
      <w:r w:rsidR="00A910AB">
        <w:t>, even</w:t>
      </w:r>
      <w:r w:rsidR="00291958">
        <w:t xml:space="preserve"> state matters</w:t>
      </w:r>
      <w:r>
        <w:t>,</w:t>
      </w:r>
      <w:r w:rsidR="00291958">
        <w:t xml:space="preserve"> provided the states’ House</w:t>
      </w:r>
      <w:r>
        <w:t xml:space="preserve"> (</w:t>
      </w:r>
      <w:r w:rsidR="00291958">
        <w:t>the Senate</w:t>
      </w:r>
      <w:r>
        <w:t>)</w:t>
      </w:r>
      <w:r w:rsidR="00291958">
        <w:t xml:space="preserve"> and affected states agree. </w:t>
      </w:r>
      <w:r>
        <w:t xml:space="preserve"> </w:t>
      </w:r>
      <w:r w:rsidR="00A910AB">
        <w:t xml:space="preserve">The </w:t>
      </w:r>
      <w:r w:rsidR="00C857AE">
        <w:t>executive is not to dominate the states.</w:t>
      </w:r>
    </w:p>
    <w:p w:rsidR="00C857AE" w:rsidRDefault="00C857AE" w:rsidP="002E6D23">
      <w:pPr>
        <w:spacing w:after="0"/>
      </w:pPr>
    </w:p>
    <w:p w:rsidR="00B205BF" w:rsidRDefault="00BB06BC" w:rsidP="00BB06BC">
      <w:pPr>
        <w:spacing w:after="0"/>
      </w:pPr>
      <w:r>
        <w:t>There may be another loophole if the Government can validly forgive debts arising</w:t>
      </w:r>
      <w:r w:rsidR="00B205BF">
        <w:t xml:space="preserve"> from its incapacity to spend</w:t>
      </w:r>
      <w:r>
        <w:t>.</w:t>
      </w:r>
      <w:r w:rsidR="00B205BF">
        <w:t xml:space="preserve"> </w:t>
      </w:r>
      <w:r w:rsidR="007D67FF">
        <w:t xml:space="preserve"> I</w:t>
      </w:r>
      <w:r>
        <w:t>n such case, the Government c</w:t>
      </w:r>
      <w:r w:rsidR="00F10C84">
        <w:t>ould</w:t>
      </w:r>
      <w:r>
        <w:t xml:space="preserve"> </w:t>
      </w:r>
      <w:r w:rsidR="001B1E28">
        <w:t xml:space="preserve">effectively </w:t>
      </w:r>
      <w:r>
        <w:t>spend as it likes</w:t>
      </w:r>
      <w:r w:rsidR="001B1E28">
        <w:t xml:space="preserve"> without the Parliamentary oversight outlined above</w:t>
      </w:r>
      <w:r>
        <w:t>.  This is yet to be tested.</w:t>
      </w:r>
    </w:p>
    <w:p w:rsidR="00A910AB" w:rsidRDefault="00A910AB" w:rsidP="00BB06BC">
      <w:pPr>
        <w:spacing w:after="0"/>
      </w:pPr>
    </w:p>
    <w:p w:rsidR="00121672" w:rsidRDefault="00121672" w:rsidP="00121672">
      <w:pPr>
        <w:pStyle w:val="Heading2"/>
      </w:pPr>
      <w:r>
        <w:t>Implications for transport</w:t>
      </w:r>
      <w:r w:rsidR="005C2FA4">
        <w:t>,</w:t>
      </w:r>
      <w:r>
        <w:t xml:space="preserve"> infrastructure</w:t>
      </w:r>
    </w:p>
    <w:p w:rsidR="00121672" w:rsidRDefault="00121672" w:rsidP="00121672">
      <w:pPr>
        <w:spacing w:after="0"/>
      </w:pPr>
      <w:r>
        <w:t>The Court’s reasoning in Williams (No. 2) is relevant to transport</w:t>
      </w:r>
      <w:r w:rsidR="00E56D3E">
        <w:t>,</w:t>
      </w:r>
      <w:r>
        <w:t xml:space="preserve"> infrastructure </w:t>
      </w:r>
      <w:r w:rsidR="00E56D3E">
        <w:t xml:space="preserve">and cities </w:t>
      </w:r>
      <w:r>
        <w:t>because, like chaplains, these are not topics mentioned in the Constitution.</w:t>
      </w:r>
    </w:p>
    <w:p w:rsidR="00121672" w:rsidRDefault="00121672" w:rsidP="00121672">
      <w:pPr>
        <w:spacing w:after="0"/>
      </w:pPr>
    </w:p>
    <w:p w:rsidR="00121672" w:rsidRDefault="00121672" w:rsidP="00121672">
      <w:pPr>
        <w:spacing w:after="0"/>
      </w:pPr>
      <w:r>
        <w:t>After Williams (No. 2) experts noted some Commonwealth programs, including road spending, may lack a proper basis.  Subsequent amendments to the National Land Transport Act indicate uncertainty about spending on matters such as suburban roads and ‘blackspots’.  The legality of (spending under) the amendments has not been tested, yet. [</w:t>
      </w:r>
      <w:r w:rsidR="00A910AB">
        <w:t>7</w:t>
      </w:r>
      <w:r>
        <w:t>]</w:t>
      </w:r>
    </w:p>
    <w:p w:rsidR="00EF6E93" w:rsidRDefault="00EF6E93" w:rsidP="00121672">
      <w:pPr>
        <w:spacing w:after="0"/>
      </w:pPr>
    </w:p>
    <w:p w:rsidR="00121672" w:rsidRDefault="00121672" w:rsidP="00121672">
      <w:pPr>
        <w:spacing w:after="0"/>
      </w:pPr>
    </w:p>
    <w:p w:rsidR="00E56D3E" w:rsidRDefault="00121672" w:rsidP="002E6D23">
      <w:pPr>
        <w:spacing w:after="0"/>
      </w:pPr>
      <w:r>
        <w:lastRenderedPageBreak/>
        <w:t xml:space="preserve">The </w:t>
      </w:r>
      <w:r w:rsidR="00F10C84">
        <w:t xml:space="preserve">Williams (No. 2) </w:t>
      </w:r>
      <w:r>
        <w:t>reasoning reject</w:t>
      </w:r>
      <w:r w:rsidR="005C2FA4">
        <w:t>ed</w:t>
      </w:r>
      <w:r>
        <w:t xml:space="preserve"> common arguments by advisers and commentators for </w:t>
      </w:r>
      <w:r w:rsidR="007D67FF">
        <w:t>Government funding of</w:t>
      </w:r>
      <w:r>
        <w:t xml:space="preserve"> transport and infrastructure. </w:t>
      </w:r>
      <w:r w:rsidR="001B1E28">
        <w:t xml:space="preserve"> </w:t>
      </w:r>
      <w:r>
        <w:t xml:space="preserve">Equally </w:t>
      </w:r>
      <w:r w:rsidR="00F10C84">
        <w:t xml:space="preserve">missing the point are </w:t>
      </w:r>
      <w:r>
        <w:t xml:space="preserve">arguments </w:t>
      </w:r>
      <w:r w:rsidR="00F10C84">
        <w:t>about:</w:t>
      </w:r>
      <w:r>
        <w:t xml:space="preserve"> financial capability</w:t>
      </w:r>
      <w:r w:rsidR="00F10C84">
        <w:t>;</w:t>
      </w:r>
      <w:r>
        <w:t xml:space="preserve"> superiority of politicians or bureaucrats</w:t>
      </w:r>
      <w:r w:rsidR="00F10C84">
        <w:t>;</w:t>
      </w:r>
      <w:r>
        <w:t xml:space="preserve"> </w:t>
      </w:r>
      <w:r w:rsidR="00F10C84">
        <w:t xml:space="preserve">national </w:t>
      </w:r>
      <w:r>
        <w:t>co-ordination</w:t>
      </w:r>
      <w:r w:rsidR="00F10C84">
        <w:t>;</w:t>
      </w:r>
      <w:r>
        <w:t xml:space="preserve"> hypothecation of revenues</w:t>
      </w:r>
      <w:r w:rsidR="00F10C84">
        <w:t>;</w:t>
      </w:r>
      <w:r>
        <w:t xml:space="preserve"> ‘deals’ to promote economic growth</w:t>
      </w:r>
      <w:r w:rsidR="00F10C84">
        <w:t xml:space="preserve"> and Commonwealth revenues</w:t>
      </w:r>
      <w:r>
        <w:t xml:space="preserve">.  </w:t>
      </w:r>
    </w:p>
    <w:p w:rsidR="00E56D3E" w:rsidRDefault="00E56D3E" w:rsidP="002E6D23">
      <w:pPr>
        <w:spacing w:after="0"/>
      </w:pPr>
    </w:p>
    <w:p w:rsidR="00EF6E93" w:rsidRDefault="00E56D3E" w:rsidP="002E6D23">
      <w:pPr>
        <w:spacing w:after="0"/>
      </w:pPr>
      <w:r>
        <w:t>s.96 concerns what the Commonwealth can do rather than what it should do.  The section does not say the Commonwealth, less yet the Government, should do as it likes or what advisers or lobby groups urge.</w:t>
      </w:r>
      <w:r w:rsidR="005C2FA4">
        <w:t xml:space="preserve">  </w:t>
      </w:r>
    </w:p>
    <w:p w:rsidR="00EF6E93" w:rsidRDefault="00EF6E93" w:rsidP="002E6D23">
      <w:pPr>
        <w:spacing w:after="0"/>
      </w:pPr>
    </w:p>
    <w:p w:rsidR="00EB58C3" w:rsidRDefault="00E56D3E" w:rsidP="002E6D23">
      <w:pPr>
        <w:spacing w:after="0"/>
      </w:pPr>
      <w:r>
        <w:t xml:space="preserve">Basic governance principles such as alignment of power with responsibility, visible accountability and subsidiarity should inform the use of </w:t>
      </w:r>
      <w:r w:rsidR="00EF6E93">
        <w:t>s.96</w:t>
      </w:r>
      <w:r>
        <w:t xml:space="preserve">.  </w:t>
      </w:r>
      <w:r w:rsidR="005C2FA4">
        <w:t>G</w:t>
      </w:r>
      <w:r w:rsidR="002D5D92">
        <w:t xml:space="preserve">reater Parliamentary </w:t>
      </w:r>
      <w:r w:rsidR="00EF6E93">
        <w:t>control of</w:t>
      </w:r>
      <w:r w:rsidR="002D5D92">
        <w:t xml:space="preserve"> policy </w:t>
      </w:r>
      <w:r w:rsidR="00EB5ABA">
        <w:t xml:space="preserve">is needed </w:t>
      </w:r>
      <w:r w:rsidR="00EB5ABA" w:rsidRPr="00EF6E93">
        <w:t xml:space="preserve">when funding relies on </w:t>
      </w:r>
      <w:r w:rsidR="00EF6E93">
        <w:t>the section</w:t>
      </w:r>
      <w:r w:rsidR="00E90BF1">
        <w:rPr>
          <w:i/>
        </w:rPr>
        <w:t xml:space="preserve"> </w:t>
      </w:r>
      <w:r w:rsidR="001B678E">
        <w:rPr>
          <w:i/>
        </w:rPr>
        <w:t xml:space="preserve">because </w:t>
      </w:r>
      <w:r w:rsidR="00EF6E93">
        <w:rPr>
          <w:i/>
        </w:rPr>
        <w:t>such funding</w:t>
      </w:r>
      <w:r w:rsidR="001B678E">
        <w:rPr>
          <w:i/>
        </w:rPr>
        <w:t xml:space="preserve"> </w:t>
      </w:r>
      <w:r>
        <w:rPr>
          <w:i/>
        </w:rPr>
        <w:t>can</w:t>
      </w:r>
      <w:r w:rsidR="001B678E">
        <w:rPr>
          <w:i/>
        </w:rPr>
        <w:t xml:space="preserve"> expand the </w:t>
      </w:r>
      <w:r w:rsidR="005C2FA4">
        <w:rPr>
          <w:i/>
        </w:rPr>
        <w:t xml:space="preserve">effective </w:t>
      </w:r>
      <w:r w:rsidR="001B678E">
        <w:rPr>
          <w:i/>
        </w:rPr>
        <w:t xml:space="preserve">reach of the Commonwealth beyond that set in the Constitution, </w:t>
      </w:r>
      <w:r w:rsidR="00EB5ABA" w:rsidRPr="00E90BF1">
        <w:rPr>
          <w:i/>
        </w:rPr>
        <w:t>a</w:t>
      </w:r>
      <w:r w:rsidR="005C2FA4">
        <w:rPr>
          <w:i/>
        </w:rPr>
        <w:t xml:space="preserve"> matter which is for </w:t>
      </w:r>
      <w:r w:rsidR="00EB5ABA" w:rsidRPr="00E90BF1">
        <w:rPr>
          <w:i/>
        </w:rPr>
        <w:t>Parliament</w:t>
      </w:r>
      <w:r w:rsidR="002D5D92" w:rsidRPr="00E90BF1">
        <w:rPr>
          <w:i/>
        </w:rPr>
        <w:t>.</w:t>
      </w:r>
      <w:r w:rsidR="002D5D92">
        <w:t xml:space="preserve"> </w:t>
      </w:r>
    </w:p>
    <w:p w:rsidR="001B678E" w:rsidRDefault="001B678E" w:rsidP="002E6D23">
      <w:pPr>
        <w:spacing w:after="0"/>
      </w:pPr>
    </w:p>
    <w:p w:rsidR="00171CED" w:rsidRDefault="00196184" w:rsidP="002E6D23">
      <w:pPr>
        <w:spacing w:after="0"/>
      </w:pPr>
      <w:r>
        <w:t>Among other things this means that Parliament</w:t>
      </w:r>
      <w:r w:rsidR="00852263">
        <w:t xml:space="preserve"> ie. the Senate</w:t>
      </w:r>
      <w:r>
        <w:t xml:space="preserve"> not just the Government, should </w:t>
      </w:r>
      <w:r w:rsidR="00EF6E93">
        <w:t>receive</w:t>
      </w:r>
      <w:r>
        <w:t xml:space="preserve"> proposals for </w:t>
      </w:r>
      <w:r w:rsidR="005C2FA4">
        <w:t xml:space="preserve">and </w:t>
      </w:r>
      <w:r w:rsidR="00EF6E93">
        <w:t xml:space="preserve">be given </w:t>
      </w:r>
      <w:r w:rsidR="005C2FA4">
        <w:t xml:space="preserve">expert advice on </w:t>
      </w:r>
      <w:r>
        <w:t>such funding.  Such advice cannot properly come from a Department which is a part of, represents, the Government.</w:t>
      </w:r>
      <w:r w:rsidR="00852263">
        <w:t xml:space="preserve">  If Captain Jack Sparrow’s compass is still to be used it should be handed to the Senate.</w:t>
      </w:r>
    </w:p>
    <w:p w:rsidR="002D5D92" w:rsidRDefault="002D5D92" w:rsidP="002E6D23">
      <w:pPr>
        <w:spacing w:after="0"/>
      </w:pPr>
    </w:p>
    <w:p w:rsidR="00112F4D" w:rsidRDefault="009F6EF7" w:rsidP="002E6D23">
      <w:pPr>
        <w:spacing w:after="0"/>
      </w:pPr>
      <w:r>
        <w:t xml:space="preserve">The situation today is different from </w:t>
      </w:r>
      <w:r w:rsidR="00E90BF1">
        <w:t xml:space="preserve">early </w:t>
      </w:r>
      <w:r>
        <w:t xml:space="preserve">2007 when the then Opposition could plausibly argue </w:t>
      </w:r>
      <w:r w:rsidR="000F00B1">
        <w:t>for</w:t>
      </w:r>
      <w:r w:rsidR="00112F4D">
        <w:t xml:space="preserve"> a </w:t>
      </w:r>
      <w:r>
        <w:t xml:space="preserve">greater </w:t>
      </w:r>
      <w:r w:rsidR="00112F4D">
        <w:t>role</w:t>
      </w:r>
      <w:r>
        <w:t xml:space="preserve"> </w:t>
      </w:r>
      <w:r w:rsidR="00EF6E93">
        <w:t>of the Government</w:t>
      </w:r>
      <w:r w:rsidR="00852263">
        <w:t>,</w:t>
      </w:r>
      <w:r w:rsidR="00EF6E93">
        <w:t xml:space="preserve"> aided by a Department and Infrastructure Australia</w:t>
      </w:r>
      <w:r w:rsidR="00852263">
        <w:t>,</w:t>
      </w:r>
      <w:r w:rsidR="00EF6E93">
        <w:t xml:space="preserve"> </w:t>
      </w:r>
      <w:r>
        <w:t>in transport and cit</w:t>
      </w:r>
      <w:r w:rsidR="00EF6E93">
        <w:t>ies</w:t>
      </w:r>
      <w:r w:rsidR="00EB5ABA">
        <w:t xml:space="preserve"> on the basis of ‘nation building’</w:t>
      </w:r>
      <w:r w:rsidR="00EF6E93">
        <w:t xml:space="preserve">.  </w:t>
      </w:r>
    </w:p>
    <w:p w:rsidR="00EF6E93" w:rsidRDefault="00EF6E93" w:rsidP="002E6D23">
      <w:pPr>
        <w:spacing w:after="0"/>
      </w:pPr>
    </w:p>
    <w:p w:rsidR="00EF6E93" w:rsidRDefault="00852263" w:rsidP="002E6D23">
      <w:pPr>
        <w:spacing w:after="0"/>
      </w:pPr>
      <w:r>
        <w:t>G</w:t>
      </w:r>
      <w:r w:rsidR="00EF6E93">
        <w:t xml:space="preserve">overnance is a </w:t>
      </w:r>
      <w:r>
        <w:t xml:space="preserve">major </w:t>
      </w:r>
      <w:r w:rsidR="00EF6E93">
        <w:t xml:space="preserve">problem </w:t>
      </w:r>
      <w:r>
        <w:t>in</w:t>
      </w:r>
      <w:r w:rsidR="00EF6E93">
        <w:t xml:space="preserve"> infrastructure and transport</w:t>
      </w:r>
      <w:r>
        <w:t>.  T</w:t>
      </w:r>
      <w:r w:rsidR="00EF6E93">
        <w:t xml:space="preserve">he right approach is to </w:t>
      </w:r>
      <w:r>
        <w:t xml:space="preserve">get the fundamentals right, to </w:t>
      </w:r>
      <w:r w:rsidR="00EF6E93">
        <w:t xml:space="preserve">closely follow the Constitutional scheme rather than design clever cost-benefit mousetraps that encourage the Government to continue to overstep the </w:t>
      </w:r>
      <w:r>
        <w:t xml:space="preserve">real </w:t>
      </w:r>
      <w:r w:rsidR="00EF6E93">
        <w:t>mark.</w:t>
      </w:r>
    </w:p>
    <w:p w:rsidR="00EF6E93" w:rsidRDefault="00EF6E93" w:rsidP="002E6D23">
      <w:pPr>
        <w:spacing w:after="0"/>
      </w:pPr>
    </w:p>
    <w:p w:rsidR="00EF6E93" w:rsidRDefault="00EF6E93" w:rsidP="002E6D23">
      <w:pPr>
        <w:spacing w:after="0"/>
      </w:pPr>
    </w:p>
    <w:p w:rsidR="00EB5ABA" w:rsidRDefault="00EB5ABA" w:rsidP="002E6D23">
      <w:pPr>
        <w:spacing w:after="0"/>
      </w:pPr>
    </w:p>
    <w:p w:rsidR="00112F4D" w:rsidRDefault="00112F4D" w:rsidP="002E6D23">
      <w:pPr>
        <w:spacing w:after="0"/>
      </w:pPr>
      <w:r>
        <w:t>J Austen</w:t>
      </w:r>
    </w:p>
    <w:p w:rsidR="00112F4D" w:rsidRDefault="00112F4D" w:rsidP="002E6D23">
      <w:pPr>
        <w:spacing w:after="0"/>
      </w:pPr>
      <w:r>
        <w:t>22 July 2016</w:t>
      </w:r>
    </w:p>
    <w:p w:rsidR="00BA76CE" w:rsidRDefault="00BA76CE"/>
    <w:p w:rsidR="00171CED" w:rsidRDefault="00171CED" w:rsidP="002E6D23">
      <w:pPr>
        <w:spacing w:after="0"/>
      </w:pPr>
    </w:p>
    <w:p w:rsidR="00326B49" w:rsidRPr="00112F4D" w:rsidRDefault="007A1C65" w:rsidP="002E6D23">
      <w:pPr>
        <w:spacing w:after="0"/>
        <w:rPr>
          <w:b/>
          <w:sz w:val="18"/>
          <w:szCs w:val="18"/>
        </w:rPr>
      </w:pPr>
      <w:r w:rsidRPr="00112F4D">
        <w:rPr>
          <w:b/>
        </w:rPr>
        <w:t>Notes:</w:t>
      </w:r>
    </w:p>
    <w:p w:rsidR="009464A3" w:rsidRDefault="00326B49" w:rsidP="002E6D23">
      <w:pPr>
        <w:spacing w:after="0"/>
        <w:rPr>
          <w:sz w:val="18"/>
          <w:szCs w:val="18"/>
        </w:rPr>
      </w:pPr>
      <w:r w:rsidRPr="002E6D23">
        <w:rPr>
          <w:sz w:val="18"/>
          <w:szCs w:val="18"/>
        </w:rPr>
        <w:t xml:space="preserve">[1] </w:t>
      </w:r>
      <w:r w:rsidR="009464A3">
        <w:rPr>
          <w:sz w:val="18"/>
          <w:szCs w:val="18"/>
        </w:rPr>
        <w:t>Was Ross right?  At thejadebeagle.com</w:t>
      </w:r>
    </w:p>
    <w:p w:rsidR="009464A3" w:rsidRDefault="009464A3" w:rsidP="002E6D23">
      <w:pPr>
        <w:spacing w:after="0"/>
        <w:rPr>
          <w:sz w:val="18"/>
          <w:szCs w:val="18"/>
        </w:rPr>
      </w:pPr>
    </w:p>
    <w:p w:rsidR="00F52071" w:rsidRDefault="009464A3" w:rsidP="002E6D23">
      <w:pPr>
        <w:spacing w:after="0"/>
        <w:rPr>
          <w:sz w:val="18"/>
          <w:szCs w:val="18"/>
        </w:rPr>
      </w:pPr>
      <w:r>
        <w:rPr>
          <w:sz w:val="18"/>
          <w:szCs w:val="18"/>
        </w:rPr>
        <w:t xml:space="preserve">[2] </w:t>
      </w:r>
      <w:r w:rsidR="008A42DE">
        <w:rPr>
          <w:sz w:val="18"/>
          <w:szCs w:val="18"/>
        </w:rPr>
        <w:t>Pirate c</w:t>
      </w:r>
      <w:r w:rsidR="00BA76CE">
        <w:rPr>
          <w:sz w:val="18"/>
          <w:szCs w:val="18"/>
        </w:rPr>
        <w:t>aptain</w:t>
      </w:r>
      <w:r w:rsidR="00326B49" w:rsidRPr="002E6D23">
        <w:rPr>
          <w:sz w:val="18"/>
          <w:szCs w:val="18"/>
        </w:rPr>
        <w:t xml:space="preserve"> </w:t>
      </w:r>
      <w:r w:rsidR="00F52071">
        <w:rPr>
          <w:sz w:val="18"/>
          <w:szCs w:val="18"/>
        </w:rPr>
        <w:t xml:space="preserve">Jack Sparrow was </w:t>
      </w:r>
      <w:r w:rsidR="00BA76CE">
        <w:rPr>
          <w:sz w:val="18"/>
          <w:szCs w:val="18"/>
        </w:rPr>
        <w:t>the lead</w:t>
      </w:r>
      <w:r w:rsidR="00F52071">
        <w:rPr>
          <w:sz w:val="18"/>
          <w:szCs w:val="18"/>
        </w:rPr>
        <w:t xml:space="preserve"> character in the Disney movie series ‘Pirates of the Caribbean’.  His compass</w:t>
      </w:r>
      <w:r w:rsidR="00BA76CE">
        <w:rPr>
          <w:sz w:val="18"/>
          <w:szCs w:val="18"/>
        </w:rPr>
        <w:t>, which</w:t>
      </w:r>
      <w:r w:rsidR="00F52071">
        <w:rPr>
          <w:sz w:val="18"/>
          <w:szCs w:val="18"/>
        </w:rPr>
        <w:t xml:space="preserve"> would point at the thing he wanted most</w:t>
      </w:r>
      <w:r w:rsidR="00BA76CE">
        <w:rPr>
          <w:sz w:val="18"/>
          <w:szCs w:val="18"/>
        </w:rPr>
        <w:t>, was useless as a navigation device</w:t>
      </w:r>
      <w:r w:rsidR="00F52071">
        <w:rPr>
          <w:sz w:val="18"/>
          <w:szCs w:val="18"/>
        </w:rPr>
        <w:t>.</w:t>
      </w:r>
    </w:p>
    <w:p w:rsidR="00F52071" w:rsidRDefault="00F52071" w:rsidP="002E6D23">
      <w:pPr>
        <w:spacing w:after="0"/>
        <w:rPr>
          <w:sz w:val="18"/>
          <w:szCs w:val="18"/>
        </w:rPr>
      </w:pPr>
    </w:p>
    <w:p w:rsidR="00326B49" w:rsidRPr="002E6D23" w:rsidRDefault="00F52071" w:rsidP="002E6D23">
      <w:pPr>
        <w:spacing w:after="0"/>
        <w:rPr>
          <w:sz w:val="18"/>
          <w:szCs w:val="18"/>
        </w:rPr>
      </w:pPr>
      <w:r>
        <w:rPr>
          <w:sz w:val="18"/>
          <w:szCs w:val="18"/>
        </w:rPr>
        <w:t>[</w:t>
      </w:r>
      <w:r w:rsidR="009464A3">
        <w:rPr>
          <w:sz w:val="18"/>
          <w:szCs w:val="18"/>
        </w:rPr>
        <w:t>3</w:t>
      </w:r>
      <w:r>
        <w:rPr>
          <w:sz w:val="18"/>
          <w:szCs w:val="18"/>
        </w:rPr>
        <w:t xml:space="preserve">] </w:t>
      </w:r>
      <w:r w:rsidR="00326B49" w:rsidRPr="002E6D23">
        <w:rPr>
          <w:sz w:val="18"/>
          <w:szCs w:val="18"/>
        </w:rPr>
        <w:t>Pape v Commissioner of Taxation [2009] HCA 23</w:t>
      </w:r>
    </w:p>
    <w:p w:rsidR="00A04B56" w:rsidRDefault="00A04B56" w:rsidP="002E6D23">
      <w:pPr>
        <w:spacing w:after="0"/>
        <w:rPr>
          <w:sz w:val="18"/>
          <w:szCs w:val="18"/>
        </w:rPr>
      </w:pPr>
    </w:p>
    <w:p w:rsidR="00326B49" w:rsidRPr="002E6D23" w:rsidRDefault="00326B49" w:rsidP="002E6D23">
      <w:pPr>
        <w:spacing w:after="0"/>
        <w:rPr>
          <w:rFonts w:cs="Arial"/>
          <w:sz w:val="18"/>
          <w:szCs w:val="18"/>
          <w:shd w:val="clear" w:color="auto" w:fill="FFFFFF"/>
        </w:rPr>
      </w:pPr>
      <w:r w:rsidRPr="002E6D23">
        <w:rPr>
          <w:sz w:val="18"/>
          <w:szCs w:val="18"/>
        </w:rPr>
        <w:t>[</w:t>
      </w:r>
      <w:r w:rsidR="009464A3">
        <w:rPr>
          <w:sz w:val="18"/>
          <w:szCs w:val="18"/>
        </w:rPr>
        <w:t>4</w:t>
      </w:r>
      <w:r w:rsidRPr="002E6D23">
        <w:rPr>
          <w:sz w:val="18"/>
          <w:szCs w:val="18"/>
        </w:rPr>
        <w:t>]</w:t>
      </w:r>
      <w:r w:rsidR="004A01AD" w:rsidRPr="002E6D23">
        <w:rPr>
          <w:sz w:val="18"/>
          <w:szCs w:val="18"/>
        </w:rPr>
        <w:t xml:space="preserve"> </w:t>
      </w:r>
      <w:r w:rsidR="004A01AD" w:rsidRPr="002E6D23">
        <w:rPr>
          <w:rStyle w:val="Emphasis"/>
          <w:rFonts w:cs="Arial"/>
          <w:bCs/>
          <w:i w:val="0"/>
          <w:iCs w:val="0"/>
          <w:sz w:val="18"/>
          <w:szCs w:val="18"/>
          <w:shd w:val="clear" w:color="auto" w:fill="FFFFFF"/>
        </w:rPr>
        <w:t>Williams</w:t>
      </w:r>
      <w:r w:rsidR="004A01AD" w:rsidRPr="002E6D23">
        <w:rPr>
          <w:rStyle w:val="apple-converted-space"/>
          <w:rFonts w:cs="Arial"/>
          <w:sz w:val="18"/>
          <w:szCs w:val="18"/>
          <w:shd w:val="clear" w:color="auto" w:fill="FFFFFF"/>
        </w:rPr>
        <w:t> </w:t>
      </w:r>
      <w:r w:rsidR="004A01AD" w:rsidRPr="002E6D23">
        <w:rPr>
          <w:rFonts w:cs="Arial"/>
          <w:sz w:val="18"/>
          <w:szCs w:val="18"/>
          <w:shd w:val="clear" w:color="auto" w:fill="FFFFFF"/>
        </w:rPr>
        <w:t>v Commonwealth of Australia [2012] HCA 23</w:t>
      </w:r>
      <w:r w:rsidR="009464A3">
        <w:rPr>
          <w:rFonts w:cs="Arial"/>
          <w:sz w:val="18"/>
          <w:szCs w:val="18"/>
          <w:shd w:val="clear" w:color="auto" w:fill="FFFFFF"/>
        </w:rPr>
        <w:t xml:space="preserve"> (Williams No. 1)</w:t>
      </w:r>
    </w:p>
    <w:p w:rsidR="00A04B56" w:rsidRDefault="00A04B56" w:rsidP="002E6D23">
      <w:pPr>
        <w:spacing w:after="0"/>
        <w:rPr>
          <w:rFonts w:cs="Arial"/>
          <w:sz w:val="18"/>
          <w:szCs w:val="18"/>
          <w:shd w:val="clear" w:color="auto" w:fill="FFFFFF"/>
        </w:rPr>
      </w:pPr>
    </w:p>
    <w:p w:rsidR="004A01AD" w:rsidRDefault="004A01AD" w:rsidP="002E6D23">
      <w:pPr>
        <w:spacing w:after="0"/>
        <w:rPr>
          <w:rStyle w:val="Emphasis"/>
          <w:rFonts w:cs="Arial"/>
          <w:bCs/>
          <w:i w:val="0"/>
          <w:iCs w:val="0"/>
          <w:sz w:val="18"/>
          <w:szCs w:val="18"/>
          <w:shd w:val="clear" w:color="auto" w:fill="FFFFFF"/>
        </w:rPr>
      </w:pPr>
      <w:r w:rsidRPr="002E6D23">
        <w:rPr>
          <w:rFonts w:cs="Arial"/>
          <w:sz w:val="18"/>
          <w:szCs w:val="18"/>
          <w:shd w:val="clear" w:color="auto" w:fill="FFFFFF"/>
        </w:rPr>
        <w:t>[</w:t>
      </w:r>
      <w:r w:rsidR="009464A3">
        <w:rPr>
          <w:rFonts w:cs="Arial"/>
          <w:sz w:val="18"/>
          <w:szCs w:val="18"/>
          <w:shd w:val="clear" w:color="auto" w:fill="FFFFFF"/>
        </w:rPr>
        <w:t>5</w:t>
      </w:r>
      <w:r w:rsidRPr="002E6D23">
        <w:rPr>
          <w:rFonts w:cs="Arial"/>
          <w:sz w:val="18"/>
          <w:szCs w:val="18"/>
          <w:shd w:val="clear" w:color="auto" w:fill="FFFFFF"/>
        </w:rPr>
        <w:t xml:space="preserve">] </w:t>
      </w:r>
      <w:r w:rsidRPr="002E6D23">
        <w:rPr>
          <w:rStyle w:val="Emphasis"/>
          <w:rFonts w:cs="Arial"/>
          <w:bCs/>
          <w:i w:val="0"/>
          <w:iCs w:val="0"/>
          <w:sz w:val="18"/>
          <w:szCs w:val="18"/>
          <w:shd w:val="clear" w:color="auto" w:fill="FFFFFF"/>
        </w:rPr>
        <w:t>Williams</w:t>
      </w:r>
      <w:r w:rsidRPr="002E6D23">
        <w:rPr>
          <w:rStyle w:val="apple-converted-space"/>
          <w:rFonts w:cs="Arial"/>
          <w:sz w:val="18"/>
          <w:szCs w:val="18"/>
          <w:shd w:val="clear" w:color="auto" w:fill="FFFFFF"/>
        </w:rPr>
        <w:t> </w:t>
      </w:r>
      <w:r w:rsidRPr="002E6D23">
        <w:rPr>
          <w:rFonts w:cs="Arial"/>
          <w:sz w:val="18"/>
          <w:szCs w:val="18"/>
          <w:shd w:val="clear" w:color="auto" w:fill="FFFFFF"/>
        </w:rPr>
        <w:t>v Commonwealth of Australia [2014] HCA 23 (</w:t>
      </w:r>
      <w:r w:rsidRPr="002E6D23">
        <w:rPr>
          <w:rStyle w:val="Emphasis"/>
          <w:rFonts w:cs="Arial"/>
          <w:bCs/>
          <w:i w:val="0"/>
          <w:iCs w:val="0"/>
          <w:sz w:val="18"/>
          <w:szCs w:val="18"/>
          <w:shd w:val="clear" w:color="auto" w:fill="FFFFFF"/>
        </w:rPr>
        <w:t>Williams</w:t>
      </w:r>
      <w:r w:rsidRPr="002E6D23">
        <w:rPr>
          <w:rStyle w:val="apple-converted-space"/>
          <w:rFonts w:cs="Arial"/>
          <w:sz w:val="18"/>
          <w:szCs w:val="18"/>
          <w:shd w:val="clear" w:color="auto" w:fill="FFFFFF"/>
        </w:rPr>
        <w:t> </w:t>
      </w:r>
      <w:r w:rsidRPr="002E6D23">
        <w:rPr>
          <w:rFonts w:cs="Arial"/>
          <w:sz w:val="18"/>
          <w:szCs w:val="18"/>
          <w:shd w:val="clear" w:color="auto" w:fill="FFFFFF"/>
        </w:rPr>
        <w:t>(No</w:t>
      </w:r>
      <w:r w:rsidR="009464A3">
        <w:rPr>
          <w:rFonts w:cs="Arial"/>
          <w:sz w:val="18"/>
          <w:szCs w:val="18"/>
          <w:shd w:val="clear" w:color="auto" w:fill="FFFFFF"/>
        </w:rPr>
        <w:t>.</w:t>
      </w:r>
      <w:r w:rsidRPr="002E6D23">
        <w:rPr>
          <w:rStyle w:val="apple-converted-space"/>
          <w:rFonts w:cs="Arial"/>
          <w:sz w:val="18"/>
          <w:szCs w:val="18"/>
          <w:shd w:val="clear" w:color="auto" w:fill="FFFFFF"/>
        </w:rPr>
        <w:t> </w:t>
      </w:r>
      <w:r w:rsidRPr="002E6D23">
        <w:rPr>
          <w:rStyle w:val="Emphasis"/>
          <w:rFonts w:cs="Arial"/>
          <w:bCs/>
          <w:i w:val="0"/>
          <w:iCs w:val="0"/>
          <w:sz w:val="18"/>
          <w:szCs w:val="18"/>
          <w:shd w:val="clear" w:color="auto" w:fill="FFFFFF"/>
        </w:rPr>
        <w:t>2)</w:t>
      </w:r>
    </w:p>
    <w:p w:rsidR="00532C63" w:rsidRDefault="00532C63" w:rsidP="002E6D23">
      <w:pPr>
        <w:spacing w:after="0"/>
        <w:rPr>
          <w:rStyle w:val="Emphasis"/>
          <w:rFonts w:cs="Arial"/>
          <w:bCs/>
          <w:i w:val="0"/>
          <w:iCs w:val="0"/>
          <w:sz w:val="18"/>
          <w:szCs w:val="18"/>
          <w:shd w:val="clear" w:color="auto" w:fill="FFFFFF"/>
        </w:rPr>
      </w:pPr>
    </w:p>
    <w:p w:rsidR="002E6D23" w:rsidRDefault="004A01AD" w:rsidP="002E6D23">
      <w:pPr>
        <w:spacing w:after="0"/>
        <w:rPr>
          <w:rFonts w:cs="Arial"/>
          <w:sz w:val="18"/>
          <w:szCs w:val="18"/>
          <w:shd w:val="clear" w:color="auto" w:fill="FFFFFF"/>
        </w:rPr>
      </w:pPr>
      <w:r w:rsidRPr="002E6D23">
        <w:rPr>
          <w:rFonts w:cs="Arial"/>
          <w:sz w:val="18"/>
          <w:szCs w:val="18"/>
          <w:shd w:val="clear" w:color="auto" w:fill="FFFFFF"/>
        </w:rPr>
        <w:t>[</w:t>
      </w:r>
      <w:r w:rsidR="009464A3">
        <w:rPr>
          <w:rFonts w:cs="Arial"/>
          <w:sz w:val="18"/>
          <w:szCs w:val="18"/>
          <w:shd w:val="clear" w:color="auto" w:fill="FFFFFF"/>
        </w:rPr>
        <w:t>6</w:t>
      </w:r>
      <w:r w:rsidRPr="002E6D23">
        <w:rPr>
          <w:rFonts w:cs="Arial"/>
          <w:sz w:val="18"/>
          <w:szCs w:val="18"/>
          <w:shd w:val="clear" w:color="auto" w:fill="FFFFFF"/>
        </w:rPr>
        <w:t xml:space="preserve">] </w:t>
      </w:r>
      <w:r w:rsidR="00A910AB">
        <w:rPr>
          <w:rFonts w:cs="Arial"/>
          <w:sz w:val="18"/>
          <w:szCs w:val="18"/>
          <w:shd w:val="clear" w:color="auto" w:fill="FFFFFF"/>
        </w:rPr>
        <w:t>Commentary examples include</w:t>
      </w:r>
      <w:r w:rsidRPr="002E6D23">
        <w:rPr>
          <w:rFonts w:cs="Arial"/>
          <w:sz w:val="18"/>
          <w:szCs w:val="18"/>
          <w:shd w:val="clear" w:color="auto" w:fill="FFFFFF"/>
        </w:rPr>
        <w:t xml:space="preserve">: </w:t>
      </w:r>
    </w:p>
    <w:p w:rsidR="004A01AD" w:rsidRPr="002E6D23" w:rsidRDefault="004A01AD" w:rsidP="002E6D23">
      <w:pPr>
        <w:spacing w:after="0"/>
        <w:rPr>
          <w:rFonts w:cs="Arial"/>
          <w:sz w:val="18"/>
          <w:szCs w:val="18"/>
          <w:shd w:val="clear" w:color="auto" w:fill="FFFFFF"/>
        </w:rPr>
      </w:pPr>
      <w:r w:rsidRPr="002E6D23">
        <w:rPr>
          <w:rFonts w:cs="Arial"/>
          <w:sz w:val="18"/>
          <w:szCs w:val="18"/>
          <w:shd w:val="clear" w:color="auto" w:fill="FFFFFF"/>
        </w:rPr>
        <w:t xml:space="preserve">Professor </w:t>
      </w:r>
      <w:r w:rsidR="002E6D23">
        <w:rPr>
          <w:rFonts w:cs="Arial"/>
          <w:sz w:val="18"/>
          <w:szCs w:val="18"/>
          <w:shd w:val="clear" w:color="auto" w:fill="FFFFFF"/>
        </w:rPr>
        <w:t xml:space="preserve">Cheryl </w:t>
      </w:r>
      <w:r w:rsidRPr="002E6D23">
        <w:rPr>
          <w:rFonts w:cs="Arial"/>
          <w:sz w:val="18"/>
          <w:szCs w:val="18"/>
          <w:shd w:val="clear" w:color="auto" w:fill="FFFFFF"/>
        </w:rPr>
        <w:t xml:space="preserve">Saunders </w:t>
      </w:r>
      <w:hyperlink r:id="rId7" w:anchor="more-4036" w:history="1">
        <w:r w:rsidR="00351AA1" w:rsidRPr="002E6D23">
          <w:rPr>
            <w:rStyle w:val="Hyperlink"/>
            <w:rFonts w:cs="Arial"/>
            <w:sz w:val="18"/>
            <w:szCs w:val="18"/>
            <w:shd w:val="clear" w:color="auto" w:fill="FFFFFF"/>
          </w:rPr>
          <w:t>https://blogs.unimelb.edu.au/opinionsonhigh/2014/06/25/saunders-williams/#more-4036</w:t>
        </w:r>
      </w:hyperlink>
    </w:p>
    <w:p w:rsidR="00351AA1" w:rsidRPr="002E6D23" w:rsidRDefault="00351AA1" w:rsidP="002E6D23">
      <w:pPr>
        <w:spacing w:after="0"/>
        <w:rPr>
          <w:rFonts w:cs="Arial"/>
          <w:sz w:val="18"/>
          <w:szCs w:val="18"/>
          <w:shd w:val="clear" w:color="auto" w:fill="FFFFFF"/>
        </w:rPr>
      </w:pPr>
      <w:r w:rsidRPr="002E6D23">
        <w:rPr>
          <w:rFonts w:cs="Arial"/>
          <w:sz w:val="18"/>
          <w:szCs w:val="18"/>
          <w:shd w:val="clear" w:color="auto" w:fill="FFFFFF"/>
        </w:rPr>
        <w:t xml:space="preserve">Glenn Ryall </w:t>
      </w:r>
      <w:hyperlink r:id="rId8" w:history="1">
        <w:r w:rsidRPr="002E6D23">
          <w:rPr>
            <w:rStyle w:val="Hyperlink"/>
            <w:rFonts w:cs="Arial"/>
            <w:sz w:val="18"/>
            <w:szCs w:val="18"/>
            <w:shd w:val="clear" w:color="auto" w:fill="FFFFFF"/>
          </w:rPr>
          <w:t>http://www.aph.gov.au/About_Parliament/Senate/Powers_practice_n_procedures/pops/pop63/c07</w:t>
        </w:r>
      </w:hyperlink>
    </w:p>
    <w:p w:rsidR="00351AA1" w:rsidRPr="002E6D23" w:rsidRDefault="00351AA1" w:rsidP="002E6D23">
      <w:pPr>
        <w:spacing w:after="0"/>
        <w:rPr>
          <w:rFonts w:cs="Arial"/>
          <w:sz w:val="18"/>
          <w:szCs w:val="18"/>
          <w:shd w:val="clear" w:color="auto" w:fill="FFFFFF"/>
        </w:rPr>
      </w:pPr>
      <w:r w:rsidRPr="002E6D23">
        <w:rPr>
          <w:rFonts w:cs="Arial"/>
          <w:sz w:val="18"/>
          <w:szCs w:val="18"/>
          <w:shd w:val="clear" w:color="auto" w:fill="FFFFFF"/>
        </w:rPr>
        <w:t xml:space="preserve">Patrick Hodder </w:t>
      </w:r>
      <w:hyperlink r:id="rId9" w:history="1">
        <w:r w:rsidRPr="002E6D23">
          <w:rPr>
            <w:rStyle w:val="Hyperlink"/>
            <w:rFonts w:cs="Arial"/>
            <w:sz w:val="18"/>
            <w:szCs w:val="18"/>
            <w:shd w:val="clear" w:color="auto" w:fill="FFFFFF"/>
          </w:rPr>
          <w:t>http://www.aph.gov.au/About_Parliament/Senate/Powers_practice_n_procedures/pops/pop64/c08</w:t>
        </w:r>
      </w:hyperlink>
    </w:p>
    <w:p w:rsidR="00A04B56" w:rsidRDefault="00A04B56" w:rsidP="002E6D23">
      <w:pPr>
        <w:spacing w:after="0"/>
        <w:rPr>
          <w:rFonts w:cs="Arial"/>
          <w:sz w:val="18"/>
          <w:szCs w:val="18"/>
          <w:shd w:val="clear" w:color="auto" w:fill="FFFFFF"/>
        </w:rPr>
      </w:pPr>
    </w:p>
    <w:p w:rsidR="004A01AD" w:rsidRPr="002E6D23" w:rsidRDefault="004A01AD" w:rsidP="002E6D23">
      <w:pPr>
        <w:spacing w:after="0"/>
        <w:rPr>
          <w:rFonts w:cs="Arial"/>
          <w:sz w:val="18"/>
          <w:szCs w:val="18"/>
          <w:shd w:val="clear" w:color="auto" w:fill="FFFFFF"/>
        </w:rPr>
      </w:pPr>
      <w:r w:rsidRPr="002E6D23">
        <w:rPr>
          <w:rFonts w:cs="Arial"/>
          <w:sz w:val="18"/>
          <w:szCs w:val="18"/>
          <w:shd w:val="clear" w:color="auto" w:fill="FFFFFF"/>
        </w:rPr>
        <w:lastRenderedPageBreak/>
        <w:t>[</w:t>
      </w:r>
      <w:r w:rsidR="009464A3">
        <w:rPr>
          <w:rFonts w:cs="Arial"/>
          <w:sz w:val="18"/>
          <w:szCs w:val="18"/>
          <w:shd w:val="clear" w:color="auto" w:fill="FFFFFF"/>
        </w:rPr>
        <w:t>7</w:t>
      </w:r>
      <w:r w:rsidRPr="002E6D23">
        <w:rPr>
          <w:rFonts w:cs="Arial"/>
          <w:sz w:val="18"/>
          <w:szCs w:val="18"/>
          <w:shd w:val="clear" w:color="auto" w:fill="FFFFFF"/>
        </w:rPr>
        <w:t>]</w:t>
      </w:r>
      <w:r w:rsidR="004D40FD" w:rsidRPr="002E6D23">
        <w:rPr>
          <w:rFonts w:cs="Arial"/>
          <w:sz w:val="18"/>
          <w:szCs w:val="18"/>
          <w:shd w:val="clear" w:color="auto" w:fill="FFFFFF"/>
        </w:rPr>
        <w:t xml:space="preserve"> </w:t>
      </w:r>
      <w:r w:rsidR="00321CC3">
        <w:rPr>
          <w:rFonts w:cs="Arial"/>
          <w:sz w:val="18"/>
          <w:szCs w:val="18"/>
          <w:shd w:val="clear" w:color="auto" w:fill="FFFFFF"/>
        </w:rPr>
        <w:t>The uncertainty about roads is a</w:t>
      </w:r>
      <w:r w:rsidR="002E6D23" w:rsidRPr="002E6D23">
        <w:rPr>
          <w:rFonts w:cs="Arial"/>
          <w:sz w:val="18"/>
          <w:szCs w:val="18"/>
          <w:shd w:val="clear" w:color="auto" w:fill="FFFFFF"/>
        </w:rPr>
        <w:t>lso</w:t>
      </w:r>
      <w:r w:rsidR="004D40FD" w:rsidRPr="002E6D23">
        <w:rPr>
          <w:rFonts w:cs="Arial"/>
          <w:sz w:val="18"/>
          <w:szCs w:val="18"/>
          <w:shd w:val="clear" w:color="auto" w:fill="FFFFFF"/>
        </w:rPr>
        <w:t xml:space="preserve"> borne out by the exhaustive listing of potential heads of power in </w:t>
      </w:r>
      <w:r w:rsidR="001E2B6B">
        <w:rPr>
          <w:rFonts w:cs="Arial"/>
          <w:sz w:val="18"/>
          <w:szCs w:val="18"/>
          <w:shd w:val="clear" w:color="auto" w:fill="FFFFFF"/>
        </w:rPr>
        <w:t xml:space="preserve">the section ‘Alternative constitutional basis’ see: </w:t>
      </w:r>
      <w:r w:rsidR="001E2B6B" w:rsidRPr="001E2B6B">
        <w:rPr>
          <w:rFonts w:cs="Arial"/>
          <w:sz w:val="18"/>
          <w:szCs w:val="18"/>
          <w:shd w:val="clear" w:color="auto" w:fill="FFFFFF"/>
        </w:rPr>
        <w:t xml:space="preserve">https://www.legislation.gov.au/Details/C2014C00691 </w:t>
      </w:r>
      <w:r w:rsidR="004D40FD" w:rsidRPr="002E6D23">
        <w:rPr>
          <w:rFonts w:cs="Arial"/>
          <w:sz w:val="18"/>
          <w:szCs w:val="18"/>
          <w:shd w:val="clear" w:color="auto" w:fill="FFFFFF"/>
        </w:rPr>
        <w:t>.</w:t>
      </w:r>
      <w:r w:rsidR="00321CC3">
        <w:rPr>
          <w:rFonts w:cs="Arial"/>
          <w:sz w:val="18"/>
          <w:szCs w:val="18"/>
          <w:shd w:val="clear" w:color="auto" w:fill="FFFFFF"/>
        </w:rPr>
        <w:t xml:space="preserve">  </w:t>
      </w:r>
    </w:p>
    <w:p w:rsidR="004A01AD" w:rsidRPr="002E6D23" w:rsidRDefault="004A01AD" w:rsidP="002E6D23">
      <w:pPr>
        <w:spacing w:after="0"/>
        <w:rPr>
          <w:rFonts w:cs="Arial"/>
          <w:sz w:val="18"/>
          <w:szCs w:val="18"/>
          <w:shd w:val="clear" w:color="auto" w:fill="FFFFFF"/>
        </w:rPr>
      </w:pPr>
    </w:p>
    <w:sectPr w:rsidR="004A01AD" w:rsidRPr="002E6D2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9AC" w:rsidRDefault="00F919AC" w:rsidP="00346A6A">
      <w:pPr>
        <w:spacing w:after="0" w:line="240" w:lineRule="auto"/>
      </w:pPr>
      <w:r>
        <w:separator/>
      </w:r>
    </w:p>
  </w:endnote>
  <w:endnote w:type="continuationSeparator" w:id="0">
    <w:p w:rsidR="00F919AC" w:rsidRDefault="00F919AC" w:rsidP="0034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747" w:rsidRDefault="004737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2041"/>
      <w:docPartObj>
        <w:docPartGallery w:val="Page Numbers (Bottom of Page)"/>
        <w:docPartUnique/>
      </w:docPartObj>
    </w:sdtPr>
    <w:sdtEndPr>
      <w:rPr>
        <w:noProof/>
      </w:rPr>
    </w:sdtEndPr>
    <w:sdtContent>
      <w:p w:rsidR="00473747" w:rsidRDefault="00473747">
        <w:pPr>
          <w:pStyle w:val="Footer"/>
          <w:jc w:val="center"/>
        </w:pPr>
        <w:r>
          <w:fldChar w:fldCharType="begin"/>
        </w:r>
        <w:r>
          <w:instrText xml:space="preserve"> PAGE   \* MERGEFORMAT </w:instrText>
        </w:r>
        <w:r>
          <w:fldChar w:fldCharType="separate"/>
        </w:r>
        <w:r w:rsidR="0095395E">
          <w:rPr>
            <w:noProof/>
          </w:rPr>
          <w:t>3</w:t>
        </w:r>
        <w:r>
          <w:rPr>
            <w:noProof/>
          </w:rPr>
          <w:fldChar w:fldCharType="end"/>
        </w:r>
      </w:p>
    </w:sdtContent>
  </w:sdt>
  <w:p w:rsidR="00473747" w:rsidRDefault="004737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747" w:rsidRDefault="00473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9AC" w:rsidRDefault="00F919AC" w:rsidP="00346A6A">
      <w:pPr>
        <w:spacing w:after="0" w:line="240" w:lineRule="auto"/>
      </w:pPr>
      <w:r>
        <w:separator/>
      </w:r>
    </w:p>
  </w:footnote>
  <w:footnote w:type="continuationSeparator" w:id="0">
    <w:p w:rsidR="00F919AC" w:rsidRDefault="00F919AC" w:rsidP="00346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747" w:rsidRDefault="004737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747" w:rsidRDefault="004737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747" w:rsidRDefault="004737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055B"/>
    <w:multiLevelType w:val="hybridMultilevel"/>
    <w:tmpl w:val="5616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72DB6"/>
    <w:multiLevelType w:val="hybridMultilevel"/>
    <w:tmpl w:val="B8D44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E61A7"/>
    <w:multiLevelType w:val="hybridMultilevel"/>
    <w:tmpl w:val="2E106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687FD2"/>
    <w:multiLevelType w:val="hybridMultilevel"/>
    <w:tmpl w:val="D62A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970F9B"/>
    <w:multiLevelType w:val="hybridMultilevel"/>
    <w:tmpl w:val="C668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E5"/>
    <w:rsid w:val="0001137A"/>
    <w:rsid w:val="00026380"/>
    <w:rsid w:val="00030BCB"/>
    <w:rsid w:val="000527DF"/>
    <w:rsid w:val="00075897"/>
    <w:rsid w:val="000B2A3F"/>
    <w:rsid w:val="000D48F0"/>
    <w:rsid w:val="000F00B1"/>
    <w:rsid w:val="00112F4D"/>
    <w:rsid w:val="00113AF9"/>
    <w:rsid w:val="00121672"/>
    <w:rsid w:val="00171CED"/>
    <w:rsid w:val="00196184"/>
    <w:rsid w:val="001B1E28"/>
    <w:rsid w:val="001B678E"/>
    <w:rsid w:val="001D5387"/>
    <w:rsid w:val="001E2B6B"/>
    <w:rsid w:val="0020674D"/>
    <w:rsid w:val="002332FB"/>
    <w:rsid w:val="00277559"/>
    <w:rsid w:val="00291958"/>
    <w:rsid w:val="002A131C"/>
    <w:rsid w:val="002B000C"/>
    <w:rsid w:val="002D5D92"/>
    <w:rsid w:val="002E6D23"/>
    <w:rsid w:val="00321CC3"/>
    <w:rsid w:val="00326B49"/>
    <w:rsid w:val="00346A6A"/>
    <w:rsid w:val="00351AA1"/>
    <w:rsid w:val="00354E2E"/>
    <w:rsid w:val="003A4B84"/>
    <w:rsid w:val="003D5F0F"/>
    <w:rsid w:val="003F30BA"/>
    <w:rsid w:val="00424630"/>
    <w:rsid w:val="00440A6B"/>
    <w:rsid w:val="004472A7"/>
    <w:rsid w:val="00452CFA"/>
    <w:rsid w:val="00473747"/>
    <w:rsid w:val="00476413"/>
    <w:rsid w:val="004A01AD"/>
    <w:rsid w:val="004D40FD"/>
    <w:rsid w:val="00516A1B"/>
    <w:rsid w:val="00532C63"/>
    <w:rsid w:val="005728FC"/>
    <w:rsid w:val="005C2FA4"/>
    <w:rsid w:val="005C7DA3"/>
    <w:rsid w:val="0065556B"/>
    <w:rsid w:val="00663D69"/>
    <w:rsid w:val="006A50EA"/>
    <w:rsid w:val="006D1027"/>
    <w:rsid w:val="006F739B"/>
    <w:rsid w:val="00700F15"/>
    <w:rsid w:val="00703CE4"/>
    <w:rsid w:val="00727E2D"/>
    <w:rsid w:val="00775FDE"/>
    <w:rsid w:val="007A1C65"/>
    <w:rsid w:val="007C128A"/>
    <w:rsid w:val="007D67FF"/>
    <w:rsid w:val="0081726C"/>
    <w:rsid w:val="00852263"/>
    <w:rsid w:val="008A42DE"/>
    <w:rsid w:val="008C0F90"/>
    <w:rsid w:val="008D7EE3"/>
    <w:rsid w:val="00912358"/>
    <w:rsid w:val="00920515"/>
    <w:rsid w:val="009205E5"/>
    <w:rsid w:val="00922D6F"/>
    <w:rsid w:val="009464A3"/>
    <w:rsid w:val="0095395E"/>
    <w:rsid w:val="009B268C"/>
    <w:rsid w:val="009E531D"/>
    <w:rsid w:val="009F5210"/>
    <w:rsid w:val="009F6EF7"/>
    <w:rsid w:val="00A04B56"/>
    <w:rsid w:val="00A910AB"/>
    <w:rsid w:val="00AB526E"/>
    <w:rsid w:val="00AD257F"/>
    <w:rsid w:val="00AE1603"/>
    <w:rsid w:val="00B205BF"/>
    <w:rsid w:val="00B8693F"/>
    <w:rsid w:val="00BA16B4"/>
    <w:rsid w:val="00BA76CE"/>
    <w:rsid w:val="00BB06BC"/>
    <w:rsid w:val="00BB45AF"/>
    <w:rsid w:val="00C21C48"/>
    <w:rsid w:val="00C71E70"/>
    <w:rsid w:val="00C72F3D"/>
    <w:rsid w:val="00C857AE"/>
    <w:rsid w:val="00C9009F"/>
    <w:rsid w:val="00C937D2"/>
    <w:rsid w:val="00CA4AEB"/>
    <w:rsid w:val="00CB61A9"/>
    <w:rsid w:val="00CE6DA4"/>
    <w:rsid w:val="00CF6379"/>
    <w:rsid w:val="00D41A47"/>
    <w:rsid w:val="00D4288D"/>
    <w:rsid w:val="00E138B9"/>
    <w:rsid w:val="00E56D3E"/>
    <w:rsid w:val="00E6666E"/>
    <w:rsid w:val="00E90BF1"/>
    <w:rsid w:val="00EB58C3"/>
    <w:rsid w:val="00EB5ABA"/>
    <w:rsid w:val="00EC5F42"/>
    <w:rsid w:val="00EE5531"/>
    <w:rsid w:val="00EF6E93"/>
    <w:rsid w:val="00F10C84"/>
    <w:rsid w:val="00F52071"/>
    <w:rsid w:val="00F919AC"/>
    <w:rsid w:val="00FB2CA1"/>
    <w:rsid w:val="00FC1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91278-E1EE-44F5-9F51-EA233393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69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69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93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8693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9009F"/>
    <w:pPr>
      <w:ind w:left="720"/>
      <w:contextualSpacing/>
    </w:pPr>
  </w:style>
  <w:style w:type="character" w:styleId="Emphasis">
    <w:name w:val="Emphasis"/>
    <w:basedOn w:val="DefaultParagraphFont"/>
    <w:uiPriority w:val="20"/>
    <w:qFormat/>
    <w:rsid w:val="004A01AD"/>
    <w:rPr>
      <w:i/>
      <w:iCs/>
    </w:rPr>
  </w:style>
  <w:style w:type="character" w:customStyle="1" w:styleId="apple-converted-space">
    <w:name w:val="apple-converted-space"/>
    <w:basedOn w:val="DefaultParagraphFont"/>
    <w:rsid w:val="004A01AD"/>
  </w:style>
  <w:style w:type="character" w:styleId="Hyperlink">
    <w:name w:val="Hyperlink"/>
    <w:basedOn w:val="DefaultParagraphFont"/>
    <w:uiPriority w:val="99"/>
    <w:unhideWhenUsed/>
    <w:rsid w:val="00351AA1"/>
    <w:rPr>
      <w:color w:val="0563C1" w:themeColor="hyperlink"/>
      <w:u w:val="single"/>
    </w:rPr>
  </w:style>
  <w:style w:type="paragraph" w:styleId="Header">
    <w:name w:val="header"/>
    <w:basedOn w:val="Normal"/>
    <w:link w:val="HeaderChar"/>
    <w:uiPriority w:val="99"/>
    <w:unhideWhenUsed/>
    <w:rsid w:val="00346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A6A"/>
  </w:style>
  <w:style w:type="paragraph" w:styleId="Footer">
    <w:name w:val="footer"/>
    <w:basedOn w:val="Normal"/>
    <w:link w:val="FooterChar"/>
    <w:uiPriority w:val="99"/>
    <w:unhideWhenUsed/>
    <w:rsid w:val="00346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A6A"/>
  </w:style>
  <w:style w:type="paragraph" w:styleId="NoSpacing">
    <w:name w:val="No Spacing"/>
    <w:uiPriority w:val="1"/>
    <w:qFormat/>
    <w:rsid w:val="00BB45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9852">
      <w:bodyDiv w:val="1"/>
      <w:marLeft w:val="0"/>
      <w:marRight w:val="0"/>
      <w:marTop w:val="0"/>
      <w:marBottom w:val="0"/>
      <w:divBdr>
        <w:top w:val="none" w:sz="0" w:space="0" w:color="auto"/>
        <w:left w:val="none" w:sz="0" w:space="0" w:color="auto"/>
        <w:bottom w:val="none" w:sz="0" w:space="0" w:color="auto"/>
        <w:right w:val="none" w:sz="0" w:space="0" w:color="auto"/>
      </w:divBdr>
    </w:div>
    <w:div w:id="880557488">
      <w:bodyDiv w:val="1"/>
      <w:marLeft w:val="0"/>
      <w:marRight w:val="0"/>
      <w:marTop w:val="0"/>
      <w:marBottom w:val="0"/>
      <w:divBdr>
        <w:top w:val="none" w:sz="0" w:space="0" w:color="auto"/>
        <w:left w:val="none" w:sz="0" w:space="0" w:color="auto"/>
        <w:bottom w:val="none" w:sz="0" w:space="0" w:color="auto"/>
        <w:right w:val="none" w:sz="0" w:space="0" w:color="auto"/>
      </w:divBdr>
    </w:div>
    <w:div w:id="96135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h.gov.au/About_Parliament/Senate/Powers_practice_n_procedures/pops/pop63/c0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blogs.unimelb.edu.au/opinionsonhigh/2014/06/25/saunders-william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ph.gov.au/About_Parliament/Senate/Powers_practice_n_procedures/pops/pop64/c0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Austen</dc:creator>
  <cp:keywords/>
  <dc:description/>
  <cp:lastModifiedBy>Margaret Austen</cp:lastModifiedBy>
  <cp:revision>2</cp:revision>
  <dcterms:created xsi:type="dcterms:W3CDTF">2017-03-05T23:17:00Z</dcterms:created>
  <dcterms:modified xsi:type="dcterms:W3CDTF">2017-03-05T23:17:00Z</dcterms:modified>
</cp:coreProperties>
</file>