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6182" w14:textId="65355869" w:rsidR="00CD7FF0" w:rsidRPr="009C7AB2" w:rsidRDefault="00CD7FF0" w:rsidP="005024B0">
      <w:pPr>
        <w:pStyle w:val="Heading1"/>
        <w:spacing w:before="0"/>
        <w:rPr>
          <w:rFonts w:asciiTheme="minorHAnsi" w:hAnsiTheme="minorHAnsi" w:cstheme="minorHAnsi"/>
          <w:b/>
          <w:bCs/>
        </w:rPr>
      </w:pPr>
      <w:r w:rsidRPr="009C7AB2">
        <w:rPr>
          <w:rFonts w:asciiTheme="minorHAnsi" w:hAnsiTheme="minorHAnsi" w:cstheme="minorHAnsi"/>
          <w:b/>
          <w:bCs/>
        </w:rPr>
        <w:t>Undropped penny</w:t>
      </w:r>
    </w:p>
    <w:p w14:paraId="1326E090" w14:textId="5E4CDA4A" w:rsidR="00CD7FF0" w:rsidRDefault="00CD7FF0" w:rsidP="005024B0">
      <w:pPr>
        <w:spacing w:after="0"/>
      </w:pPr>
      <w:r>
        <w:t xml:space="preserve">The </w:t>
      </w:r>
      <w:r w:rsidR="009C7AB2">
        <w:t xml:space="preserve">NSW </w:t>
      </w:r>
      <w:r>
        <w:t xml:space="preserve">Transport Asset Holding Entity </w:t>
      </w:r>
      <w:r w:rsidR="006478F2">
        <w:t xml:space="preserve">– ‘TAHE’ in bureaucratese - </w:t>
      </w:r>
      <w:r w:rsidR="009C7AB2">
        <w:t>is</w:t>
      </w:r>
      <w:r>
        <w:t xml:space="preserve"> in the news again.</w:t>
      </w:r>
    </w:p>
    <w:p w14:paraId="30EC5965" w14:textId="77777777" w:rsidR="005D772E" w:rsidRDefault="005D772E" w:rsidP="005024B0">
      <w:pPr>
        <w:pStyle w:val="Heading2"/>
        <w:spacing w:before="0"/>
        <w:rPr>
          <w:rFonts w:cs="Calibri"/>
        </w:rPr>
      </w:pPr>
    </w:p>
    <w:p w14:paraId="0BC720EA" w14:textId="77B68A80" w:rsidR="009C7AB2" w:rsidRPr="009C7AB2" w:rsidRDefault="009C7AB2" w:rsidP="005024B0">
      <w:pPr>
        <w:pStyle w:val="Heading2"/>
        <w:spacing w:before="0"/>
        <w:rPr>
          <w:rFonts w:cs="Calibri"/>
        </w:rPr>
      </w:pPr>
      <w:r w:rsidRPr="009C7AB2">
        <w:rPr>
          <w:rFonts w:cs="Calibri"/>
        </w:rPr>
        <w:t>The Entity, the inquiry</w:t>
      </w:r>
      <w:r>
        <w:rPr>
          <w:rFonts w:cs="Calibri"/>
        </w:rPr>
        <w:t>, the Auditor</w:t>
      </w:r>
    </w:p>
    <w:p w14:paraId="7B99DB60" w14:textId="64EB25FF" w:rsidR="0075292D" w:rsidRDefault="0075292D" w:rsidP="005024B0">
      <w:pPr>
        <w:spacing w:after="0"/>
      </w:pPr>
      <w:r>
        <w:t>The Entity is a State-owned corporation</w:t>
      </w:r>
      <w:r w:rsidR="00CD7FF0">
        <w:t xml:space="preserve"> which </w:t>
      </w:r>
      <w:r w:rsidR="00046CAF">
        <w:t>‘owns</w:t>
      </w:r>
      <w:r w:rsidR="00CD7FF0">
        <w:t xml:space="preserve">’ the </w:t>
      </w:r>
      <w:r w:rsidR="00C27FE9">
        <w:t xml:space="preserve">NSW </w:t>
      </w:r>
      <w:r w:rsidR="00CD7FF0">
        <w:t>commuter rail assets</w:t>
      </w:r>
      <w:r w:rsidR="004256AB">
        <w:t xml:space="preserve"> – track etc. and fleet</w:t>
      </w:r>
      <w:r w:rsidR="00CD7FF0">
        <w:t xml:space="preserve">.  </w:t>
      </w:r>
      <w:r w:rsidR="003B5C2A">
        <w:t>Its revenue, and profits, derive from control of those assets and their provision under contracts to the Government’s commuter rail operator, Sydney Trains.</w:t>
      </w:r>
    </w:p>
    <w:p w14:paraId="692BA963" w14:textId="77777777" w:rsidR="005D772E" w:rsidRDefault="005D772E" w:rsidP="005024B0">
      <w:pPr>
        <w:spacing w:after="0"/>
      </w:pPr>
    </w:p>
    <w:p w14:paraId="71690EF3" w14:textId="31942364" w:rsidR="00EA76DA" w:rsidRDefault="001E2B79" w:rsidP="005024B0">
      <w:pPr>
        <w:spacing w:after="0"/>
      </w:pPr>
      <w:r>
        <w:t>There is a Parliamentary inquiry into arrangements surrounding the organisation.</w:t>
      </w:r>
      <w:r w:rsidR="00C27FE9">
        <w:t xml:space="preserve">  It</w:t>
      </w:r>
      <w:r w:rsidR="00CD7FF0">
        <w:t xml:space="preserve"> commenced after a furore </w:t>
      </w:r>
      <w:r w:rsidR="00046CAF">
        <w:t xml:space="preserve">over claims </w:t>
      </w:r>
      <w:r w:rsidR="00CD7FF0">
        <w:t xml:space="preserve">the Entity was </w:t>
      </w:r>
      <w:r w:rsidR="00C27FE9">
        <w:t xml:space="preserve">part of </w:t>
      </w:r>
      <w:r w:rsidR="003B5C2A">
        <w:t>an</w:t>
      </w:r>
      <w:r w:rsidR="00CD7FF0">
        <w:t xml:space="preserve"> accounting sham</w:t>
      </w:r>
      <w:r w:rsidR="00A5027A">
        <w:t xml:space="preserve"> </w:t>
      </w:r>
      <w:r w:rsidR="00C27FE9">
        <w:t>that</w:t>
      </w:r>
      <w:r w:rsidR="00A5027A">
        <w:t xml:space="preserve"> jeopardised </w:t>
      </w:r>
      <w:r w:rsidR="00C27FE9">
        <w:t xml:space="preserve">public </w:t>
      </w:r>
      <w:r w:rsidR="00A5027A">
        <w:t>safety</w:t>
      </w:r>
      <w:r w:rsidR="00EA76DA">
        <w:t>.</w:t>
      </w:r>
      <w:r w:rsidR="00C27FE9" w:rsidRPr="00C27FE9">
        <w:rPr>
          <w:rStyle w:val="FootnoteReference"/>
        </w:rPr>
        <w:t xml:space="preserve"> </w:t>
      </w:r>
      <w:r w:rsidR="00C27FE9">
        <w:rPr>
          <w:rStyle w:val="FootnoteReference"/>
        </w:rPr>
        <w:footnoteReference w:id="1"/>
      </w:r>
    </w:p>
    <w:p w14:paraId="66631F20" w14:textId="77777777" w:rsidR="005D772E" w:rsidRDefault="005D772E" w:rsidP="005024B0">
      <w:pPr>
        <w:spacing w:after="0"/>
      </w:pPr>
    </w:p>
    <w:p w14:paraId="367BE6FA" w14:textId="3C7E7D1C" w:rsidR="00846B63" w:rsidRDefault="003B5C2A" w:rsidP="005024B0">
      <w:pPr>
        <w:spacing w:after="0"/>
      </w:pPr>
      <w:r>
        <w:t>For several years, t</w:t>
      </w:r>
      <w:r w:rsidR="0075292D">
        <w:t>h</w:t>
      </w:r>
      <w:r w:rsidR="00046CAF">
        <w:t>e</w:t>
      </w:r>
      <w:r w:rsidR="00C37E0A">
        <w:t xml:space="preserve"> Auditor General</w:t>
      </w:r>
      <w:r>
        <w:t xml:space="preserve"> </w:t>
      </w:r>
      <w:r w:rsidR="00046CAF">
        <w:t>h</w:t>
      </w:r>
      <w:r>
        <w:t>eld</w:t>
      </w:r>
      <w:r w:rsidR="00046CAF">
        <w:t xml:space="preserve"> concerns</w:t>
      </w:r>
      <w:r w:rsidR="00846B63">
        <w:t xml:space="preserve"> about the accounting for the Entity</w:t>
      </w:r>
      <w:r w:rsidR="00A46AA4">
        <w:t>.  The</w:t>
      </w:r>
      <w:r w:rsidR="00046CAF">
        <w:t>se</w:t>
      </w:r>
      <w:r w:rsidR="00C37E0A">
        <w:t xml:space="preserve"> </w:t>
      </w:r>
      <w:r w:rsidR="00C858CA">
        <w:t xml:space="preserve">led to a </w:t>
      </w:r>
      <w:r w:rsidR="00C37E0A">
        <w:t>refus</w:t>
      </w:r>
      <w:r w:rsidR="00C858CA">
        <w:t>al</w:t>
      </w:r>
      <w:r w:rsidR="00C37E0A">
        <w:t xml:space="preserve"> to sign</w:t>
      </w:r>
      <w:r w:rsidR="00EA76DA">
        <w:t>-</w:t>
      </w:r>
      <w:r w:rsidR="00C37E0A">
        <w:t>off the State</w:t>
      </w:r>
      <w:r w:rsidR="00C858CA">
        <w:t xml:space="preserve"> Government’s</w:t>
      </w:r>
      <w:r w:rsidR="00C37E0A">
        <w:t xml:space="preserve"> </w:t>
      </w:r>
      <w:r w:rsidR="00046CAF">
        <w:t xml:space="preserve">Budget </w:t>
      </w:r>
      <w:r w:rsidR="00C37E0A">
        <w:t>account</w:t>
      </w:r>
      <w:r w:rsidR="00C858CA">
        <w:t>s</w:t>
      </w:r>
      <w:r w:rsidR="00EA76DA">
        <w:t xml:space="preserve"> </w:t>
      </w:r>
      <w:r w:rsidR="00C858CA">
        <w:t xml:space="preserve">- </w:t>
      </w:r>
      <w:r w:rsidR="00EA76DA">
        <w:t xml:space="preserve">which </w:t>
      </w:r>
      <w:r w:rsidR="00A5027A">
        <w:t>ignored</w:t>
      </w:r>
      <w:r w:rsidR="00EA76DA">
        <w:t xml:space="preserve"> some rail spending</w:t>
      </w:r>
      <w:r w:rsidR="00046CAF">
        <w:t xml:space="preserve"> </w:t>
      </w:r>
      <w:r>
        <w:t>by the Entity</w:t>
      </w:r>
      <w:r w:rsidR="00046CAF">
        <w:t xml:space="preserve">.  </w:t>
      </w:r>
    </w:p>
    <w:p w14:paraId="4A9736C7" w14:textId="77777777" w:rsidR="00846B63" w:rsidRDefault="00846B63" w:rsidP="005024B0">
      <w:pPr>
        <w:spacing w:after="0"/>
      </w:pPr>
    </w:p>
    <w:p w14:paraId="32D6E21F" w14:textId="3EEAC5D3" w:rsidR="00A5027A" w:rsidRDefault="00046CAF" w:rsidP="005024B0">
      <w:pPr>
        <w:spacing w:after="0"/>
      </w:pPr>
      <w:r>
        <w:t>The reason given by the Government for not counting that spending i</w:t>
      </w:r>
      <w:r w:rsidR="00A5027A">
        <w:t>n the Budget</w:t>
      </w:r>
      <w:r w:rsidR="00846B63">
        <w:t>:</w:t>
      </w:r>
      <w:r>
        <w:t xml:space="preserve"> the </w:t>
      </w:r>
      <w:r w:rsidR="00A46AA4">
        <w:t xml:space="preserve">Entity is </w:t>
      </w:r>
      <w:r w:rsidR="00846B63">
        <w:t>profit</w:t>
      </w:r>
      <w:r w:rsidR="00A5027A">
        <w:t xml:space="preserve"> seeking, profitable and</w:t>
      </w:r>
      <w:r w:rsidR="00846B63">
        <w:t xml:space="preserve"> independent of the Government</w:t>
      </w:r>
      <w:r w:rsidR="00CD7FF0">
        <w:t>.</w:t>
      </w:r>
      <w:r w:rsidR="00EA76DA">
        <w:t xml:space="preserve">  The </w:t>
      </w:r>
      <w:r w:rsidR="00A46AA4">
        <w:t xml:space="preserve">Auditor’s concern </w:t>
      </w:r>
      <w:r w:rsidR="00846B63">
        <w:t xml:space="preserve">reflected doubt </w:t>
      </w:r>
      <w:r w:rsidR="00EA76DA">
        <w:t xml:space="preserve">about </w:t>
      </w:r>
      <w:r w:rsidR="00846B63">
        <w:t>th</w:t>
      </w:r>
      <w:r w:rsidR="00A5027A">
        <w:t>at claim.</w:t>
      </w:r>
    </w:p>
    <w:p w14:paraId="24F7E38B" w14:textId="77777777" w:rsidR="00A5027A" w:rsidRDefault="00A5027A" w:rsidP="005024B0">
      <w:pPr>
        <w:spacing w:after="0"/>
      </w:pPr>
    </w:p>
    <w:p w14:paraId="34B5CB6D" w14:textId="143DCD25" w:rsidR="005D772E" w:rsidRDefault="00A5027A" w:rsidP="005024B0">
      <w:pPr>
        <w:spacing w:after="0"/>
      </w:pPr>
      <w:r>
        <w:t xml:space="preserve">The claim raised a further issue.  If the Entity was profit seeking and independent, then commuter rail assets under its control could deteriorate, eventually jeopardising public safety.  </w:t>
      </w:r>
      <w:r w:rsidR="003153C7">
        <w:t xml:space="preserve">To this the Government </w:t>
      </w:r>
      <w:r w:rsidR="00DF1B61">
        <w:t>in effect argue</w:t>
      </w:r>
      <w:r w:rsidR="003153C7">
        <w:t xml:space="preserve">d the Entity is not responsible for </w:t>
      </w:r>
      <w:r w:rsidR="00BC1324">
        <w:t xml:space="preserve">the state of </w:t>
      </w:r>
      <w:r w:rsidR="003153C7">
        <w:t xml:space="preserve">its assets.   </w:t>
      </w:r>
    </w:p>
    <w:p w14:paraId="21F3C675" w14:textId="77777777" w:rsidR="009D1F45" w:rsidRDefault="009D1F45" w:rsidP="005024B0">
      <w:pPr>
        <w:spacing w:after="0"/>
      </w:pPr>
    </w:p>
    <w:p w14:paraId="6290F769" w14:textId="77777777" w:rsidR="009C7AB2" w:rsidRPr="009C7AB2" w:rsidRDefault="009C7AB2" w:rsidP="005024B0">
      <w:pPr>
        <w:pStyle w:val="Heading2"/>
        <w:spacing w:before="0"/>
        <w:rPr>
          <w:rFonts w:asciiTheme="minorHAnsi" w:hAnsiTheme="minorHAnsi" w:cstheme="minorHAnsi"/>
        </w:rPr>
      </w:pPr>
      <w:r w:rsidRPr="009C7AB2">
        <w:rPr>
          <w:rFonts w:asciiTheme="minorHAnsi" w:hAnsiTheme="minorHAnsi" w:cstheme="minorHAnsi"/>
        </w:rPr>
        <w:t>The News</w:t>
      </w:r>
    </w:p>
    <w:p w14:paraId="33849D9B" w14:textId="0A6983A1" w:rsidR="003153C7" w:rsidRDefault="003153C7" w:rsidP="003153C7">
      <w:pPr>
        <w:spacing w:after="0"/>
      </w:pPr>
      <w:r>
        <w:t>A</w:t>
      </w:r>
      <w:r>
        <w:t>mong reported</w:t>
      </w:r>
      <w:r>
        <w:t xml:space="preserve"> </w:t>
      </w:r>
      <w:r>
        <w:t xml:space="preserve">news </w:t>
      </w:r>
      <w:r>
        <w:t>was resignation of one of the Entity’s defenders at the inquiry – the Treasury Secretary.</w:t>
      </w:r>
      <w:r>
        <w:rPr>
          <w:rStyle w:val="FootnoteReference"/>
        </w:rPr>
        <w:footnoteReference w:id="2"/>
      </w:r>
    </w:p>
    <w:p w14:paraId="5FC16C9D" w14:textId="77777777" w:rsidR="003153C7" w:rsidRDefault="003153C7" w:rsidP="003153C7">
      <w:pPr>
        <w:spacing w:after="0"/>
      </w:pPr>
    </w:p>
    <w:p w14:paraId="08F0EC0E" w14:textId="585D53C9" w:rsidR="00C37E0A" w:rsidRDefault="003153C7" w:rsidP="005024B0">
      <w:pPr>
        <w:spacing w:after="0"/>
      </w:pPr>
      <w:r>
        <w:t>However, t</w:t>
      </w:r>
      <w:r w:rsidR="00C37E0A">
        <w:t xml:space="preserve">he </w:t>
      </w:r>
      <w:r w:rsidR="00F51F6A">
        <w:t xml:space="preserve">most </w:t>
      </w:r>
      <w:r w:rsidR="00C37E0A">
        <w:t>prominent news</w:t>
      </w:r>
      <w:r w:rsidR="009C7AB2">
        <w:t xml:space="preserve"> </w:t>
      </w:r>
      <w:r w:rsidR="00C858CA">
        <w:t>wa</w:t>
      </w:r>
      <w:r w:rsidR="00C37E0A">
        <w:t>s</w:t>
      </w:r>
      <w:r w:rsidR="009C7AB2">
        <w:t>:</w:t>
      </w:r>
      <w:r w:rsidR="00C37E0A">
        <w:t xml:space="preserve"> the Auditor General signed-off the State</w:t>
      </w:r>
      <w:r w:rsidR="00196AE5">
        <w:t>’s</w:t>
      </w:r>
      <w:r w:rsidR="00C37E0A">
        <w:t xml:space="preserve"> accounting.</w:t>
      </w:r>
      <w:r w:rsidR="00EA76DA">
        <w:t xml:space="preserve"> </w:t>
      </w:r>
      <w:r>
        <w:t xml:space="preserve"> </w:t>
      </w:r>
      <w:r w:rsidR="00C858CA">
        <w:t>An</w:t>
      </w:r>
      <w:r w:rsidR="001A7AD1">
        <w:t xml:space="preserve"> implication </w:t>
      </w:r>
      <w:r>
        <w:t>is t</w:t>
      </w:r>
      <w:r w:rsidR="001A7AD1">
        <w:t xml:space="preserve">he Auditor </w:t>
      </w:r>
      <w:r>
        <w:t xml:space="preserve">apparently </w:t>
      </w:r>
      <w:r w:rsidR="001A7AD1">
        <w:t>believe</w:t>
      </w:r>
      <w:r>
        <w:t>s</w:t>
      </w:r>
      <w:r w:rsidR="001A7AD1">
        <w:t xml:space="preserve"> the </w:t>
      </w:r>
      <w:r>
        <w:t xml:space="preserve">Entity is independent of the </w:t>
      </w:r>
      <w:r w:rsidR="001A7AD1">
        <w:t>Government</w:t>
      </w:r>
      <w:r>
        <w:t>.</w:t>
      </w:r>
      <w:r>
        <w:rPr>
          <w:rStyle w:val="FootnoteReference"/>
        </w:rPr>
        <w:footnoteReference w:id="3"/>
      </w:r>
    </w:p>
    <w:p w14:paraId="0BD0DD07" w14:textId="66BC0F29" w:rsidR="003153C7" w:rsidRDefault="003153C7" w:rsidP="005024B0">
      <w:pPr>
        <w:spacing w:after="0"/>
      </w:pPr>
    </w:p>
    <w:p w14:paraId="579E8BE2" w14:textId="5A5A618D" w:rsidR="003153C7" w:rsidRDefault="004256AB" w:rsidP="005024B0">
      <w:pPr>
        <w:spacing w:after="0"/>
      </w:pPr>
      <w:r>
        <w:t>Less prominent n</w:t>
      </w:r>
      <w:r w:rsidR="003153C7">
        <w:t>ews</w:t>
      </w:r>
      <w:r w:rsidR="00196AE5">
        <w:t xml:space="preserve"> throws doubt on any such belief.</w:t>
      </w:r>
    </w:p>
    <w:p w14:paraId="36494697" w14:textId="77777777" w:rsidR="005D772E" w:rsidRDefault="005D772E" w:rsidP="005024B0">
      <w:pPr>
        <w:spacing w:after="0"/>
      </w:pPr>
    </w:p>
    <w:p w14:paraId="6DF0FDF3" w14:textId="602AE06B" w:rsidR="004E074A" w:rsidRPr="004E074A" w:rsidRDefault="004E074A" w:rsidP="003153C7">
      <w:pPr>
        <w:pStyle w:val="Heading2"/>
      </w:pPr>
      <w:r w:rsidRPr="004E074A">
        <w:t>Other news</w:t>
      </w:r>
    </w:p>
    <w:p w14:paraId="175F8E2F" w14:textId="6D858BEC" w:rsidR="00D75B5F" w:rsidRDefault="00C27FE9" w:rsidP="005024B0">
      <w:pPr>
        <w:spacing w:after="0"/>
      </w:pPr>
      <w:r>
        <w:t>The l</w:t>
      </w:r>
      <w:r w:rsidR="00C37E0A">
        <w:t xml:space="preserve">ess prominent </w:t>
      </w:r>
      <w:r w:rsidR="005024B0">
        <w:t xml:space="preserve">– unreported </w:t>
      </w:r>
      <w:r>
        <w:t>–</w:t>
      </w:r>
      <w:r w:rsidR="005024B0">
        <w:t xml:space="preserve"> </w:t>
      </w:r>
      <w:r>
        <w:t>new</w:t>
      </w:r>
      <w:r w:rsidR="00E22C30">
        <w:t>s</w:t>
      </w:r>
      <w:r>
        <w:t xml:space="preserve"> </w:t>
      </w:r>
      <w:r w:rsidR="005024B0">
        <w:t>wa</w:t>
      </w:r>
      <w:r w:rsidR="00C37E0A">
        <w:t>s</w:t>
      </w:r>
      <w:r>
        <w:t>:</w:t>
      </w:r>
      <w:r w:rsidR="00C37E0A">
        <w:t xml:space="preserve"> the </w:t>
      </w:r>
      <w:r w:rsidR="00C858CA">
        <w:t xml:space="preserve">Parliamentary </w:t>
      </w:r>
      <w:r w:rsidR="00C37E0A">
        <w:t>i</w:t>
      </w:r>
      <w:r w:rsidR="00CD7FF0">
        <w:t xml:space="preserve">nquiry </w:t>
      </w:r>
      <w:r w:rsidR="004E074A">
        <w:t>publish</w:t>
      </w:r>
      <w:r w:rsidR="00C858CA">
        <w:t>ed</w:t>
      </w:r>
      <w:r w:rsidR="004E074A">
        <w:t xml:space="preserve"> a supplementary submission from </w:t>
      </w:r>
      <w:r w:rsidR="00CD7FF0">
        <w:t xml:space="preserve">the </w:t>
      </w:r>
      <w:r w:rsidR="00C37E0A">
        <w:t xml:space="preserve">Entity.  </w:t>
      </w:r>
      <w:r w:rsidR="00196AE5">
        <w:t xml:space="preserve"> I found it </w:t>
      </w:r>
      <w:r w:rsidR="00196AE5" w:rsidRPr="00196AE5">
        <w:rPr>
          <w:i/>
          <w:iCs/>
        </w:rPr>
        <w:t>after</w:t>
      </w:r>
      <w:r w:rsidR="00196AE5">
        <w:t xml:space="preserve"> the news about the Auditor’s sign-off was reported, even though it is dated nearly two months earlier - 26 November 2021.</w:t>
      </w:r>
      <w:r w:rsidR="00196AE5">
        <w:rPr>
          <w:rStyle w:val="FootnoteReference"/>
        </w:rPr>
        <w:footnoteReference w:id="4"/>
      </w:r>
    </w:p>
    <w:p w14:paraId="3AEDADE6" w14:textId="77777777" w:rsidR="00D75B5F" w:rsidRDefault="00D75B5F" w:rsidP="005024B0">
      <w:pPr>
        <w:spacing w:after="0"/>
      </w:pPr>
    </w:p>
    <w:p w14:paraId="3439EF82" w14:textId="77777777" w:rsidR="00C27FE9" w:rsidRDefault="00C37E0A" w:rsidP="00196AE5">
      <w:pPr>
        <w:spacing w:after="0"/>
      </w:pPr>
      <w:r>
        <w:t xml:space="preserve">The </w:t>
      </w:r>
      <w:r w:rsidR="00196AE5">
        <w:t xml:space="preserve">supplementary </w:t>
      </w:r>
      <w:r>
        <w:t xml:space="preserve">submission </w:t>
      </w:r>
      <w:r w:rsidR="00440B52">
        <w:t xml:space="preserve">said it </w:t>
      </w:r>
      <w:r>
        <w:t xml:space="preserve">intended to address safety questions raised by the inquiry.  </w:t>
      </w:r>
    </w:p>
    <w:p w14:paraId="4DA9B22C" w14:textId="77777777" w:rsidR="009D1F45" w:rsidRDefault="009D1F45" w:rsidP="005024B0">
      <w:pPr>
        <w:spacing w:after="0"/>
      </w:pPr>
    </w:p>
    <w:p w14:paraId="0D0B0A6A" w14:textId="20112AF5" w:rsidR="00C37E0A" w:rsidRDefault="00C37E0A" w:rsidP="005024B0">
      <w:pPr>
        <w:spacing w:after="0"/>
      </w:pPr>
      <w:r>
        <w:lastRenderedPageBreak/>
        <w:t>It included the following</w:t>
      </w:r>
      <w:r w:rsidR="00EA76DA">
        <w:t>, as explanation for why the arrangements surrounding the Entity are safe:</w:t>
      </w:r>
    </w:p>
    <w:p w14:paraId="3BD6D462" w14:textId="235ED7F6" w:rsidR="00EA76DA" w:rsidRPr="004E074A" w:rsidRDefault="004E074A" w:rsidP="005024B0">
      <w:pPr>
        <w:spacing w:after="0"/>
        <w:ind w:left="720"/>
        <w:rPr>
          <w:i/>
          <w:iCs/>
        </w:rPr>
      </w:pPr>
      <w:r>
        <w:rPr>
          <w:i/>
          <w:iCs/>
        </w:rPr>
        <w:t>‘</w:t>
      </w:r>
      <w:r w:rsidR="001E2B79" w:rsidRPr="004E074A">
        <w:rPr>
          <w:i/>
          <w:iCs/>
        </w:rPr>
        <w:t>Decisions about assets – including maintenance and delivery – are the responsibility of Sydney Trains</w:t>
      </w:r>
      <w:r>
        <w:rPr>
          <w:i/>
          <w:iCs/>
        </w:rPr>
        <w:t>’.</w:t>
      </w:r>
      <w:r w:rsidR="001E2B79" w:rsidRPr="004E074A">
        <w:rPr>
          <w:i/>
          <w:iCs/>
        </w:rPr>
        <w:t xml:space="preserve"> </w:t>
      </w:r>
    </w:p>
    <w:p w14:paraId="17BEA0E2" w14:textId="77777777" w:rsidR="00D75B5F" w:rsidRDefault="00D75B5F" w:rsidP="005024B0">
      <w:pPr>
        <w:spacing w:after="0"/>
      </w:pPr>
    </w:p>
    <w:p w14:paraId="5C0FF2A3" w14:textId="072ECAFB" w:rsidR="004E074A" w:rsidRDefault="004E074A" w:rsidP="005024B0">
      <w:pPr>
        <w:pStyle w:val="Heading2"/>
        <w:spacing w:before="0"/>
      </w:pPr>
      <w:r>
        <w:t>Hmmm</w:t>
      </w:r>
    </w:p>
    <w:p w14:paraId="0873A29C" w14:textId="1D473154" w:rsidR="005024B0" w:rsidRDefault="00D31707" w:rsidP="005024B0">
      <w:pPr>
        <w:spacing w:after="0"/>
      </w:pPr>
      <w:r>
        <w:t>T</w:t>
      </w:r>
      <w:r w:rsidR="005024B0">
        <w:t xml:space="preserve">he </w:t>
      </w:r>
      <w:r>
        <w:t>explanation</w:t>
      </w:r>
      <w:r w:rsidR="005024B0">
        <w:t xml:space="preserve"> a</w:t>
      </w:r>
      <w:r w:rsidR="001A7AD1">
        <w:t xml:space="preserve">sserts the </w:t>
      </w:r>
      <w:r>
        <w:t xml:space="preserve">Government controls the </w:t>
      </w:r>
      <w:r w:rsidR="001A7AD1">
        <w:t xml:space="preserve">condition of </w:t>
      </w:r>
      <w:r>
        <w:t>the Entity’s as</w:t>
      </w:r>
      <w:r w:rsidR="001A7AD1">
        <w:t>sets</w:t>
      </w:r>
      <w:r w:rsidR="005024B0">
        <w:t xml:space="preserve"> because:</w:t>
      </w:r>
    </w:p>
    <w:p w14:paraId="59EEF3F9" w14:textId="29F5BB0D" w:rsidR="005024B0" w:rsidRDefault="007B0B13" w:rsidP="00D104BA">
      <w:pPr>
        <w:pStyle w:val="ListParagraph"/>
        <w:numPr>
          <w:ilvl w:val="0"/>
          <w:numId w:val="1"/>
        </w:numPr>
        <w:spacing w:after="0"/>
        <w:ind w:left="360"/>
      </w:pPr>
      <w:r>
        <w:t>m</w:t>
      </w:r>
      <w:r w:rsidR="005024B0">
        <w:t xml:space="preserve">aintenance </w:t>
      </w:r>
      <w:r w:rsidR="00D31707">
        <w:t>determines</w:t>
      </w:r>
      <w:r w:rsidR="005024B0">
        <w:t xml:space="preserve"> the condition of assets; and</w:t>
      </w:r>
    </w:p>
    <w:p w14:paraId="666A0A49" w14:textId="77777777" w:rsidR="005024B0" w:rsidRDefault="005024B0" w:rsidP="00D104BA">
      <w:pPr>
        <w:pStyle w:val="ListParagraph"/>
        <w:numPr>
          <w:ilvl w:val="0"/>
          <w:numId w:val="1"/>
        </w:numPr>
        <w:spacing w:after="0"/>
        <w:ind w:left="360"/>
      </w:pPr>
      <w:r>
        <w:t>Sydney Trains is controlled by the Government.</w:t>
      </w:r>
    </w:p>
    <w:p w14:paraId="27D25171" w14:textId="77777777" w:rsidR="00D75B5F" w:rsidRDefault="00D75B5F" w:rsidP="005024B0">
      <w:pPr>
        <w:spacing w:after="0"/>
      </w:pPr>
    </w:p>
    <w:p w14:paraId="6874C6BF" w14:textId="37B5B158" w:rsidR="00EC2680" w:rsidRDefault="001A7AD1" w:rsidP="005024B0">
      <w:pPr>
        <w:spacing w:after="0"/>
      </w:pPr>
      <w:r>
        <w:t xml:space="preserve">That </w:t>
      </w:r>
      <w:r w:rsidR="007B0B13">
        <w:t xml:space="preserve">might </w:t>
      </w:r>
      <w:r w:rsidR="00D75B5F">
        <w:t xml:space="preserve">not sit well with </w:t>
      </w:r>
      <w:r>
        <w:t>assumption</w:t>
      </w:r>
      <w:r w:rsidR="00D75B5F">
        <w:t>s</w:t>
      </w:r>
      <w:r>
        <w:t xml:space="preserve"> underl</w:t>
      </w:r>
      <w:r w:rsidR="0075292D">
        <w:t>y</w:t>
      </w:r>
      <w:r>
        <w:t>ing the Auditor’s sign-off.</w:t>
      </w:r>
      <w:r w:rsidR="00D75B5F">
        <w:t xml:space="preserve">  </w:t>
      </w:r>
      <w:r w:rsidR="00C27FE9">
        <w:t>M</w:t>
      </w:r>
      <w:r w:rsidR="007B0B13">
        <w:t xml:space="preserve">ore on that </w:t>
      </w:r>
      <w:r w:rsidR="00EC2680">
        <w:t>later</w:t>
      </w:r>
      <w:r w:rsidR="00C27FE9">
        <w:t>?</w:t>
      </w:r>
    </w:p>
    <w:p w14:paraId="705D1146" w14:textId="77777777" w:rsidR="00D75B5F" w:rsidRDefault="00D75B5F" w:rsidP="005024B0">
      <w:pPr>
        <w:spacing w:after="0"/>
      </w:pPr>
    </w:p>
    <w:p w14:paraId="766FE73F" w14:textId="0A8A4CDB" w:rsidR="0075292D" w:rsidRDefault="00D31707" w:rsidP="005024B0">
      <w:pPr>
        <w:spacing w:after="0"/>
      </w:pPr>
      <w:r>
        <w:t xml:space="preserve">Also, </w:t>
      </w:r>
      <w:r w:rsidR="0075292D">
        <w:t xml:space="preserve">the </w:t>
      </w:r>
      <w:r>
        <w:t xml:space="preserve">explanation does not sit well with </w:t>
      </w:r>
      <w:r w:rsidR="00C27FE9">
        <w:t xml:space="preserve">formal </w:t>
      </w:r>
      <w:r>
        <w:t>NSW rail safety inquiries.  It</w:t>
      </w:r>
      <w:r w:rsidR="0075292D">
        <w:t xml:space="preserve"> is in direct conflict with the first recommendation of the Glenbrook rail crash </w:t>
      </w:r>
      <w:r w:rsidR="008D7B39">
        <w:t>commission</w:t>
      </w:r>
      <w:r w:rsidR="0075292D">
        <w:t xml:space="preserve"> (2</w:t>
      </w:r>
      <w:r w:rsidR="0075292D" w:rsidRPr="0075292D">
        <w:rPr>
          <w:vertAlign w:val="superscript"/>
        </w:rPr>
        <w:t>nd</w:t>
      </w:r>
      <w:r w:rsidR="0075292D">
        <w:t xml:space="preserve"> interim report)</w:t>
      </w:r>
      <w:r w:rsidR="00D104BA">
        <w:t>:</w:t>
      </w:r>
    </w:p>
    <w:p w14:paraId="1ECB309A" w14:textId="19264D1F" w:rsidR="0075292D" w:rsidRDefault="00D104BA" w:rsidP="00D104BA">
      <w:pPr>
        <w:spacing w:after="0"/>
        <w:ind w:left="720"/>
      </w:pPr>
      <w:r>
        <w:rPr>
          <w:i/>
          <w:iCs/>
        </w:rPr>
        <w:t>‘1. That the infrastructure owner RAC and the infrastructure maintainer RSA cease to be State owned corporations and that their property and functions be merged into a single statutory authority, to be known as the Rail Infrastructure Authority, responsible to the Minister for Transport.’</w:t>
      </w:r>
    </w:p>
    <w:p w14:paraId="7E1AFE30" w14:textId="77777777" w:rsidR="00D104BA" w:rsidRDefault="00D104BA" w:rsidP="005024B0">
      <w:pPr>
        <w:spacing w:after="0"/>
      </w:pPr>
    </w:p>
    <w:p w14:paraId="77F3F223" w14:textId="763D66E9" w:rsidR="008D7B39" w:rsidRDefault="008D7B39" w:rsidP="005024B0">
      <w:pPr>
        <w:spacing w:after="0"/>
      </w:pPr>
      <w:r>
        <w:t xml:space="preserve">Contrary to popular belief, apparently started </w:t>
      </w:r>
      <w:r w:rsidR="00C27FE9">
        <w:t>by</w:t>
      </w:r>
      <w:r>
        <w:t xml:space="preserve"> a 2016 Cabinet submission</w:t>
      </w:r>
      <w:r w:rsidR="004256AB">
        <w:t>,</w:t>
      </w:r>
      <w:r>
        <w:t xml:space="preserve"> the crash commissions did not say track </w:t>
      </w:r>
      <w:r w:rsidR="004256AB">
        <w:t xml:space="preserve">asset </w:t>
      </w:r>
      <w:r w:rsidR="006478F2">
        <w:t xml:space="preserve">etc. </w:t>
      </w:r>
      <w:r>
        <w:t xml:space="preserve">maintenance should be conducted by the train operator.  Nor did they say track </w:t>
      </w:r>
      <w:r w:rsidR="004256AB">
        <w:t xml:space="preserve">assets </w:t>
      </w:r>
      <w:r>
        <w:t>should be owned by a State-owned corporation</w:t>
      </w:r>
      <w:r w:rsidR="006478F2">
        <w:t xml:space="preserve"> – in fact they said the contrary</w:t>
      </w:r>
      <w:r>
        <w:t>.</w:t>
      </w:r>
      <w:r>
        <w:rPr>
          <w:rStyle w:val="FootnoteReference"/>
        </w:rPr>
        <w:footnoteReference w:id="5"/>
      </w:r>
    </w:p>
    <w:p w14:paraId="3026F236" w14:textId="6126CC8B" w:rsidR="000D7AA7" w:rsidRDefault="000D7AA7" w:rsidP="005024B0">
      <w:pPr>
        <w:spacing w:after="0"/>
      </w:pPr>
    </w:p>
    <w:p w14:paraId="159FD805" w14:textId="6E084A89" w:rsidR="006478F2" w:rsidRDefault="006478F2" w:rsidP="005024B0">
      <w:pPr>
        <w:spacing w:after="0"/>
      </w:pPr>
      <w:r>
        <w:t xml:space="preserve">Which makes the following </w:t>
      </w:r>
      <w:r w:rsidR="004B404A">
        <w:t>from</w:t>
      </w:r>
      <w:r>
        <w:t xml:space="preserve"> the </w:t>
      </w:r>
      <w:r w:rsidR="004256AB">
        <w:t xml:space="preserve">Entity’s </w:t>
      </w:r>
      <w:r>
        <w:t xml:space="preserve">supplementary submission </w:t>
      </w:r>
      <w:r w:rsidR="004B404A">
        <w:t>look ill-informed</w:t>
      </w:r>
      <w:r>
        <w:t xml:space="preserve">: </w:t>
      </w:r>
    </w:p>
    <w:p w14:paraId="37456B7F" w14:textId="4F204B1A" w:rsidR="006478F2" w:rsidRPr="006478F2" w:rsidRDefault="006478F2" w:rsidP="006478F2">
      <w:pPr>
        <w:spacing w:after="0"/>
        <w:ind w:left="720"/>
        <w:rPr>
          <w:i/>
          <w:iCs/>
        </w:rPr>
      </w:pPr>
      <w:r w:rsidRPr="006478F2">
        <w:rPr>
          <w:i/>
          <w:iCs/>
        </w:rPr>
        <w:t>‘The creation of TAHE does not alter the fundamental principles that have underpinned the approach to rail safety and maintenance since the responses to the inquiries into the tragedies at Glenbrook and Waterfall.’</w:t>
      </w:r>
      <w:r w:rsidR="004B404A">
        <w:rPr>
          <w:rStyle w:val="FootnoteReference"/>
          <w:i/>
          <w:iCs/>
        </w:rPr>
        <w:footnoteReference w:id="6"/>
      </w:r>
    </w:p>
    <w:p w14:paraId="7AF59F99" w14:textId="77777777" w:rsidR="008D7B39" w:rsidRDefault="008D7B39" w:rsidP="005024B0">
      <w:pPr>
        <w:spacing w:after="0"/>
      </w:pPr>
    </w:p>
    <w:p w14:paraId="23D2325F" w14:textId="45F14E05" w:rsidR="00440B52" w:rsidRDefault="0038214B" w:rsidP="005024B0">
      <w:pPr>
        <w:spacing w:after="0"/>
      </w:pPr>
      <w:r>
        <w:t xml:space="preserve">Parliamentary </w:t>
      </w:r>
      <w:r w:rsidR="00440B52">
        <w:t xml:space="preserve">inquiry </w:t>
      </w:r>
      <w:r>
        <w:t>hearing</w:t>
      </w:r>
      <w:r w:rsidR="00FF59AE">
        <w:t>s</w:t>
      </w:r>
      <w:r>
        <w:t xml:space="preserve"> after </w:t>
      </w:r>
      <w:r w:rsidR="004256AB">
        <w:t xml:space="preserve">26 November - </w:t>
      </w:r>
      <w:r w:rsidR="00440B52">
        <w:t>the date o</w:t>
      </w:r>
      <w:r w:rsidR="004256AB">
        <w:t>f</w:t>
      </w:r>
      <w:r w:rsidR="00440B52">
        <w:t xml:space="preserve"> the </w:t>
      </w:r>
      <w:r w:rsidR="00AA513D">
        <w:t xml:space="preserve">Entity’s </w:t>
      </w:r>
      <w:r w:rsidR="00440B52">
        <w:t>supplementary submission</w:t>
      </w:r>
      <w:r>
        <w:t xml:space="preserve"> </w:t>
      </w:r>
      <w:r w:rsidR="004256AB">
        <w:t xml:space="preserve">- </w:t>
      </w:r>
      <w:r>
        <w:t xml:space="preserve">raised some </w:t>
      </w:r>
      <w:r w:rsidR="00FF59AE">
        <w:t xml:space="preserve">further </w:t>
      </w:r>
      <w:r>
        <w:t>safety related questions</w:t>
      </w:r>
      <w:r w:rsidR="00440B52">
        <w:t xml:space="preserve">.  </w:t>
      </w:r>
      <w:r w:rsidR="00B87D0C">
        <w:t xml:space="preserve">Given the above, </w:t>
      </w:r>
      <w:r w:rsidR="004B404A">
        <w:t>the inquiry</w:t>
      </w:r>
      <w:r w:rsidR="00440B52">
        <w:t xml:space="preserve"> might raise some further questions yet</w:t>
      </w:r>
      <w:r w:rsidR="003E31B4">
        <w:t>.</w:t>
      </w:r>
      <w:r w:rsidR="0064630F" w:rsidRPr="0064630F">
        <w:rPr>
          <w:rStyle w:val="FootnoteReference"/>
        </w:rPr>
        <w:t xml:space="preserve"> </w:t>
      </w:r>
      <w:r w:rsidR="0064630F">
        <w:rPr>
          <w:rStyle w:val="FootnoteReference"/>
        </w:rPr>
        <w:footnoteReference w:id="7"/>
      </w:r>
      <w:r w:rsidR="00440B52">
        <w:t xml:space="preserve">  </w:t>
      </w:r>
    </w:p>
    <w:p w14:paraId="709918B2" w14:textId="77777777" w:rsidR="003B7FBE" w:rsidRDefault="003B7FBE" w:rsidP="005024B0">
      <w:pPr>
        <w:spacing w:after="0"/>
      </w:pPr>
    </w:p>
    <w:p w14:paraId="273AF108" w14:textId="7E14EF65" w:rsidR="00D75B5F" w:rsidRDefault="00D75B5F" w:rsidP="00D75B5F">
      <w:pPr>
        <w:pStyle w:val="Heading2"/>
      </w:pPr>
      <w:r>
        <w:t>Conclusion</w:t>
      </w:r>
    </w:p>
    <w:p w14:paraId="5AF9FED5" w14:textId="554AE4F1" w:rsidR="0075292D" w:rsidRDefault="0064630F" w:rsidP="005024B0">
      <w:pPr>
        <w:spacing w:after="0"/>
      </w:pPr>
      <w:r>
        <w:t>Might w</w:t>
      </w:r>
      <w:r w:rsidR="0038214B">
        <w:t>e might</w:t>
      </w:r>
      <w:r w:rsidR="0075292D">
        <w:t xml:space="preserve"> look forward to supplementary submission</w:t>
      </w:r>
      <w:r w:rsidR="00B87D0C">
        <w:t>s</w:t>
      </w:r>
      <w:r w:rsidR="0075292D">
        <w:t xml:space="preserve"> to the </w:t>
      </w:r>
      <w:r w:rsidR="00B87D0C">
        <w:t xml:space="preserve">Entity’s and Government’s </w:t>
      </w:r>
      <w:r w:rsidR="0075292D">
        <w:t>supplementary submission</w:t>
      </w:r>
      <w:r w:rsidR="00B87D0C">
        <w:t>s</w:t>
      </w:r>
      <w:r>
        <w:t>?</w:t>
      </w:r>
      <w:r w:rsidR="0075292D">
        <w:t xml:space="preserve">  </w:t>
      </w:r>
      <w:r w:rsidR="003E31B4">
        <w:t xml:space="preserve"> </w:t>
      </w:r>
      <w:r w:rsidR="00B87D0C">
        <w:t>A</w:t>
      </w:r>
      <w:r w:rsidR="0075292D">
        <w:t>fter the penny drops.</w:t>
      </w:r>
      <w:r w:rsidR="00C66FF6">
        <w:rPr>
          <w:rStyle w:val="FootnoteReference"/>
        </w:rPr>
        <w:footnoteReference w:id="8"/>
      </w:r>
    </w:p>
    <w:p w14:paraId="3945D2D3" w14:textId="3AEBECBA" w:rsidR="0038214B" w:rsidRDefault="0038214B" w:rsidP="005024B0">
      <w:pPr>
        <w:spacing w:after="0"/>
      </w:pPr>
    </w:p>
    <w:p w14:paraId="07E564C7" w14:textId="77777777" w:rsidR="0064630F" w:rsidRDefault="0064630F" w:rsidP="005024B0">
      <w:pPr>
        <w:spacing w:after="0"/>
      </w:pPr>
    </w:p>
    <w:p w14:paraId="5A3573CF" w14:textId="711703D5" w:rsidR="0075292D" w:rsidRDefault="0075292D" w:rsidP="005024B0">
      <w:pPr>
        <w:spacing w:after="0"/>
      </w:pPr>
      <w:r>
        <w:t>J Austen</w:t>
      </w:r>
      <w:r w:rsidR="00B87D0C">
        <w:t>, 30</w:t>
      </w:r>
      <w:r>
        <w:t xml:space="preserve"> January 2022</w:t>
      </w:r>
    </w:p>
    <w:sectPr w:rsidR="007529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CDB8" w14:textId="77777777" w:rsidR="00DD72DE" w:rsidRDefault="00DD72DE" w:rsidP="001E2B79">
      <w:pPr>
        <w:spacing w:after="0" w:line="240" w:lineRule="auto"/>
      </w:pPr>
      <w:r>
        <w:separator/>
      </w:r>
    </w:p>
  </w:endnote>
  <w:endnote w:type="continuationSeparator" w:id="0">
    <w:p w14:paraId="457D9556" w14:textId="77777777" w:rsidR="00DD72DE" w:rsidRDefault="00DD72DE" w:rsidP="001E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8D5" w14:textId="77777777" w:rsidR="00A343E7" w:rsidRDefault="00A3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9344"/>
      <w:docPartObj>
        <w:docPartGallery w:val="Page Numbers (Bottom of Page)"/>
        <w:docPartUnique/>
      </w:docPartObj>
    </w:sdtPr>
    <w:sdtEndPr>
      <w:rPr>
        <w:noProof/>
      </w:rPr>
    </w:sdtEndPr>
    <w:sdtContent>
      <w:p w14:paraId="444C8520" w14:textId="6933DA6D" w:rsidR="00A343E7" w:rsidRDefault="00A34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6A788" w14:textId="77777777" w:rsidR="00A343E7" w:rsidRDefault="00A3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D4A5" w14:textId="77777777" w:rsidR="00A343E7" w:rsidRDefault="00A3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BDC9" w14:textId="77777777" w:rsidR="00DD72DE" w:rsidRDefault="00DD72DE" w:rsidP="001E2B79">
      <w:pPr>
        <w:spacing w:after="0" w:line="240" w:lineRule="auto"/>
      </w:pPr>
      <w:r>
        <w:separator/>
      </w:r>
    </w:p>
  </w:footnote>
  <w:footnote w:type="continuationSeparator" w:id="0">
    <w:p w14:paraId="3BC93A41" w14:textId="77777777" w:rsidR="00DD72DE" w:rsidRDefault="00DD72DE" w:rsidP="001E2B79">
      <w:pPr>
        <w:spacing w:after="0" w:line="240" w:lineRule="auto"/>
      </w:pPr>
      <w:r>
        <w:continuationSeparator/>
      </w:r>
    </w:p>
  </w:footnote>
  <w:footnote w:id="1">
    <w:p w14:paraId="62DC6384" w14:textId="77777777" w:rsidR="00C27FE9" w:rsidRPr="004E074A" w:rsidRDefault="00C27FE9" w:rsidP="00C27FE9">
      <w:pPr>
        <w:pStyle w:val="FootnoteText"/>
        <w:rPr>
          <w:sz w:val="16"/>
          <w:szCs w:val="16"/>
        </w:rPr>
      </w:pPr>
      <w:r w:rsidRPr="004E074A">
        <w:rPr>
          <w:rStyle w:val="FootnoteReference"/>
          <w:sz w:val="16"/>
          <w:szCs w:val="16"/>
        </w:rPr>
        <w:footnoteRef/>
      </w:r>
      <w:r w:rsidRPr="004E074A">
        <w:rPr>
          <w:sz w:val="16"/>
          <w:szCs w:val="16"/>
        </w:rPr>
        <w:t xml:space="preserve"> </w:t>
      </w:r>
      <w:hyperlink r:id="rId1" w:anchor="tab-submissions" w:history="1">
        <w:r w:rsidRPr="004E074A">
          <w:rPr>
            <w:rStyle w:val="Hyperlink"/>
            <w:sz w:val="16"/>
            <w:szCs w:val="16"/>
          </w:rPr>
          <w:t>https://www.parliament.nsw.gov.au/committees/inquiries/Pages/inquiry-details.aspx?pk=2819#tab-submissions</w:t>
        </w:r>
      </w:hyperlink>
    </w:p>
    <w:p w14:paraId="3BE2BB1C" w14:textId="77777777" w:rsidR="00C27FE9" w:rsidRPr="004E074A" w:rsidRDefault="00C27FE9" w:rsidP="00C27FE9">
      <w:pPr>
        <w:pStyle w:val="FootnoteText"/>
        <w:rPr>
          <w:sz w:val="16"/>
          <w:szCs w:val="16"/>
        </w:rPr>
      </w:pPr>
    </w:p>
  </w:footnote>
  <w:footnote w:id="2">
    <w:p w14:paraId="019F1476" w14:textId="77777777" w:rsidR="003153C7" w:rsidRPr="004E074A" w:rsidRDefault="003153C7" w:rsidP="003153C7">
      <w:pPr>
        <w:pStyle w:val="FootnoteText"/>
        <w:rPr>
          <w:sz w:val="16"/>
          <w:szCs w:val="16"/>
        </w:rPr>
      </w:pPr>
      <w:r w:rsidRPr="004E074A">
        <w:rPr>
          <w:rStyle w:val="FootnoteReference"/>
          <w:sz w:val="16"/>
          <w:szCs w:val="16"/>
        </w:rPr>
        <w:footnoteRef/>
      </w:r>
      <w:r w:rsidRPr="004E074A">
        <w:rPr>
          <w:sz w:val="16"/>
          <w:szCs w:val="16"/>
        </w:rPr>
        <w:t xml:space="preserve"> </w:t>
      </w:r>
      <w:hyperlink r:id="rId2" w:history="1">
        <w:r w:rsidRPr="004E074A">
          <w:rPr>
            <w:rStyle w:val="Hyperlink"/>
            <w:sz w:val="16"/>
            <w:szCs w:val="16"/>
          </w:rPr>
          <w:t>https://www.smh.com.au/national/nsw/nsw-treasury-secretary-mike-pratt-resigns-after-leadership-speculation-20220125-p59r1o.html</w:t>
        </w:r>
      </w:hyperlink>
    </w:p>
    <w:p w14:paraId="4EE09B7A" w14:textId="77777777" w:rsidR="003153C7" w:rsidRPr="004E074A" w:rsidRDefault="003153C7" w:rsidP="003153C7">
      <w:pPr>
        <w:pStyle w:val="FootnoteText"/>
        <w:rPr>
          <w:sz w:val="16"/>
          <w:szCs w:val="16"/>
        </w:rPr>
      </w:pPr>
    </w:p>
  </w:footnote>
  <w:footnote w:id="3">
    <w:p w14:paraId="502257AC" w14:textId="77777777" w:rsidR="003153C7" w:rsidRPr="004E074A" w:rsidRDefault="003153C7" w:rsidP="003153C7">
      <w:pPr>
        <w:pStyle w:val="FootnoteText"/>
        <w:rPr>
          <w:sz w:val="16"/>
          <w:szCs w:val="16"/>
        </w:rPr>
      </w:pPr>
      <w:r w:rsidRPr="004E074A">
        <w:rPr>
          <w:rStyle w:val="FootnoteReference"/>
          <w:sz w:val="16"/>
          <w:szCs w:val="16"/>
        </w:rPr>
        <w:footnoteRef/>
      </w:r>
      <w:r w:rsidRPr="004E074A">
        <w:rPr>
          <w:sz w:val="16"/>
          <w:szCs w:val="16"/>
        </w:rPr>
        <w:t xml:space="preserve"> </w:t>
      </w:r>
      <w:hyperlink r:id="rId3" w:history="1">
        <w:r w:rsidRPr="004E074A">
          <w:rPr>
            <w:rStyle w:val="Hyperlink"/>
            <w:sz w:val="16"/>
            <w:szCs w:val="16"/>
          </w:rPr>
          <w:t>https://www.theguardian.com/australia-news/2022/jan/24/accounting-sham-transport-body-set-up-to-improve-nsws-budget-bottom-line-could-need-41bn-injection</w:t>
        </w:r>
      </w:hyperlink>
    </w:p>
    <w:p w14:paraId="508A47C3" w14:textId="77777777" w:rsidR="003153C7" w:rsidRPr="004E074A" w:rsidRDefault="003153C7" w:rsidP="003153C7">
      <w:pPr>
        <w:pStyle w:val="FootnoteText"/>
        <w:rPr>
          <w:sz w:val="16"/>
          <w:szCs w:val="16"/>
        </w:rPr>
      </w:pPr>
    </w:p>
  </w:footnote>
  <w:footnote w:id="4">
    <w:p w14:paraId="17C43BA6" w14:textId="77777777" w:rsidR="00196AE5" w:rsidRPr="004E074A" w:rsidRDefault="00196AE5" w:rsidP="00196AE5">
      <w:pPr>
        <w:pStyle w:val="FootnoteText"/>
        <w:rPr>
          <w:sz w:val="16"/>
          <w:szCs w:val="16"/>
        </w:rPr>
      </w:pPr>
      <w:r w:rsidRPr="004E074A">
        <w:rPr>
          <w:rStyle w:val="FootnoteReference"/>
          <w:sz w:val="16"/>
          <w:szCs w:val="16"/>
        </w:rPr>
        <w:footnoteRef/>
      </w:r>
      <w:hyperlink r:id="rId4" w:history="1">
        <w:r w:rsidRPr="004E074A">
          <w:rPr>
            <w:rStyle w:val="Hyperlink"/>
            <w:sz w:val="16"/>
            <w:szCs w:val="16"/>
          </w:rPr>
          <w:t>https://www.parliament.nsw.gov.au/lcdocs/submissions/76604/0005a%20Transport%20Asset%20Holding%20Entity%20of%20New%20South%20Wales.pdf</w:t>
        </w:r>
      </w:hyperlink>
    </w:p>
    <w:p w14:paraId="5E30FD89" w14:textId="77777777" w:rsidR="00196AE5" w:rsidRPr="00D75B5F" w:rsidRDefault="00196AE5" w:rsidP="00196AE5">
      <w:pPr>
        <w:pStyle w:val="FootnoteText"/>
        <w:rPr>
          <w:sz w:val="16"/>
          <w:szCs w:val="16"/>
        </w:rPr>
      </w:pPr>
    </w:p>
  </w:footnote>
  <w:footnote w:id="5">
    <w:p w14:paraId="7A2AF025" w14:textId="09C51992" w:rsidR="008D7B39" w:rsidRDefault="008D7B39">
      <w:pPr>
        <w:pStyle w:val="FootnoteText"/>
        <w:rPr>
          <w:sz w:val="16"/>
          <w:szCs w:val="16"/>
        </w:rPr>
      </w:pPr>
      <w:r w:rsidRPr="00C66FF6">
        <w:rPr>
          <w:rStyle w:val="FootnoteReference"/>
          <w:sz w:val="16"/>
          <w:szCs w:val="16"/>
        </w:rPr>
        <w:footnoteRef/>
      </w:r>
      <w:r w:rsidRPr="00C66FF6">
        <w:rPr>
          <w:sz w:val="16"/>
          <w:szCs w:val="16"/>
        </w:rPr>
        <w:t xml:space="preserve"> There was another rail crash commission – into the Waterfall incident.  </w:t>
      </w:r>
      <w:r w:rsidR="00C66FF6" w:rsidRPr="00C66FF6">
        <w:rPr>
          <w:sz w:val="16"/>
          <w:szCs w:val="16"/>
        </w:rPr>
        <w:t xml:space="preserve">Cabinet submission: </w:t>
      </w:r>
      <w:hyperlink r:id="rId5" w:history="1">
        <w:r w:rsidR="00C66FF6" w:rsidRPr="007F630C">
          <w:rPr>
            <w:rStyle w:val="Hyperlink"/>
            <w:sz w:val="16"/>
            <w:szCs w:val="16"/>
          </w:rPr>
          <w:t>https://www.parliament.nsw.gov.au/lcdocs/other/16111/TRANSPORT_TENDER_002.pdf</w:t>
        </w:r>
      </w:hyperlink>
    </w:p>
    <w:p w14:paraId="66889546" w14:textId="77777777" w:rsidR="0038214B" w:rsidRPr="004B404A" w:rsidRDefault="0038214B">
      <w:pPr>
        <w:pStyle w:val="FootnoteText"/>
        <w:rPr>
          <w:sz w:val="16"/>
          <w:szCs w:val="16"/>
        </w:rPr>
      </w:pPr>
    </w:p>
  </w:footnote>
  <w:footnote w:id="6">
    <w:p w14:paraId="0A3D89C5" w14:textId="64D48BA4" w:rsidR="004B404A" w:rsidRPr="004B404A" w:rsidRDefault="004B404A">
      <w:pPr>
        <w:pStyle w:val="FootnoteText"/>
        <w:rPr>
          <w:sz w:val="16"/>
          <w:szCs w:val="16"/>
        </w:rPr>
      </w:pPr>
      <w:r w:rsidRPr="004B404A">
        <w:rPr>
          <w:rStyle w:val="FootnoteReference"/>
          <w:sz w:val="16"/>
          <w:szCs w:val="16"/>
        </w:rPr>
        <w:footnoteRef/>
      </w:r>
      <w:r w:rsidRPr="004B404A">
        <w:rPr>
          <w:sz w:val="16"/>
          <w:szCs w:val="16"/>
        </w:rPr>
        <w:t xml:space="preserve"> The </w:t>
      </w:r>
      <w:r>
        <w:rPr>
          <w:sz w:val="16"/>
          <w:szCs w:val="16"/>
        </w:rPr>
        <w:t xml:space="preserve">changing </w:t>
      </w:r>
      <w:r w:rsidRPr="004B404A">
        <w:rPr>
          <w:sz w:val="16"/>
          <w:szCs w:val="16"/>
        </w:rPr>
        <w:t xml:space="preserve">approach to ‘rail safety and maintenance’ is shown in a Table at </w:t>
      </w:r>
      <w:hyperlink r:id="rId6" w:history="1">
        <w:r w:rsidRPr="004B404A">
          <w:rPr>
            <w:rStyle w:val="Hyperlink"/>
            <w:sz w:val="16"/>
            <w:szCs w:val="16"/>
          </w:rPr>
          <w:t>https://www.thejadebeagle.com/policy-spad-update-2-background.html</w:t>
        </w:r>
      </w:hyperlink>
      <w:r w:rsidRPr="004B404A">
        <w:rPr>
          <w:sz w:val="16"/>
          <w:szCs w:val="16"/>
        </w:rPr>
        <w:t xml:space="preserve"> </w:t>
      </w:r>
      <w:r w:rsidR="00A85990" w:rsidRPr="004B404A">
        <w:rPr>
          <w:sz w:val="16"/>
          <w:szCs w:val="16"/>
        </w:rPr>
        <w:t>e.g.,</w:t>
      </w:r>
      <w:r w:rsidRPr="004B404A">
        <w:rPr>
          <w:sz w:val="16"/>
          <w:szCs w:val="16"/>
        </w:rPr>
        <w:t xml:space="preserve"> Secretariat document.</w:t>
      </w:r>
    </w:p>
    <w:p w14:paraId="24EDFC7D" w14:textId="32588D9D" w:rsidR="004B404A" w:rsidRPr="004B404A" w:rsidRDefault="004B404A">
      <w:pPr>
        <w:pStyle w:val="FootnoteText"/>
        <w:rPr>
          <w:sz w:val="16"/>
          <w:szCs w:val="16"/>
        </w:rPr>
      </w:pPr>
      <w:r w:rsidRPr="004B404A">
        <w:rPr>
          <w:sz w:val="16"/>
          <w:szCs w:val="16"/>
        </w:rPr>
        <w:t xml:space="preserve"> </w:t>
      </w:r>
    </w:p>
  </w:footnote>
  <w:footnote w:id="7">
    <w:p w14:paraId="1FD49C55" w14:textId="77777777" w:rsidR="0064630F" w:rsidRDefault="0064630F" w:rsidP="0064630F">
      <w:pPr>
        <w:pStyle w:val="FootnoteText"/>
        <w:rPr>
          <w:sz w:val="16"/>
          <w:szCs w:val="16"/>
        </w:rPr>
      </w:pPr>
      <w:r w:rsidRPr="00D75B5F">
        <w:rPr>
          <w:rStyle w:val="FootnoteReference"/>
          <w:sz w:val="16"/>
          <w:szCs w:val="16"/>
        </w:rPr>
        <w:footnoteRef/>
      </w:r>
      <w:r w:rsidRPr="00D75B5F">
        <w:rPr>
          <w:sz w:val="16"/>
          <w:szCs w:val="16"/>
        </w:rPr>
        <w:t xml:space="preserve"> </w:t>
      </w:r>
      <w:hyperlink r:id="rId7" w:history="1">
        <w:r w:rsidRPr="00D75B5F">
          <w:rPr>
            <w:rStyle w:val="Hyperlink"/>
            <w:sz w:val="16"/>
            <w:szCs w:val="16"/>
          </w:rPr>
          <w:t>https://www.thejadebeagle.com/policy-spad-update.html</w:t>
        </w:r>
      </w:hyperlink>
      <w:r w:rsidRPr="00D75B5F">
        <w:rPr>
          <w:sz w:val="16"/>
          <w:szCs w:val="16"/>
        </w:rPr>
        <w:t>;</w:t>
      </w:r>
    </w:p>
    <w:p w14:paraId="3A7E372E" w14:textId="77777777" w:rsidR="0064630F" w:rsidRDefault="0064630F" w:rsidP="0064630F">
      <w:pPr>
        <w:pStyle w:val="FootnoteText"/>
        <w:rPr>
          <w:sz w:val="16"/>
          <w:szCs w:val="16"/>
        </w:rPr>
      </w:pPr>
      <w:hyperlink r:id="rId8" w:history="1">
        <w:r w:rsidRPr="007F630C">
          <w:rPr>
            <w:rStyle w:val="Hyperlink"/>
            <w:sz w:val="16"/>
            <w:szCs w:val="16"/>
          </w:rPr>
          <w:t>https://johnmenadue.com/policy-wreck-were-being-told-two-contradictory-stories-about-nsw-trains/</w:t>
        </w:r>
      </w:hyperlink>
      <w:r>
        <w:rPr>
          <w:sz w:val="16"/>
          <w:szCs w:val="16"/>
        </w:rPr>
        <w:t>;</w:t>
      </w:r>
    </w:p>
    <w:p w14:paraId="1717B26F" w14:textId="77777777" w:rsidR="0064630F" w:rsidRDefault="0064630F" w:rsidP="0064630F">
      <w:pPr>
        <w:pStyle w:val="FootnoteText"/>
        <w:rPr>
          <w:sz w:val="16"/>
          <w:szCs w:val="16"/>
        </w:rPr>
      </w:pPr>
      <w:hyperlink r:id="rId9" w:history="1">
        <w:r w:rsidRPr="00D75B5F">
          <w:rPr>
            <w:rStyle w:val="Hyperlink"/>
            <w:sz w:val="16"/>
            <w:szCs w:val="16"/>
          </w:rPr>
          <w:t>https://www.thejadebeagle.com/policy-spad-update-2-background.html</w:t>
        </w:r>
      </w:hyperlink>
    </w:p>
    <w:p w14:paraId="0325142F" w14:textId="77777777" w:rsidR="0064630F" w:rsidRPr="003B7FBE" w:rsidRDefault="0064630F" w:rsidP="0064630F">
      <w:pPr>
        <w:spacing w:after="0"/>
        <w:rPr>
          <w:sz w:val="16"/>
          <w:szCs w:val="16"/>
        </w:rPr>
      </w:pPr>
      <w:r w:rsidRPr="003B7FBE">
        <w:rPr>
          <w:sz w:val="16"/>
          <w:szCs w:val="16"/>
        </w:rPr>
        <w:t xml:space="preserve">Coincidentally, </w:t>
      </w:r>
      <w:r>
        <w:rPr>
          <w:sz w:val="16"/>
          <w:szCs w:val="16"/>
        </w:rPr>
        <w:t xml:space="preserve">the last two were published </w:t>
      </w:r>
      <w:r w:rsidRPr="003B7FBE">
        <w:rPr>
          <w:sz w:val="16"/>
          <w:szCs w:val="16"/>
        </w:rPr>
        <w:t xml:space="preserve">the day prior to and the day of the date on the </w:t>
      </w:r>
      <w:r>
        <w:rPr>
          <w:sz w:val="16"/>
          <w:szCs w:val="16"/>
        </w:rPr>
        <w:t xml:space="preserve">Entity’s </w:t>
      </w:r>
      <w:r w:rsidRPr="003B7FBE">
        <w:rPr>
          <w:sz w:val="16"/>
          <w:szCs w:val="16"/>
        </w:rPr>
        <w:t>supplementary submission.</w:t>
      </w:r>
    </w:p>
    <w:p w14:paraId="408409F8" w14:textId="77777777" w:rsidR="0064630F" w:rsidRPr="00C66FF6" w:rsidRDefault="0064630F" w:rsidP="0064630F">
      <w:pPr>
        <w:pStyle w:val="FootnoteText"/>
        <w:rPr>
          <w:sz w:val="16"/>
          <w:szCs w:val="16"/>
        </w:rPr>
      </w:pPr>
    </w:p>
  </w:footnote>
  <w:footnote w:id="8">
    <w:p w14:paraId="0054A357" w14:textId="069C4DDF" w:rsidR="00C66FF6" w:rsidRPr="00C66FF6" w:rsidRDefault="00C66FF6">
      <w:pPr>
        <w:pStyle w:val="FootnoteText"/>
        <w:rPr>
          <w:sz w:val="16"/>
          <w:szCs w:val="16"/>
        </w:rPr>
      </w:pPr>
      <w:r w:rsidRPr="00C66FF6">
        <w:rPr>
          <w:rStyle w:val="FootnoteReference"/>
          <w:sz w:val="16"/>
          <w:szCs w:val="16"/>
        </w:rPr>
        <w:footnoteRef/>
      </w:r>
      <w:r w:rsidRPr="00C66FF6">
        <w:rPr>
          <w:sz w:val="16"/>
          <w:szCs w:val="16"/>
        </w:rPr>
        <w:t xml:space="preserve"> </w:t>
      </w:r>
      <w:hyperlink r:id="rId10" w:history="1">
        <w:r w:rsidRPr="00C66FF6">
          <w:rPr>
            <w:rStyle w:val="Hyperlink"/>
            <w:sz w:val="16"/>
            <w:szCs w:val="16"/>
          </w:rPr>
          <w:t>https://www.phrases.org.uk/meanings/280900.html</w:t>
        </w:r>
      </w:hyperlink>
    </w:p>
    <w:p w14:paraId="1A1B22C4" w14:textId="77777777" w:rsidR="00C66FF6" w:rsidRDefault="00C66F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2BFE" w14:textId="77777777" w:rsidR="00A343E7" w:rsidRDefault="00A3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A797" w14:textId="77777777" w:rsidR="00A343E7" w:rsidRDefault="00A3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B4D4" w14:textId="77777777" w:rsidR="00A343E7" w:rsidRDefault="00A3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7E0"/>
    <w:multiLevelType w:val="hybridMultilevel"/>
    <w:tmpl w:val="B8E4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F0"/>
    <w:rsid w:val="00046CAF"/>
    <w:rsid w:val="000C2667"/>
    <w:rsid w:val="000D7AA7"/>
    <w:rsid w:val="00196AE5"/>
    <w:rsid w:val="001A7AD1"/>
    <w:rsid w:val="001E2B79"/>
    <w:rsid w:val="003153C7"/>
    <w:rsid w:val="0038214B"/>
    <w:rsid w:val="003B5C2A"/>
    <w:rsid w:val="003B7FBE"/>
    <w:rsid w:val="003D56A7"/>
    <w:rsid w:val="003E31B4"/>
    <w:rsid w:val="004256AB"/>
    <w:rsid w:val="00440B52"/>
    <w:rsid w:val="004B404A"/>
    <w:rsid w:val="004E074A"/>
    <w:rsid w:val="005024B0"/>
    <w:rsid w:val="005D772E"/>
    <w:rsid w:val="0064630F"/>
    <w:rsid w:val="006478F2"/>
    <w:rsid w:val="00751CE1"/>
    <w:rsid w:val="0075292D"/>
    <w:rsid w:val="007B0B13"/>
    <w:rsid w:val="00846B63"/>
    <w:rsid w:val="008D7B39"/>
    <w:rsid w:val="009C7AB2"/>
    <w:rsid w:val="009D1F45"/>
    <w:rsid w:val="009F78CA"/>
    <w:rsid w:val="00A343E7"/>
    <w:rsid w:val="00A46AA4"/>
    <w:rsid w:val="00A5027A"/>
    <w:rsid w:val="00A85990"/>
    <w:rsid w:val="00AA513D"/>
    <w:rsid w:val="00B87D0C"/>
    <w:rsid w:val="00BC1324"/>
    <w:rsid w:val="00C27FE9"/>
    <w:rsid w:val="00C37E0A"/>
    <w:rsid w:val="00C66FF6"/>
    <w:rsid w:val="00C858CA"/>
    <w:rsid w:val="00CD7FF0"/>
    <w:rsid w:val="00D104BA"/>
    <w:rsid w:val="00D31707"/>
    <w:rsid w:val="00D75B5F"/>
    <w:rsid w:val="00D80A84"/>
    <w:rsid w:val="00DD72DE"/>
    <w:rsid w:val="00DF1B61"/>
    <w:rsid w:val="00E22C30"/>
    <w:rsid w:val="00EA76DA"/>
    <w:rsid w:val="00EC2680"/>
    <w:rsid w:val="00F51F6A"/>
    <w:rsid w:val="00FF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1DC"/>
  <w15:chartTrackingRefBased/>
  <w15:docId w15:val="{68A1E0DF-053A-46BA-9D10-DD920268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74A"/>
    <w:pPr>
      <w:keepNext/>
      <w:keepLines/>
      <w:spacing w:before="40" w:after="0"/>
      <w:outlineLvl w:val="1"/>
    </w:pPr>
    <w:rPr>
      <w:rFonts w:ascii="Calibri" w:eastAsiaTheme="majorEastAsia" w:hAnsi="Calibr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2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E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79"/>
    <w:rPr>
      <w:sz w:val="20"/>
      <w:szCs w:val="20"/>
    </w:rPr>
  </w:style>
  <w:style w:type="character" w:styleId="FootnoteReference">
    <w:name w:val="footnote reference"/>
    <w:basedOn w:val="DefaultParagraphFont"/>
    <w:uiPriority w:val="99"/>
    <w:semiHidden/>
    <w:unhideWhenUsed/>
    <w:rsid w:val="001E2B79"/>
    <w:rPr>
      <w:vertAlign w:val="superscript"/>
    </w:rPr>
  </w:style>
  <w:style w:type="character" w:customStyle="1" w:styleId="Heading2Char">
    <w:name w:val="Heading 2 Char"/>
    <w:basedOn w:val="DefaultParagraphFont"/>
    <w:link w:val="Heading2"/>
    <w:uiPriority w:val="9"/>
    <w:rsid w:val="004E074A"/>
    <w:rPr>
      <w:rFonts w:ascii="Calibri" w:eastAsiaTheme="majorEastAsia" w:hAnsi="Calibri" w:cstheme="majorBidi"/>
      <w:b/>
      <w:color w:val="2F5496" w:themeColor="accent1" w:themeShade="BF"/>
      <w:sz w:val="26"/>
      <w:szCs w:val="26"/>
    </w:rPr>
  </w:style>
  <w:style w:type="character" w:styleId="Hyperlink">
    <w:name w:val="Hyperlink"/>
    <w:basedOn w:val="DefaultParagraphFont"/>
    <w:uiPriority w:val="99"/>
    <w:unhideWhenUsed/>
    <w:rsid w:val="00F51F6A"/>
    <w:rPr>
      <w:color w:val="0563C1" w:themeColor="hyperlink"/>
      <w:u w:val="single"/>
    </w:rPr>
  </w:style>
  <w:style w:type="character" w:styleId="UnresolvedMention">
    <w:name w:val="Unresolved Mention"/>
    <w:basedOn w:val="DefaultParagraphFont"/>
    <w:uiPriority w:val="99"/>
    <w:semiHidden/>
    <w:unhideWhenUsed/>
    <w:rsid w:val="00F51F6A"/>
    <w:rPr>
      <w:color w:val="605E5C"/>
      <w:shd w:val="clear" w:color="auto" w:fill="E1DFDD"/>
    </w:rPr>
  </w:style>
  <w:style w:type="paragraph" w:styleId="ListParagraph">
    <w:name w:val="List Paragraph"/>
    <w:basedOn w:val="Normal"/>
    <w:uiPriority w:val="34"/>
    <w:qFormat/>
    <w:rsid w:val="005024B0"/>
    <w:pPr>
      <w:ind w:left="720"/>
      <w:contextualSpacing/>
    </w:pPr>
  </w:style>
  <w:style w:type="paragraph" w:styleId="Header">
    <w:name w:val="header"/>
    <w:basedOn w:val="Normal"/>
    <w:link w:val="HeaderChar"/>
    <w:uiPriority w:val="99"/>
    <w:unhideWhenUsed/>
    <w:rsid w:val="00A3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E7"/>
  </w:style>
  <w:style w:type="paragraph" w:styleId="Footer">
    <w:name w:val="footer"/>
    <w:basedOn w:val="Normal"/>
    <w:link w:val="FooterChar"/>
    <w:uiPriority w:val="99"/>
    <w:unhideWhenUsed/>
    <w:rsid w:val="00A3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ohnmenadue.com/policy-wreck-were-being-told-two-contradictory-stories-about-nsw-trains/" TargetMode="External"/><Relationship Id="rId3" Type="http://schemas.openxmlformats.org/officeDocument/2006/relationships/hyperlink" Target="https://www.theguardian.com/australia-news/2022/jan/24/accounting-sham-transport-body-set-up-to-improve-nsws-budget-bottom-line-could-need-41bn-injection" TargetMode="External"/><Relationship Id="rId7" Type="http://schemas.openxmlformats.org/officeDocument/2006/relationships/hyperlink" Target="https://www.thejadebeagle.com/policy-spad-update.html" TargetMode="External"/><Relationship Id="rId2" Type="http://schemas.openxmlformats.org/officeDocument/2006/relationships/hyperlink" Target="https://www.smh.com.au/national/nsw/nsw-treasury-secretary-mike-pratt-resigns-after-leadership-speculation-20220125-p59r1o.html" TargetMode="External"/><Relationship Id="rId1" Type="http://schemas.openxmlformats.org/officeDocument/2006/relationships/hyperlink" Target="https://www.parliament.nsw.gov.au/committees/inquiries/Pages/inquiry-details.aspx?pk=2819" TargetMode="External"/><Relationship Id="rId6" Type="http://schemas.openxmlformats.org/officeDocument/2006/relationships/hyperlink" Target="https://www.thejadebeagle.com/policy-spad-update-2-background.html" TargetMode="External"/><Relationship Id="rId5" Type="http://schemas.openxmlformats.org/officeDocument/2006/relationships/hyperlink" Target="https://www.parliament.nsw.gov.au/lcdocs/other/16111/TRANSPORT_TENDER_002.pdf" TargetMode="External"/><Relationship Id="rId10" Type="http://schemas.openxmlformats.org/officeDocument/2006/relationships/hyperlink" Target="https://www.phrases.org.uk/meanings/280900.html" TargetMode="External"/><Relationship Id="rId4" Type="http://schemas.openxmlformats.org/officeDocument/2006/relationships/hyperlink" Target="https://www.parliament.nsw.gov.au/lcdocs/submissions/76604/0005a%20Transport%20Asset%20Holding%20Entity%20of%20New%20South%20Wales.pdf" TargetMode="External"/><Relationship Id="rId9" Type="http://schemas.openxmlformats.org/officeDocument/2006/relationships/hyperlink" Target="https://www.thejadebeagle.com/policy-spad-update-2-back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58A3-6CD2-40A4-A1F7-47D4ED9B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16</cp:revision>
  <dcterms:created xsi:type="dcterms:W3CDTF">2022-01-29T01:12:00Z</dcterms:created>
  <dcterms:modified xsi:type="dcterms:W3CDTF">2022-01-30T04:37:00Z</dcterms:modified>
</cp:coreProperties>
</file>