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AU"/>
        </w:rPr>
        <w:id w:val="954760289"/>
        <w:docPartObj>
          <w:docPartGallery w:val="Table of Contents"/>
          <w:docPartUnique/>
        </w:docPartObj>
      </w:sdtPr>
      <w:sdtEndPr>
        <w:rPr>
          <w:b/>
          <w:bCs/>
          <w:noProof/>
        </w:rPr>
      </w:sdtEndPr>
      <w:sdtContent>
        <w:p w14:paraId="4CE8FC2D" w14:textId="135419F5" w:rsidR="00EE300B" w:rsidRDefault="00EE300B" w:rsidP="00880EC6">
          <w:pPr>
            <w:pStyle w:val="TOCHeading"/>
            <w:spacing w:before="0"/>
          </w:pPr>
          <w:r>
            <w:t>Contents</w:t>
          </w:r>
        </w:p>
        <w:p w14:paraId="5FF8886A" w14:textId="0DAC358B" w:rsidR="00CD7501" w:rsidRDefault="00EE300B">
          <w:pPr>
            <w:pStyle w:val="TOC2"/>
            <w:tabs>
              <w:tab w:val="right" w:leader="dot" w:pos="9016"/>
            </w:tabs>
            <w:rPr>
              <w:rFonts w:eastAsiaTheme="minorEastAsia"/>
              <w:noProof/>
              <w:lang w:eastAsia="en-AU"/>
            </w:rPr>
          </w:pPr>
          <w:r>
            <w:fldChar w:fldCharType="begin"/>
          </w:r>
          <w:r>
            <w:instrText xml:space="preserve"> TOC \o "1-3" \h \z \u </w:instrText>
          </w:r>
          <w:r>
            <w:fldChar w:fldCharType="separate"/>
          </w:r>
          <w:hyperlink w:anchor="_Toc115358070" w:history="1">
            <w:r w:rsidR="00CD7501" w:rsidRPr="00D1221A">
              <w:rPr>
                <w:rStyle w:val="Hyperlink"/>
                <w:noProof/>
              </w:rPr>
              <w:t>Summary</w:t>
            </w:r>
            <w:r w:rsidR="00CD7501">
              <w:rPr>
                <w:noProof/>
                <w:webHidden/>
              </w:rPr>
              <w:tab/>
            </w:r>
            <w:r w:rsidR="00CD7501">
              <w:rPr>
                <w:noProof/>
                <w:webHidden/>
              </w:rPr>
              <w:fldChar w:fldCharType="begin"/>
            </w:r>
            <w:r w:rsidR="00CD7501">
              <w:rPr>
                <w:noProof/>
                <w:webHidden/>
              </w:rPr>
              <w:instrText xml:space="preserve"> PAGEREF _Toc115358070 \h </w:instrText>
            </w:r>
            <w:r w:rsidR="00CD7501">
              <w:rPr>
                <w:noProof/>
                <w:webHidden/>
              </w:rPr>
            </w:r>
            <w:r w:rsidR="00CD7501">
              <w:rPr>
                <w:noProof/>
                <w:webHidden/>
              </w:rPr>
              <w:fldChar w:fldCharType="separate"/>
            </w:r>
            <w:r w:rsidR="00CD7501">
              <w:rPr>
                <w:noProof/>
                <w:webHidden/>
              </w:rPr>
              <w:t>2</w:t>
            </w:r>
            <w:r w:rsidR="00CD7501">
              <w:rPr>
                <w:noProof/>
                <w:webHidden/>
              </w:rPr>
              <w:fldChar w:fldCharType="end"/>
            </w:r>
          </w:hyperlink>
        </w:p>
        <w:p w14:paraId="5C96271E" w14:textId="4951DD84" w:rsidR="00CD7501" w:rsidRDefault="00CD7501">
          <w:pPr>
            <w:pStyle w:val="TOC2"/>
            <w:tabs>
              <w:tab w:val="left" w:pos="660"/>
              <w:tab w:val="right" w:leader="dot" w:pos="9016"/>
            </w:tabs>
            <w:rPr>
              <w:rFonts w:eastAsiaTheme="minorEastAsia"/>
              <w:noProof/>
              <w:lang w:eastAsia="en-AU"/>
            </w:rPr>
          </w:pPr>
          <w:hyperlink w:anchor="_Toc115358071" w:history="1">
            <w:r w:rsidRPr="00D1221A">
              <w:rPr>
                <w:rStyle w:val="Hyperlink"/>
                <w:noProof/>
              </w:rPr>
              <w:t>1.</w:t>
            </w:r>
            <w:r>
              <w:rPr>
                <w:rFonts w:eastAsiaTheme="minorEastAsia"/>
                <w:noProof/>
                <w:lang w:eastAsia="en-AU"/>
              </w:rPr>
              <w:tab/>
            </w:r>
            <w:r w:rsidRPr="00D1221A">
              <w:rPr>
                <w:rStyle w:val="Hyperlink"/>
                <w:noProof/>
              </w:rPr>
              <w:t>Introduction</w:t>
            </w:r>
            <w:r>
              <w:rPr>
                <w:noProof/>
                <w:webHidden/>
              </w:rPr>
              <w:tab/>
            </w:r>
            <w:r>
              <w:rPr>
                <w:noProof/>
                <w:webHidden/>
              </w:rPr>
              <w:fldChar w:fldCharType="begin"/>
            </w:r>
            <w:r>
              <w:rPr>
                <w:noProof/>
                <w:webHidden/>
              </w:rPr>
              <w:instrText xml:space="preserve"> PAGEREF _Toc115358071 \h </w:instrText>
            </w:r>
            <w:r>
              <w:rPr>
                <w:noProof/>
                <w:webHidden/>
              </w:rPr>
            </w:r>
            <w:r>
              <w:rPr>
                <w:noProof/>
                <w:webHidden/>
              </w:rPr>
              <w:fldChar w:fldCharType="separate"/>
            </w:r>
            <w:r>
              <w:rPr>
                <w:noProof/>
                <w:webHidden/>
              </w:rPr>
              <w:t>3</w:t>
            </w:r>
            <w:r>
              <w:rPr>
                <w:noProof/>
                <w:webHidden/>
              </w:rPr>
              <w:fldChar w:fldCharType="end"/>
            </w:r>
          </w:hyperlink>
        </w:p>
        <w:p w14:paraId="07679739" w14:textId="0BEFEC7E" w:rsidR="00CD7501" w:rsidRDefault="00CD7501">
          <w:pPr>
            <w:pStyle w:val="TOC2"/>
            <w:tabs>
              <w:tab w:val="left" w:pos="660"/>
              <w:tab w:val="right" w:leader="dot" w:pos="9016"/>
            </w:tabs>
            <w:rPr>
              <w:rFonts w:eastAsiaTheme="minorEastAsia"/>
              <w:noProof/>
              <w:lang w:eastAsia="en-AU"/>
            </w:rPr>
          </w:pPr>
          <w:hyperlink w:anchor="_Toc115358072" w:history="1">
            <w:r w:rsidRPr="00D1221A">
              <w:rPr>
                <w:rStyle w:val="Hyperlink"/>
                <w:noProof/>
              </w:rPr>
              <w:t>2.</w:t>
            </w:r>
            <w:r>
              <w:rPr>
                <w:rFonts w:eastAsiaTheme="minorEastAsia"/>
                <w:noProof/>
                <w:lang w:eastAsia="en-AU"/>
              </w:rPr>
              <w:tab/>
            </w:r>
            <w:r w:rsidRPr="00D1221A">
              <w:rPr>
                <w:rStyle w:val="Hyperlink"/>
                <w:noProof/>
              </w:rPr>
              <w:t>The appointments</w:t>
            </w:r>
            <w:r>
              <w:rPr>
                <w:noProof/>
                <w:webHidden/>
              </w:rPr>
              <w:tab/>
            </w:r>
            <w:r>
              <w:rPr>
                <w:noProof/>
                <w:webHidden/>
              </w:rPr>
              <w:fldChar w:fldCharType="begin"/>
            </w:r>
            <w:r>
              <w:rPr>
                <w:noProof/>
                <w:webHidden/>
              </w:rPr>
              <w:instrText xml:space="preserve"> PAGEREF _Toc115358072 \h </w:instrText>
            </w:r>
            <w:r>
              <w:rPr>
                <w:noProof/>
                <w:webHidden/>
              </w:rPr>
            </w:r>
            <w:r>
              <w:rPr>
                <w:noProof/>
                <w:webHidden/>
              </w:rPr>
              <w:fldChar w:fldCharType="separate"/>
            </w:r>
            <w:r>
              <w:rPr>
                <w:noProof/>
                <w:webHidden/>
              </w:rPr>
              <w:t>4</w:t>
            </w:r>
            <w:r>
              <w:rPr>
                <w:noProof/>
                <w:webHidden/>
              </w:rPr>
              <w:fldChar w:fldCharType="end"/>
            </w:r>
          </w:hyperlink>
        </w:p>
        <w:p w14:paraId="2C2119B5" w14:textId="55E34B07" w:rsidR="00CD7501" w:rsidRDefault="00CD7501">
          <w:pPr>
            <w:pStyle w:val="TOC2"/>
            <w:tabs>
              <w:tab w:val="left" w:pos="660"/>
              <w:tab w:val="right" w:leader="dot" w:pos="9016"/>
            </w:tabs>
            <w:rPr>
              <w:rFonts w:eastAsiaTheme="minorEastAsia"/>
              <w:noProof/>
              <w:lang w:eastAsia="en-AU"/>
            </w:rPr>
          </w:pPr>
          <w:hyperlink w:anchor="_Toc115358073" w:history="1">
            <w:r w:rsidRPr="00D1221A">
              <w:rPr>
                <w:rStyle w:val="Hyperlink"/>
                <w:noProof/>
              </w:rPr>
              <w:t>3.</w:t>
            </w:r>
            <w:r>
              <w:rPr>
                <w:rFonts w:eastAsiaTheme="minorEastAsia"/>
                <w:noProof/>
                <w:lang w:eastAsia="en-AU"/>
              </w:rPr>
              <w:tab/>
            </w:r>
            <w:r w:rsidRPr="00D1221A">
              <w:rPr>
                <w:rStyle w:val="Hyperlink"/>
                <w:noProof/>
              </w:rPr>
              <w:t>Solicitor General’s opinion</w:t>
            </w:r>
            <w:r>
              <w:rPr>
                <w:noProof/>
                <w:webHidden/>
              </w:rPr>
              <w:tab/>
            </w:r>
            <w:r>
              <w:rPr>
                <w:noProof/>
                <w:webHidden/>
              </w:rPr>
              <w:fldChar w:fldCharType="begin"/>
            </w:r>
            <w:r>
              <w:rPr>
                <w:noProof/>
                <w:webHidden/>
              </w:rPr>
              <w:instrText xml:space="preserve"> PAGEREF _Toc115358073 \h </w:instrText>
            </w:r>
            <w:r>
              <w:rPr>
                <w:noProof/>
                <w:webHidden/>
              </w:rPr>
            </w:r>
            <w:r>
              <w:rPr>
                <w:noProof/>
                <w:webHidden/>
              </w:rPr>
              <w:fldChar w:fldCharType="separate"/>
            </w:r>
            <w:r>
              <w:rPr>
                <w:noProof/>
                <w:webHidden/>
              </w:rPr>
              <w:t>5</w:t>
            </w:r>
            <w:r>
              <w:rPr>
                <w:noProof/>
                <w:webHidden/>
              </w:rPr>
              <w:fldChar w:fldCharType="end"/>
            </w:r>
          </w:hyperlink>
        </w:p>
        <w:p w14:paraId="0CE410D8" w14:textId="34D7C752" w:rsidR="00CD7501" w:rsidRDefault="00CD7501">
          <w:pPr>
            <w:pStyle w:val="TOC3"/>
            <w:tabs>
              <w:tab w:val="left" w:pos="1100"/>
              <w:tab w:val="right" w:leader="dot" w:pos="9016"/>
            </w:tabs>
            <w:rPr>
              <w:rFonts w:eastAsiaTheme="minorEastAsia"/>
              <w:noProof/>
              <w:lang w:eastAsia="en-AU"/>
            </w:rPr>
          </w:pPr>
          <w:hyperlink w:anchor="_Toc115358074" w:history="1">
            <w:r w:rsidRPr="00D1221A">
              <w:rPr>
                <w:rStyle w:val="Hyperlink"/>
                <w:noProof/>
              </w:rPr>
              <w:t>3.1</w:t>
            </w:r>
            <w:r>
              <w:rPr>
                <w:rFonts w:eastAsiaTheme="minorEastAsia"/>
                <w:noProof/>
                <w:lang w:eastAsia="en-AU"/>
              </w:rPr>
              <w:tab/>
            </w:r>
            <w:r w:rsidRPr="00D1221A">
              <w:rPr>
                <w:rStyle w:val="Hyperlink"/>
                <w:noProof/>
              </w:rPr>
              <w:t>Sections</w:t>
            </w:r>
            <w:r>
              <w:rPr>
                <w:noProof/>
                <w:webHidden/>
              </w:rPr>
              <w:tab/>
            </w:r>
            <w:r>
              <w:rPr>
                <w:noProof/>
                <w:webHidden/>
              </w:rPr>
              <w:fldChar w:fldCharType="begin"/>
            </w:r>
            <w:r>
              <w:rPr>
                <w:noProof/>
                <w:webHidden/>
              </w:rPr>
              <w:instrText xml:space="preserve"> PAGEREF _Toc115358074 \h </w:instrText>
            </w:r>
            <w:r>
              <w:rPr>
                <w:noProof/>
                <w:webHidden/>
              </w:rPr>
            </w:r>
            <w:r>
              <w:rPr>
                <w:noProof/>
                <w:webHidden/>
              </w:rPr>
              <w:fldChar w:fldCharType="separate"/>
            </w:r>
            <w:r>
              <w:rPr>
                <w:noProof/>
                <w:webHidden/>
              </w:rPr>
              <w:t>5</w:t>
            </w:r>
            <w:r>
              <w:rPr>
                <w:noProof/>
                <w:webHidden/>
              </w:rPr>
              <w:fldChar w:fldCharType="end"/>
            </w:r>
          </w:hyperlink>
        </w:p>
        <w:p w14:paraId="2466EB03" w14:textId="6E3A66EC" w:rsidR="00CD7501" w:rsidRDefault="00CD7501">
          <w:pPr>
            <w:pStyle w:val="TOC3"/>
            <w:tabs>
              <w:tab w:val="left" w:pos="1100"/>
              <w:tab w:val="right" w:leader="dot" w:pos="9016"/>
            </w:tabs>
            <w:rPr>
              <w:rFonts w:eastAsiaTheme="minorEastAsia"/>
              <w:noProof/>
              <w:lang w:eastAsia="en-AU"/>
            </w:rPr>
          </w:pPr>
          <w:hyperlink w:anchor="_Toc115358075" w:history="1">
            <w:r w:rsidRPr="00D1221A">
              <w:rPr>
                <w:rStyle w:val="Hyperlink"/>
                <w:noProof/>
              </w:rPr>
              <w:t>3.2</w:t>
            </w:r>
            <w:r>
              <w:rPr>
                <w:rFonts w:eastAsiaTheme="minorEastAsia"/>
                <w:noProof/>
                <w:lang w:eastAsia="en-AU"/>
              </w:rPr>
              <w:tab/>
            </w:r>
            <w:r w:rsidRPr="00D1221A">
              <w:rPr>
                <w:rStyle w:val="Hyperlink"/>
                <w:noProof/>
              </w:rPr>
              <w:t>Conventions</w:t>
            </w:r>
            <w:r>
              <w:rPr>
                <w:noProof/>
                <w:webHidden/>
              </w:rPr>
              <w:tab/>
            </w:r>
            <w:r>
              <w:rPr>
                <w:noProof/>
                <w:webHidden/>
              </w:rPr>
              <w:fldChar w:fldCharType="begin"/>
            </w:r>
            <w:r>
              <w:rPr>
                <w:noProof/>
                <w:webHidden/>
              </w:rPr>
              <w:instrText xml:space="preserve"> PAGEREF _Toc115358075 \h </w:instrText>
            </w:r>
            <w:r>
              <w:rPr>
                <w:noProof/>
                <w:webHidden/>
              </w:rPr>
            </w:r>
            <w:r>
              <w:rPr>
                <w:noProof/>
                <w:webHidden/>
              </w:rPr>
              <w:fldChar w:fldCharType="separate"/>
            </w:r>
            <w:r>
              <w:rPr>
                <w:noProof/>
                <w:webHidden/>
              </w:rPr>
              <w:t>6</w:t>
            </w:r>
            <w:r>
              <w:rPr>
                <w:noProof/>
                <w:webHidden/>
              </w:rPr>
              <w:fldChar w:fldCharType="end"/>
            </w:r>
          </w:hyperlink>
        </w:p>
        <w:p w14:paraId="1B52A2F1" w14:textId="4A7C9962" w:rsidR="00CD7501" w:rsidRDefault="00CD7501">
          <w:pPr>
            <w:pStyle w:val="TOC3"/>
            <w:tabs>
              <w:tab w:val="left" w:pos="1100"/>
              <w:tab w:val="right" w:leader="dot" w:pos="9016"/>
            </w:tabs>
            <w:rPr>
              <w:rFonts w:eastAsiaTheme="minorEastAsia"/>
              <w:noProof/>
              <w:lang w:eastAsia="en-AU"/>
            </w:rPr>
          </w:pPr>
          <w:hyperlink w:anchor="_Toc115358076" w:history="1">
            <w:r w:rsidRPr="00D1221A">
              <w:rPr>
                <w:rStyle w:val="Hyperlink"/>
                <w:noProof/>
              </w:rPr>
              <w:t>3.3</w:t>
            </w:r>
            <w:r>
              <w:rPr>
                <w:rFonts w:eastAsiaTheme="minorEastAsia"/>
                <w:noProof/>
                <w:lang w:eastAsia="en-AU"/>
              </w:rPr>
              <w:tab/>
            </w:r>
            <w:r w:rsidRPr="00D1221A">
              <w:rPr>
                <w:rStyle w:val="Hyperlink"/>
                <w:noProof/>
              </w:rPr>
              <w:t>Responsible government</w:t>
            </w:r>
            <w:r>
              <w:rPr>
                <w:noProof/>
                <w:webHidden/>
              </w:rPr>
              <w:tab/>
            </w:r>
            <w:r>
              <w:rPr>
                <w:noProof/>
                <w:webHidden/>
              </w:rPr>
              <w:fldChar w:fldCharType="begin"/>
            </w:r>
            <w:r>
              <w:rPr>
                <w:noProof/>
                <w:webHidden/>
              </w:rPr>
              <w:instrText xml:space="preserve"> PAGEREF _Toc115358076 \h </w:instrText>
            </w:r>
            <w:r>
              <w:rPr>
                <w:noProof/>
                <w:webHidden/>
              </w:rPr>
            </w:r>
            <w:r>
              <w:rPr>
                <w:noProof/>
                <w:webHidden/>
              </w:rPr>
              <w:fldChar w:fldCharType="separate"/>
            </w:r>
            <w:r>
              <w:rPr>
                <w:noProof/>
                <w:webHidden/>
              </w:rPr>
              <w:t>6</w:t>
            </w:r>
            <w:r>
              <w:rPr>
                <w:noProof/>
                <w:webHidden/>
              </w:rPr>
              <w:fldChar w:fldCharType="end"/>
            </w:r>
          </w:hyperlink>
        </w:p>
        <w:p w14:paraId="4C41AAA7" w14:textId="02EAC517" w:rsidR="00CD7501" w:rsidRDefault="00CD7501">
          <w:pPr>
            <w:pStyle w:val="TOC2"/>
            <w:tabs>
              <w:tab w:val="left" w:pos="660"/>
              <w:tab w:val="right" w:leader="dot" w:pos="9016"/>
            </w:tabs>
            <w:rPr>
              <w:rFonts w:eastAsiaTheme="minorEastAsia"/>
              <w:noProof/>
              <w:lang w:eastAsia="en-AU"/>
            </w:rPr>
          </w:pPr>
          <w:hyperlink w:anchor="_Toc115358077" w:history="1">
            <w:r w:rsidRPr="00D1221A">
              <w:rPr>
                <w:rStyle w:val="Hyperlink"/>
                <w:noProof/>
              </w:rPr>
              <w:t>4.</w:t>
            </w:r>
            <w:r>
              <w:rPr>
                <w:rFonts w:eastAsiaTheme="minorEastAsia"/>
                <w:noProof/>
                <w:lang w:eastAsia="en-AU"/>
              </w:rPr>
              <w:tab/>
            </w:r>
            <w:r w:rsidRPr="00D1221A">
              <w:rPr>
                <w:rStyle w:val="Hyperlink"/>
                <w:noProof/>
              </w:rPr>
              <w:t>Commentary</w:t>
            </w:r>
            <w:r>
              <w:rPr>
                <w:noProof/>
                <w:webHidden/>
              </w:rPr>
              <w:tab/>
            </w:r>
            <w:r>
              <w:rPr>
                <w:noProof/>
                <w:webHidden/>
              </w:rPr>
              <w:fldChar w:fldCharType="begin"/>
            </w:r>
            <w:r>
              <w:rPr>
                <w:noProof/>
                <w:webHidden/>
              </w:rPr>
              <w:instrText xml:space="preserve"> PAGEREF _Toc115358077 \h </w:instrText>
            </w:r>
            <w:r>
              <w:rPr>
                <w:noProof/>
                <w:webHidden/>
              </w:rPr>
            </w:r>
            <w:r>
              <w:rPr>
                <w:noProof/>
                <w:webHidden/>
              </w:rPr>
              <w:fldChar w:fldCharType="separate"/>
            </w:r>
            <w:r>
              <w:rPr>
                <w:noProof/>
                <w:webHidden/>
              </w:rPr>
              <w:t>7</w:t>
            </w:r>
            <w:r>
              <w:rPr>
                <w:noProof/>
                <w:webHidden/>
              </w:rPr>
              <w:fldChar w:fldCharType="end"/>
            </w:r>
          </w:hyperlink>
        </w:p>
        <w:p w14:paraId="0E3C9DDD" w14:textId="7069496D" w:rsidR="00CD7501" w:rsidRDefault="00CD7501">
          <w:pPr>
            <w:pStyle w:val="TOC3"/>
            <w:tabs>
              <w:tab w:val="left" w:pos="1100"/>
              <w:tab w:val="right" w:leader="dot" w:pos="9016"/>
            </w:tabs>
            <w:rPr>
              <w:rFonts w:eastAsiaTheme="minorEastAsia"/>
              <w:noProof/>
              <w:lang w:eastAsia="en-AU"/>
            </w:rPr>
          </w:pPr>
          <w:hyperlink w:anchor="_Toc115358078" w:history="1">
            <w:r w:rsidRPr="00D1221A">
              <w:rPr>
                <w:rStyle w:val="Hyperlink"/>
                <w:noProof/>
              </w:rPr>
              <w:t>4.1</w:t>
            </w:r>
            <w:r>
              <w:rPr>
                <w:rFonts w:eastAsiaTheme="minorEastAsia"/>
                <w:noProof/>
                <w:lang w:eastAsia="en-AU"/>
              </w:rPr>
              <w:tab/>
            </w:r>
            <w:r w:rsidRPr="00D1221A">
              <w:rPr>
                <w:rStyle w:val="Hyperlink"/>
                <w:noProof/>
              </w:rPr>
              <w:t>Overview</w:t>
            </w:r>
            <w:r>
              <w:rPr>
                <w:noProof/>
                <w:webHidden/>
              </w:rPr>
              <w:tab/>
            </w:r>
            <w:r>
              <w:rPr>
                <w:noProof/>
                <w:webHidden/>
              </w:rPr>
              <w:fldChar w:fldCharType="begin"/>
            </w:r>
            <w:r>
              <w:rPr>
                <w:noProof/>
                <w:webHidden/>
              </w:rPr>
              <w:instrText xml:space="preserve"> PAGEREF _Toc115358078 \h </w:instrText>
            </w:r>
            <w:r>
              <w:rPr>
                <w:noProof/>
                <w:webHidden/>
              </w:rPr>
            </w:r>
            <w:r>
              <w:rPr>
                <w:noProof/>
                <w:webHidden/>
              </w:rPr>
              <w:fldChar w:fldCharType="separate"/>
            </w:r>
            <w:r>
              <w:rPr>
                <w:noProof/>
                <w:webHidden/>
              </w:rPr>
              <w:t>7</w:t>
            </w:r>
            <w:r>
              <w:rPr>
                <w:noProof/>
                <w:webHidden/>
              </w:rPr>
              <w:fldChar w:fldCharType="end"/>
            </w:r>
          </w:hyperlink>
        </w:p>
        <w:p w14:paraId="4680EEEB" w14:textId="2CF1608B" w:rsidR="00CD7501" w:rsidRDefault="00CD7501">
          <w:pPr>
            <w:pStyle w:val="TOC3"/>
            <w:tabs>
              <w:tab w:val="left" w:pos="1100"/>
              <w:tab w:val="right" w:leader="dot" w:pos="9016"/>
            </w:tabs>
            <w:rPr>
              <w:rFonts w:eastAsiaTheme="minorEastAsia"/>
              <w:noProof/>
              <w:lang w:eastAsia="en-AU"/>
            </w:rPr>
          </w:pPr>
          <w:hyperlink w:anchor="_Toc115358079" w:history="1">
            <w:r w:rsidRPr="00D1221A">
              <w:rPr>
                <w:rStyle w:val="Hyperlink"/>
                <w:noProof/>
              </w:rPr>
              <w:t>4.2</w:t>
            </w:r>
            <w:r>
              <w:rPr>
                <w:rFonts w:eastAsiaTheme="minorEastAsia"/>
                <w:noProof/>
                <w:lang w:eastAsia="en-AU"/>
              </w:rPr>
              <w:tab/>
            </w:r>
            <w:r w:rsidRPr="00D1221A">
              <w:rPr>
                <w:rStyle w:val="Hyperlink"/>
                <w:noProof/>
              </w:rPr>
              <w:t>Further issues</w:t>
            </w:r>
            <w:r>
              <w:rPr>
                <w:noProof/>
                <w:webHidden/>
              </w:rPr>
              <w:tab/>
            </w:r>
            <w:r>
              <w:rPr>
                <w:noProof/>
                <w:webHidden/>
              </w:rPr>
              <w:fldChar w:fldCharType="begin"/>
            </w:r>
            <w:r>
              <w:rPr>
                <w:noProof/>
                <w:webHidden/>
              </w:rPr>
              <w:instrText xml:space="preserve"> PAGEREF _Toc115358079 \h </w:instrText>
            </w:r>
            <w:r>
              <w:rPr>
                <w:noProof/>
                <w:webHidden/>
              </w:rPr>
            </w:r>
            <w:r>
              <w:rPr>
                <w:noProof/>
                <w:webHidden/>
              </w:rPr>
              <w:fldChar w:fldCharType="separate"/>
            </w:r>
            <w:r>
              <w:rPr>
                <w:noProof/>
                <w:webHidden/>
              </w:rPr>
              <w:t>8</w:t>
            </w:r>
            <w:r>
              <w:rPr>
                <w:noProof/>
                <w:webHidden/>
              </w:rPr>
              <w:fldChar w:fldCharType="end"/>
            </w:r>
          </w:hyperlink>
        </w:p>
        <w:p w14:paraId="5B5A79B9" w14:textId="35D67EA0" w:rsidR="00CD7501" w:rsidRDefault="00CD7501">
          <w:pPr>
            <w:pStyle w:val="TOC2"/>
            <w:tabs>
              <w:tab w:val="left" w:pos="660"/>
              <w:tab w:val="right" w:leader="dot" w:pos="9016"/>
            </w:tabs>
            <w:rPr>
              <w:rFonts w:eastAsiaTheme="minorEastAsia"/>
              <w:noProof/>
              <w:lang w:eastAsia="en-AU"/>
            </w:rPr>
          </w:pPr>
          <w:hyperlink w:anchor="_Toc115358080" w:history="1">
            <w:r w:rsidRPr="00D1221A">
              <w:rPr>
                <w:rStyle w:val="Hyperlink"/>
                <w:noProof/>
              </w:rPr>
              <w:t>5.</w:t>
            </w:r>
            <w:r>
              <w:rPr>
                <w:rFonts w:eastAsiaTheme="minorEastAsia"/>
                <w:noProof/>
                <w:lang w:eastAsia="en-AU"/>
              </w:rPr>
              <w:tab/>
            </w:r>
            <w:r w:rsidRPr="00D1221A">
              <w:rPr>
                <w:rStyle w:val="Hyperlink"/>
                <w:noProof/>
              </w:rPr>
              <w:t>Heresies?</w:t>
            </w:r>
            <w:r>
              <w:rPr>
                <w:noProof/>
                <w:webHidden/>
              </w:rPr>
              <w:tab/>
            </w:r>
            <w:r>
              <w:rPr>
                <w:noProof/>
                <w:webHidden/>
              </w:rPr>
              <w:fldChar w:fldCharType="begin"/>
            </w:r>
            <w:r>
              <w:rPr>
                <w:noProof/>
                <w:webHidden/>
              </w:rPr>
              <w:instrText xml:space="preserve"> PAGEREF _Toc115358080 \h </w:instrText>
            </w:r>
            <w:r>
              <w:rPr>
                <w:noProof/>
                <w:webHidden/>
              </w:rPr>
            </w:r>
            <w:r>
              <w:rPr>
                <w:noProof/>
                <w:webHidden/>
              </w:rPr>
              <w:fldChar w:fldCharType="separate"/>
            </w:r>
            <w:r>
              <w:rPr>
                <w:noProof/>
                <w:webHidden/>
              </w:rPr>
              <w:t>10</w:t>
            </w:r>
            <w:r>
              <w:rPr>
                <w:noProof/>
                <w:webHidden/>
              </w:rPr>
              <w:fldChar w:fldCharType="end"/>
            </w:r>
          </w:hyperlink>
        </w:p>
        <w:p w14:paraId="38FC8B92" w14:textId="0C37BDEC" w:rsidR="00CD7501" w:rsidRDefault="00CD7501">
          <w:pPr>
            <w:pStyle w:val="TOC3"/>
            <w:tabs>
              <w:tab w:val="left" w:pos="1100"/>
              <w:tab w:val="right" w:leader="dot" w:pos="9016"/>
            </w:tabs>
            <w:rPr>
              <w:rFonts w:eastAsiaTheme="minorEastAsia"/>
              <w:noProof/>
              <w:lang w:eastAsia="en-AU"/>
            </w:rPr>
          </w:pPr>
          <w:hyperlink w:anchor="_Toc115358081" w:history="1">
            <w:r w:rsidRPr="00D1221A">
              <w:rPr>
                <w:rStyle w:val="Hyperlink"/>
                <w:noProof/>
              </w:rPr>
              <w:t>5.1</w:t>
            </w:r>
            <w:r>
              <w:rPr>
                <w:rFonts w:eastAsiaTheme="minorEastAsia"/>
                <w:noProof/>
                <w:lang w:eastAsia="en-AU"/>
              </w:rPr>
              <w:tab/>
            </w:r>
            <w:r w:rsidRPr="00D1221A">
              <w:rPr>
                <w:rStyle w:val="Hyperlink"/>
                <w:noProof/>
              </w:rPr>
              <w:t>Paradox</w:t>
            </w:r>
            <w:r>
              <w:rPr>
                <w:noProof/>
                <w:webHidden/>
              </w:rPr>
              <w:tab/>
            </w:r>
            <w:r>
              <w:rPr>
                <w:noProof/>
                <w:webHidden/>
              </w:rPr>
              <w:fldChar w:fldCharType="begin"/>
            </w:r>
            <w:r>
              <w:rPr>
                <w:noProof/>
                <w:webHidden/>
              </w:rPr>
              <w:instrText xml:space="preserve"> PAGEREF _Toc115358081 \h </w:instrText>
            </w:r>
            <w:r>
              <w:rPr>
                <w:noProof/>
                <w:webHidden/>
              </w:rPr>
            </w:r>
            <w:r>
              <w:rPr>
                <w:noProof/>
                <w:webHidden/>
              </w:rPr>
              <w:fldChar w:fldCharType="separate"/>
            </w:r>
            <w:r>
              <w:rPr>
                <w:noProof/>
                <w:webHidden/>
              </w:rPr>
              <w:t>10</w:t>
            </w:r>
            <w:r>
              <w:rPr>
                <w:noProof/>
                <w:webHidden/>
              </w:rPr>
              <w:fldChar w:fldCharType="end"/>
            </w:r>
          </w:hyperlink>
        </w:p>
        <w:p w14:paraId="4B831FF4" w14:textId="3EF6C183" w:rsidR="00CD7501" w:rsidRDefault="00CD7501">
          <w:pPr>
            <w:pStyle w:val="TOC3"/>
            <w:tabs>
              <w:tab w:val="left" w:pos="1100"/>
              <w:tab w:val="right" w:leader="dot" w:pos="9016"/>
            </w:tabs>
            <w:rPr>
              <w:rFonts w:eastAsiaTheme="minorEastAsia"/>
              <w:noProof/>
              <w:lang w:eastAsia="en-AU"/>
            </w:rPr>
          </w:pPr>
          <w:hyperlink w:anchor="_Toc115358082" w:history="1">
            <w:r w:rsidRPr="00D1221A">
              <w:rPr>
                <w:rStyle w:val="Hyperlink"/>
                <w:noProof/>
              </w:rPr>
              <w:t>5.2</w:t>
            </w:r>
            <w:r>
              <w:rPr>
                <w:rFonts w:eastAsiaTheme="minorEastAsia"/>
                <w:noProof/>
                <w:lang w:eastAsia="en-AU"/>
              </w:rPr>
              <w:tab/>
            </w:r>
            <w:r w:rsidRPr="00D1221A">
              <w:rPr>
                <w:rStyle w:val="Hyperlink"/>
                <w:noProof/>
              </w:rPr>
              <w:t>A limited question?</w:t>
            </w:r>
            <w:r>
              <w:rPr>
                <w:noProof/>
                <w:webHidden/>
              </w:rPr>
              <w:tab/>
            </w:r>
            <w:r>
              <w:rPr>
                <w:noProof/>
                <w:webHidden/>
              </w:rPr>
              <w:fldChar w:fldCharType="begin"/>
            </w:r>
            <w:r>
              <w:rPr>
                <w:noProof/>
                <w:webHidden/>
              </w:rPr>
              <w:instrText xml:space="preserve"> PAGEREF _Toc115358082 \h </w:instrText>
            </w:r>
            <w:r>
              <w:rPr>
                <w:noProof/>
                <w:webHidden/>
              </w:rPr>
            </w:r>
            <w:r>
              <w:rPr>
                <w:noProof/>
                <w:webHidden/>
              </w:rPr>
              <w:fldChar w:fldCharType="separate"/>
            </w:r>
            <w:r>
              <w:rPr>
                <w:noProof/>
                <w:webHidden/>
              </w:rPr>
              <w:t>11</w:t>
            </w:r>
            <w:r>
              <w:rPr>
                <w:noProof/>
                <w:webHidden/>
              </w:rPr>
              <w:fldChar w:fldCharType="end"/>
            </w:r>
          </w:hyperlink>
        </w:p>
        <w:p w14:paraId="006DAB29" w14:textId="798D6BB2" w:rsidR="00CD7501" w:rsidRDefault="00CD7501">
          <w:pPr>
            <w:pStyle w:val="TOC3"/>
            <w:tabs>
              <w:tab w:val="left" w:pos="1100"/>
              <w:tab w:val="right" w:leader="dot" w:pos="9016"/>
            </w:tabs>
            <w:rPr>
              <w:rFonts w:eastAsiaTheme="minorEastAsia"/>
              <w:noProof/>
              <w:lang w:eastAsia="en-AU"/>
            </w:rPr>
          </w:pPr>
          <w:hyperlink w:anchor="_Toc115358083" w:history="1">
            <w:r w:rsidRPr="00D1221A">
              <w:rPr>
                <w:rStyle w:val="Hyperlink"/>
                <w:noProof/>
              </w:rPr>
              <w:t>5.3</w:t>
            </w:r>
            <w:r>
              <w:rPr>
                <w:rFonts w:eastAsiaTheme="minorEastAsia"/>
                <w:noProof/>
                <w:lang w:eastAsia="en-AU"/>
              </w:rPr>
              <w:tab/>
            </w:r>
            <w:r w:rsidRPr="00D1221A">
              <w:rPr>
                <w:rStyle w:val="Hyperlink"/>
                <w:noProof/>
              </w:rPr>
              <w:t>Relevance of responsible government</w:t>
            </w:r>
            <w:r>
              <w:rPr>
                <w:noProof/>
                <w:webHidden/>
              </w:rPr>
              <w:tab/>
            </w:r>
            <w:r>
              <w:rPr>
                <w:noProof/>
                <w:webHidden/>
              </w:rPr>
              <w:fldChar w:fldCharType="begin"/>
            </w:r>
            <w:r>
              <w:rPr>
                <w:noProof/>
                <w:webHidden/>
              </w:rPr>
              <w:instrText xml:space="preserve"> PAGEREF _Toc115358083 \h </w:instrText>
            </w:r>
            <w:r>
              <w:rPr>
                <w:noProof/>
                <w:webHidden/>
              </w:rPr>
            </w:r>
            <w:r>
              <w:rPr>
                <w:noProof/>
                <w:webHidden/>
              </w:rPr>
              <w:fldChar w:fldCharType="separate"/>
            </w:r>
            <w:r>
              <w:rPr>
                <w:noProof/>
                <w:webHidden/>
              </w:rPr>
              <w:t>11</w:t>
            </w:r>
            <w:r>
              <w:rPr>
                <w:noProof/>
                <w:webHidden/>
              </w:rPr>
              <w:fldChar w:fldCharType="end"/>
            </w:r>
          </w:hyperlink>
        </w:p>
        <w:p w14:paraId="0A4BFD5E" w14:textId="033A92D1" w:rsidR="00CD7501" w:rsidRDefault="00CD7501">
          <w:pPr>
            <w:pStyle w:val="TOC3"/>
            <w:tabs>
              <w:tab w:val="left" w:pos="1100"/>
              <w:tab w:val="right" w:leader="dot" w:pos="9016"/>
            </w:tabs>
            <w:rPr>
              <w:rFonts w:eastAsiaTheme="minorEastAsia"/>
              <w:noProof/>
              <w:lang w:eastAsia="en-AU"/>
            </w:rPr>
          </w:pPr>
          <w:hyperlink w:anchor="_Toc115358084" w:history="1">
            <w:r w:rsidRPr="00D1221A">
              <w:rPr>
                <w:rStyle w:val="Hyperlink"/>
                <w:noProof/>
              </w:rPr>
              <w:t>5.4</w:t>
            </w:r>
            <w:r>
              <w:rPr>
                <w:rFonts w:eastAsiaTheme="minorEastAsia"/>
                <w:noProof/>
                <w:lang w:eastAsia="en-AU"/>
              </w:rPr>
              <w:tab/>
            </w:r>
            <w:r w:rsidRPr="00D1221A">
              <w:rPr>
                <w:rStyle w:val="Hyperlink"/>
                <w:noProof/>
              </w:rPr>
              <w:t>Advocatus diaboli</w:t>
            </w:r>
            <w:r>
              <w:rPr>
                <w:noProof/>
                <w:webHidden/>
              </w:rPr>
              <w:tab/>
            </w:r>
            <w:r>
              <w:rPr>
                <w:noProof/>
                <w:webHidden/>
              </w:rPr>
              <w:fldChar w:fldCharType="begin"/>
            </w:r>
            <w:r>
              <w:rPr>
                <w:noProof/>
                <w:webHidden/>
              </w:rPr>
              <w:instrText xml:space="preserve"> PAGEREF _Toc115358084 \h </w:instrText>
            </w:r>
            <w:r>
              <w:rPr>
                <w:noProof/>
                <w:webHidden/>
              </w:rPr>
            </w:r>
            <w:r>
              <w:rPr>
                <w:noProof/>
                <w:webHidden/>
              </w:rPr>
              <w:fldChar w:fldCharType="separate"/>
            </w:r>
            <w:r>
              <w:rPr>
                <w:noProof/>
                <w:webHidden/>
              </w:rPr>
              <w:t>12</w:t>
            </w:r>
            <w:r>
              <w:rPr>
                <w:noProof/>
                <w:webHidden/>
              </w:rPr>
              <w:fldChar w:fldCharType="end"/>
            </w:r>
          </w:hyperlink>
        </w:p>
        <w:p w14:paraId="2043BED7" w14:textId="79C75EE2" w:rsidR="00CD7501" w:rsidRDefault="00CD7501">
          <w:pPr>
            <w:pStyle w:val="TOC3"/>
            <w:tabs>
              <w:tab w:val="left" w:pos="1100"/>
              <w:tab w:val="right" w:leader="dot" w:pos="9016"/>
            </w:tabs>
            <w:rPr>
              <w:rFonts w:eastAsiaTheme="minorEastAsia"/>
              <w:noProof/>
              <w:lang w:eastAsia="en-AU"/>
            </w:rPr>
          </w:pPr>
          <w:hyperlink w:anchor="_Toc115358085" w:history="1">
            <w:r w:rsidRPr="00D1221A">
              <w:rPr>
                <w:rStyle w:val="Hyperlink"/>
                <w:noProof/>
              </w:rPr>
              <w:t>5.5</w:t>
            </w:r>
            <w:r>
              <w:rPr>
                <w:rFonts w:eastAsiaTheme="minorEastAsia"/>
                <w:noProof/>
                <w:lang w:eastAsia="en-AU"/>
              </w:rPr>
              <w:tab/>
            </w:r>
            <w:r w:rsidRPr="00D1221A">
              <w:rPr>
                <w:rStyle w:val="Hyperlink"/>
                <w:noProof/>
              </w:rPr>
              <w:t>Parliament’s power over Executive Government</w:t>
            </w:r>
            <w:r>
              <w:rPr>
                <w:noProof/>
                <w:webHidden/>
              </w:rPr>
              <w:tab/>
            </w:r>
            <w:r>
              <w:rPr>
                <w:noProof/>
                <w:webHidden/>
              </w:rPr>
              <w:fldChar w:fldCharType="begin"/>
            </w:r>
            <w:r>
              <w:rPr>
                <w:noProof/>
                <w:webHidden/>
              </w:rPr>
              <w:instrText xml:space="preserve"> PAGEREF _Toc115358085 \h </w:instrText>
            </w:r>
            <w:r>
              <w:rPr>
                <w:noProof/>
                <w:webHidden/>
              </w:rPr>
            </w:r>
            <w:r>
              <w:rPr>
                <w:noProof/>
                <w:webHidden/>
              </w:rPr>
              <w:fldChar w:fldCharType="separate"/>
            </w:r>
            <w:r>
              <w:rPr>
                <w:noProof/>
                <w:webHidden/>
              </w:rPr>
              <w:t>13</w:t>
            </w:r>
            <w:r>
              <w:rPr>
                <w:noProof/>
                <w:webHidden/>
              </w:rPr>
              <w:fldChar w:fldCharType="end"/>
            </w:r>
          </w:hyperlink>
        </w:p>
        <w:p w14:paraId="61FD0C37" w14:textId="7AD0C3CA" w:rsidR="00CD7501" w:rsidRDefault="00CD7501">
          <w:pPr>
            <w:pStyle w:val="TOC3"/>
            <w:tabs>
              <w:tab w:val="left" w:pos="1100"/>
              <w:tab w:val="right" w:leader="dot" w:pos="9016"/>
            </w:tabs>
            <w:rPr>
              <w:rFonts w:eastAsiaTheme="minorEastAsia"/>
              <w:noProof/>
              <w:lang w:eastAsia="en-AU"/>
            </w:rPr>
          </w:pPr>
          <w:hyperlink w:anchor="_Toc115358086" w:history="1">
            <w:r w:rsidRPr="00D1221A">
              <w:rPr>
                <w:rStyle w:val="Hyperlink"/>
                <w:noProof/>
              </w:rPr>
              <w:t>5.6</w:t>
            </w:r>
            <w:r>
              <w:rPr>
                <w:rFonts w:eastAsiaTheme="minorEastAsia"/>
                <w:noProof/>
                <w:lang w:eastAsia="en-AU"/>
              </w:rPr>
              <w:tab/>
            </w:r>
            <w:r w:rsidRPr="00D1221A">
              <w:rPr>
                <w:rStyle w:val="Hyperlink"/>
                <w:noProof/>
              </w:rPr>
              <w:t>Identification of every Minister?</w:t>
            </w:r>
            <w:r>
              <w:rPr>
                <w:noProof/>
                <w:webHidden/>
              </w:rPr>
              <w:tab/>
            </w:r>
            <w:r>
              <w:rPr>
                <w:noProof/>
                <w:webHidden/>
              </w:rPr>
              <w:fldChar w:fldCharType="begin"/>
            </w:r>
            <w:r>
              <w:rPr>
                <w:noProof/>
                <w:webHidden/>
              </w:rPr>
              <w:instrText xml:space="preserve"> PAGEREF _Toc115358086 \h </w:instrText>
            </w:r>
            <w:r>
              <w:rPr>
                <w:noProof/>
                <w:webHidden/>
              </w:rPr>
            </w:r>
            <w:r>
              <w:rPr>
                <w:noProof/>
                <w:webHidden/>
              </w:rPr>
              <w:fldChar w:fldCharType="separate"/>
            </w:r>
            <w:r>
              <w:rPr>
                <w:noProof/>
                <w:webHidden/>
              </w:rPr>
              <w:t>14</w:t>
            </w:r>
            <w:r>
              <w:rPr>
                <w:noProof/>
                <w:webHidden/>
              </w:rPr>
              <w:fldChar w:fldCharType="end"/>
            </w:r>
          </w:hyperlink>
        </w:p>
        <w:p w14:paraId="43CA94D3" w14:textId="09DE14A6" w:rsidR="00CD7501" w:rsidRDefault="00CD7501">
          <w:pPr>
            <w:pStyle w:val="TOC3"/>
            <w:tabs>
              <w:tab w:val="left" w:pos="1100"/>
              <w:tab w:val="right" w:leader="dot" w:pos="9016"/>
            </w:tabs>
            <w:rPr>
              <w:rFonts w:eastAsiaTheme="minorEastAsia"/>
              <w:noProof/>
              <w:lang w:eastAsia="en-AU"/>
            </w:rPr>
          </w:pPr>
          <w:hyperlink w:anchor="_Toc115358087" w:history="1">
            <w:r w:rsidRPr="00D1221A">
              <w:rPr>
                <w:rStyle w:val="Hyperlink"/>
                <w:noProof/>
              </w:rPr>
              <w:t>5.7</w:t>
            </w:r>
            <w:r>
              <w:rPr>
                <w:rFonts w:eastAsiaTheme="minorEastAsia"/>
                <w:noProof/>
                <w:lang w:eastAsia="en-AU"/>
              </w:rPr>
              <w:tab/>
            </w:r>
            <w:r w:rsidRPr="00D1221A">
              <w:rPr>
                <w:rStyle w:val="Hyperlink"/>
                <w:noProof/>
              </w:rPr>
              <w:t>Prime Ministerial responsibility</w:t>
            </w:r>
            <w:r>
              <w:rPr>
                <w:noProof/>
                <w:webHidden/>
              </w:rPr>
              <w:tab/>
            </w:r>
            <w:r>
              <w:rPr>
                <w:noProof/>
                <w:webHidden/>
              </w:rPr>
              <w:fldChar w:fldCharType="begin"/>
            </w:r>
            <w:r>
              <w:rPr>
                <w:noProof/>
                <w:webHidden/>
              </w:rPr>
              <w:instrText xml:space="preserve"> PAGEREF _Toc115358087 \h </w:instrText>
            </w:r>
            <w:r>
              <w:rPr>
                <w:noProof/>
                <w:webHidden/>
              </w:rPr>
            </w:r>
            <w:r>
              <w:rPr>
                <w:noProof/>
                <w:webHidden/>
              </w:rPr>
              <w:fldChar w:fldCharType="separate"/>
            </w:r>
            <w:r>
              <w:rPr>
                <w:noProof/>
                <w:webHidden/>
              </w:rPr>
              <w:t>15</w:t>
            </w:r>
            <w:r>
              <w:rPr>
                <w:noProof/>
                <w:webHidden/>
              </w:rPr>
              <w:fldChar w:fldCharType="end"/>
            </w:r>
          </w:hyperlink>
        </w:p>
        <w:p w14:paraId="4DBC47F4" w14:textId="338BB825" w:rsidR="00CD7501" w:rsidRDefault="00CD7501">
          <w:pPr>
            <w:pStyle w:val="TOC3"/>
            <w:tabs>
              <w:tab w:val="left" w:pos="1100"/>
              <w:tab w:val="right" w:leader="dot" w:pos="9016"/>
            </w:tabs>
            <w:rPr>
              <w:rFonts w:eastAsiaTheme="minorEastAsia"/>
              <w:noProof/>
              <w:lang w:eastAsia="en-AU"/>
            </w:rPr>
          </w:pPr>
          <w:hyperlink w:anchor="_Toc115358088" w:history="1">
            <w:r w:rsidRPr="00D1221A">
              <w:rPr>
                <w:rStyle w:val="Hyperlink"/>
                <w:noProof/>
              </w:rPr>
              <w:t>5.8</w:t>
            </w:r>
            <w:r>
              <w:rPr>
                <w:rFonts w:eastAsiaTheme="minorEastAsia"/>
                <w:noProof/>
                <w:lang w:eastAsia="en-AU"/>
              </w:rPr>
              <w:tab/>
            </w:r>
            <w:r w:rsidRPr="00D1221A">
              <w:rPr>
                <w:rStyle w:val="Hyperlink"/>
                <w:noProof/>
              </w:rPr>
              <w:t>Exercise of power</w:t>
            </w:r>
            <w:r>
              <w:rPr>
                <w:noProof/>
                <w:webHidden/>
              </w:rPr>
              <w:tab/>
            </w:r>
            <w:r>
              <w:rPr>
                <w:noProof/>
                <w:webHidden/>
              </w:rPr>
              <w:fldChar w:fldCharType="begin"/>
            </w:r>
            <w:r>
              <w:rPr>
                <w:noProof/>
                <w:webHidden/>
              </w:rPr>
              <w:instrText xml:space="preserve"> PAGEREF _Toc115358088 \h </w:instrText>
            </w:r>
            <w:r>
              <w:rPr>
                <w:noProof/>
                <w:webHidden/>
              </w:rPr>
            </w:r>
            <w:r>
              <w:rPr>
                <w:noProof/>
                <w:webHidden/>
              </w:rPr>
              <w:fldChar w:fldCharType="separate"/>
            </w:r>
            <w:r>
              <w:rPr>
                <w:noProof/>
                <w:webHidden/>
              </w:rPr>
              <w:t>17</w:t>
            </w:r>
            <w:r>
              <w:rPr>
                <w:noProof/>
                <w:webHidden/>
              </w:rPr>
              <w:fldChar w:fldCharType="end"/>
            </w:r>
          </w:hyperlink>
        </w:p>
        <w:p w14:paraId="4B214BA8" w14:textId="2C86775C" w:rsidR="00CD7501" w:rsidRDefault="00CD7501">
          <w:pPr>
            <w:pStyle w:val="TOC3"/>
            <w:tabs>
              <w:tab w:val="left" w:pos="1100"/>
              <w:tab w:val="right" w:leader="dot" w:pos="9016"/>
            </w:tabs>
            <w:rPr>
              <w:rFonts w:eastAsiaTheme="minorEastAsia"/>
              <w:noProof/>
              <w:lang w:eastAsia="en-AU"/>
            </w:rPr>
          </w:pPr>
          <w:hyperlink w:anchor="_Toc115358089" w:history="1">
            <w:r w:rsidRPr="00D1221A">
              <w:rPr>
                <w:rStyle w:val="Hyperlink"/>
                <w:noProof/>
              </w:rPr>
              <w:t>5.9</w:t>
            </w:r>
            <w:r>
              <w:rPr>
                <w:rFonts w:eastAsiaTheme="minorEastAsia"/>
                <w:noProof/>
                <w:lang w:eastAsia="en-AU"/>
              </w:rPr>
              <w:tab/>
            </w:r>
            <w:r w:rsidRPr="00D1221A">
              <w:rPr>
                <w:rStyle w:val="Hyperlink"/>
                <w:noProof/>
              </w:rPr>
              <w:t>Summary of arguments</w:t>
            </w:r>
            <w:r>
              <w:rPr>
                <w:noProof/>
                <w:webHidden/>
              </w:rPr>
              <w:tab/>
            </w:r>
            <w:r>
              <w:rPr>
                <w:noProof/>
                <w:webHidden/>
              </w:rPr>
              <w:fldChar w:fldCharType="begin"/>
            </w:r>
            <w:r>
              <w:rPr>
                <w:noProof/>
                <w:webHidden/>
              </w:rPr>
              <w:instrText xml:space="preserve"> PAGEREF _Toc115358089 \h </w:instrText>
            </w:r>
            <w:r>
              <w:rPr>
                <w:noProof/>
                <w:webHidden/>
              </w:rPr>
            </w:r>
            <w:r>
              <w:rPr>
                <w:noProof/>
                <w:webHidden/>
              </w:rPr>
              <w:fldChar w:fldCharType="separate"/>
            </w:r>
            <w:r>
              <w:rPr>
                <w:noProof/>
                <w:webHidden/>
              </w:rPr>
              <w:t>17</w:t>
            </w:r>
            <w:r>
              <w:rPr>
                <w:noProof/>
                <w:webHidden/>
              </w:rPr>
              <w:fldChar w:fldCharType="end"/>
            </w:r>
          </w:hyperlink>
        </w:p>
        <w:p w14:paraId="57605B13" w14:textId="5D86864E" w:rsidR="00CD7501" w:rsidRDefault="00CD7501">
          <w:pPr>
            <w:pStyle w:val="TOC3"/>
            <w:tabs>
              <w:tab w:val="left" w:pos="1100"/>
              <w:tab w:val="right" w:leader="dot" w:pos="9016"/>
            </w:tabs>
            <w:rPr>
              <w:rFonts w:eastAsiaTheme="minorEastAsia"/>
              <w:noProof/>
              <w:lang w:eastAsia="en-AU"/>
            </w:rPr>
          </w:pPr>
          <w:hyperlink w:anchor="_Toc115358090" w:history="1">
            <w:r w:rsidRPr="00D1221A">
              <w:rPr>
                <w:rStyle w:val="Hyperlink"/>
                <w:noProof/>
              </w:rPr>
              <w:t>5.10</w:t>
            </w:r>
            <w:r>
              <w:rPr>
                <w:rFonts w:eastAsiaTheme="minorEastAsia"/>
                <w:noProof/>
                <w:lang w:eastAsia="en-AU"/>
              </w:rPr>
              <w:tab/>
            </w:r>
            <w:r w:rsidRPr="00D1221A">
              <w:rPr>
                <w:rStyle w:val="Hyperlink"/>
                <w:noProof/>
              </w:rPr>
              <w:t>Split in the High Court – implications</w:t>
            </w:r>
            <w:r>
              <w:rPr>
                <w:noProof/>
                <w:webHidden/>
              </w:rPr>
              <w:tab/>
            </w:r>
            <w:r>
              <w:rPr>
                <w:noProof/>
                <w:webHidden/>
              </w:rPr>
              <w:fldChar w:fldCharType="begin"/>
            </w:r>
            <w:r>
              <w:rPr>
                <w:noProof/>
                <w:webHidden/>
              </w:rPr>
              <w:instrText xml:space="preserve"> PAGEREF _Toc115358090 \h </w:instrText>
            </w:r>
            <w:r>
              <w:rPr>
                <w:noProof/>
                <w:webHidden/>
              </w:rPr>
            </w:r>
            <w:r>
              <w:rPr>
                <w:noProof/>
                <w:webHidden/>
              </w:rPr>
              <w:fldChar w:fldCharType="separate"/>
            </w:r>
            <w:r>
              <w:rPr>
                <w:noProof/>
                <w:webHidden/>
              </w:rPr>
              <w:t>18</w:t>
            </w:r>
            <w:r>
              <w:rPr>
                <w:noProof/>
                <w:webHidden/>
              </w:rPr>
              <w:fldChar w:fldCharType="end"/>
            </w:r>
          </w:hyperlink>
        </w:p>
        <w:p w14:paraId="2692C916" w14:textId="2E3CDE3A" w:rsidR="00CD7501" w:rsidRDefault="00CD7501">
          <w:pPr>
            <w:pStyle w:val="TOC2"/>
            <w:tabs>
              <w:tab w:val="left" w:pos="660"/>
              <w:tab w:val="right" w:leader="dot" w:pos="9016"/>
            </w:tabs>
            <w:rPr>
              <w:rFonts w:eastAsiaTheme="minorEastAsia"/>
              <w:noProof/>
              <w:lang w:eastAsia="en-AU"/>
            </w:rPr>
          </w:pPr>
          <w:hyperlink w:anchor="_Toc115358091" w:history="1">
            <w:r w:rsidRPr="00D1221A">
              <w:rPr>
                <w:rStyle w:val="Hyperlink"/>
                <w:noProof/>
              </w:rPr>
              <w:t>6.</w:t>
            </w:r>
            <w:r>
              <w:rPr>
                <w:rFonts w:eastAsiaTheme="minorEastAsia"/>
                <w:noProof/>
                <w:lang w:eastAsia="en-AU"/>
              </w:rPr>
              <w:tab/>
            </w:r>
            <w:r w:rsidRPr="00D1221A">
              <w:rPr>
                <w:rStyle w:val="Hyperlink"/>
                <w:noProof/>
              </w:rPr>
              <w:t>Conclusions</w:t>
            </w:r>
            <w:r>
              <w:rPr>
                <w:noProof/>
                <w:webHidden/>
              </w:rPr>
              <w:tab/>
            </w:r>
            <w:r>
              <w:rPr>
                <w:noProof/>
                <w:webHidden/>
              </w:rPr>
              <w:fldChar w:fldCharType="begin"/>
            </w:r>
            <w:r>
              <w:rPr>
                <w:noProof/>
                <w:webHidden/>
              </w:rPr>
              <w:instrText xml:space="preserve"> PAGEREF _Toc115358091 \h </w:instrText>
            </w:r>
            <w:r>
              <w:rPr>
                <w:noProof/>
                <w:webHidden/>
              </w:rPr>
            </w:r>
            <w:r>
              <w:rPr>
                <w:noProof/>
                <w:webHidden/>
              </w:rPr>
              <w:fldChar w:fldCharType="separate"/>
            </w:r>
            <w:r>
              <w:rPr>
                <w:noProof/>
                <w:webHidden/>
              </w:rPr>
              <w:t>19</w:t>
            </w:r>
            <w:r>
              <w:rPr>
                <w:noProof/>
                <w:webHidden/>
              </w:rPr>
              <w:fldChar w:fldCharType="end"/>
            </w:r>
          </w:hyperlink>
        </w:p>
        <w:p w14:paraId="68391B05" w14:textId="1AD41F90" w:rsidR="00CD7501" w:rsidRDefault="00CD7501">
          <w:pPr>
            <w:pStyle w:val="TOC3"/>
            <w:tabs>
              <w:tab w:val="left" w:pos="1100"/>
              <w:tab w:val="right" w:leader="dot" w:pos="9016"/>
            </w:tabs>
            <w:rPr>
              <w:rFonts w:eastAsiaTheme="minorEastAsia"/>
              <w:noProof/>
              <w:lang w:eastAsia="en-AU"/>
            </w:rPr>
          </w:pPr>
          <w:hyperlink w:anchor="_Toc115358092" w:history="1">
            <w:r w:rsidRPr="00D1221A">
              <w:rPr>
                <w:rStyle w:val="Hyperlink"/>
                <w:noProof/>
              </w:rPr>
              <w:t>6.1</w:t>
            </w:r>
            <w:r>
              <w:rPr>
                <w:rFonts w:eastAsiaTheme="minorEastAsia"/>
                <w:noProof/>
                <w:lang w:eastAsia="en-AU"/>
              </w:rPr>
              <w:tab/>
            </w:r>
            <w:r w:rsidRPr="00D1221A">
              <w:rPr>
                <w:rStyle w:val="Hyperlink"/>
                <w:noProof/>
              </w:rPr>
              <w:t>Validity of appointments</w:t>
            </w:r>
            <w:r>
              <w:rPr>
                <w:noProof/>
                <w:webHidden/>
              </w:rPr>
              <w:tab/>
            </w:r>
            <w:r>
              <w:rPr>
                <w:noProof/>
                <w:webHidden/>
              </w:rPr>
              <w:fldChar w:fldCharType="begin"/>
            </w:r>
            <w:r>
              <w:rPr>
                <w:noProof/>
                <w:webHidden/>
              </w:rPr>
              <w:instrText xml:space="preserve"> PAGEREF _Toc115358092 \h </w:instrText>
            </w:r>
            <w:r>
              <w:rPr>
                <w:noProof/>
                <w:webHidden/>
              </w:rPr>
            </w:r>
            <w:r>
              <w:rPr>
                <w:noProof/>
                <w:webHidden/>
              </w:rPr>
              <w:fldChar w:fldCharType="separate"/>
            </w:r>
            <w:r>
              <w:rPr>
                <w:noProof/>
                <w:webHidden/>
              </w:rPr>
              <w:t>19</w:t>
            </w:r>
            <w:r>
              <w:rPr>
                <w:noProof/>
                <w:webHidden/>
              </w:rPr>
              <w:fldChar w:fldCharType="end"/>
            </w:r>
          </w:hyperlink>
        </w:p>
        <w:p w14:paraId="71CE7A56" w14:textId="5122AB84" w:rsidR="00CD7501" w:rsidRDefault="00CD7501">
          <w:pPr>
            <w:pStyle w:val="TOC3"/>
            <w:tabs>
              <w:tab w:val="left" w:pos="1100"/>
              <w:tab w:val="right" w:leader="dot" w:pos="9016"/>
            </w:tabs>
            <w:rPr>
              <w:rFonts w:eastAsiaTheme="minorEastAsia"/>
              <w:noProof/>
              <w:lang w:eastAsia="en-AU"/>
            </w:rPr>
          </w:pPr>
          <w:hyperlink w:anchor="_Toc115358093" w:history="1">
            <w:r w:rsidRPr="00D1221A">
              <w:rPr>
                <w:rStyle w:val="Hyperlink"/>
                <w:noProof/>
              </w:rPr>
              <w:t>6.2</w:t>
            </w:r>
            <w:r>
              <w:rPr>
                <w:rFonts w:eastAsiaTheme="minorEastAsia"/>
                <w:noProof/>
                <w:lang w:eastAsia="en-AU"/>
              </w:rPr>
              <w:tab/>
            </w:r>
            <w:r w:rsidRPr="00D1221A">
              <w:rPr>
                <w:rStyle w:val="Hyperlink"/>
                <w:noProof/>
              </w:rPr>
              <w:t>A problem?</w:t>
            </w:r>
            <w:r>
              <w:rPr>
                <w:noProof/>
                <w:webHidden/>
              </w:rPr>
              <w:tab/>
            </w:r>
            <w:r>
              <w:rPr>
                <w:noProof/>
                <w:webHidden/>
              </w:rPr>
              <w:fldChar w:fldCharType="begin"/>
            </w:r>
            <w:r>
              <w:rPr>
                <w:noProof/>
                <w:webHidden/>
              </w:rPr>
              <w:instrText xml:space="preserve"> PAGEREF _Toc115358093 \h </w:instrText>
            </w:r>
            <w:r>
              <w:rPr>
                <w:noProof/>
                <w:webHidden/>
              </w:rPr>
            </w:r>
            <w:r>
              <w:rPr>
                <w:noProof/>
                <w:webHidden/>
              </w:rPr>
              <w:fldChar w:fldCharType="separate"/>
            </w:r>
            <w:r>
              <w:rPr>
                <w:noProof/>
                <w:webHidden/>
              </w:rPr>
              <w:t>19</w:t>
            </w:r>
            <w:r>
              <w:rPr>
                <w:noProof/>
                <w:webHidden/>
              </w:rPr>
              <w:fldChar w:fldCharType="end"/>
            </w:r>
          </w:hyperlink>
        </w:p>
        <w:p w14:paraId="1938282F" w14:textId="61622DD1" w:rsidR="00CD7501" w:rsidRDefault="00CD7501">
          <w:pPr>
            <w:pStyle w:val="TOC3"/>
            <w:tabs>
              <w:tab w:val="left" w:pos="1100"/>
              <w:tab w:val="right" w:leader="dot" w:pos="9016"/>
            </w:tabs>
            <w:rPr>
              <w:rFonts w:eastAsiaTheme="minorEastAsia"/>
              <w:noProof/>
              <w:lang w:eastAsia="en-AU"/>
            </w:rPr>
          </w:pPr>
          <w:hyperlink w:anchor="_Toc115358094" w:history="1">
            <w:r w:rsidRPr="00D1221A">
              <w:rPr>
                <w:rStyle w:val="Hyperlink"/>
                <w:noProof/>
              </w:rPr>
              <w:t>6.3</w:t>
            </w:r>
            <w:r>
              <w:rPr>
                <w:rFonts w:eastAsiaTheme="minorEastAsia"/>
                <w:noProof/>
                <w:lang w:eastAsia="en-AU"/>
              </w:rPr>
              <w:tab/>
            </w:r>
            <w:r w:rsidRPr="00D1221A">
              <w:rPr>
                <w:rStyle w:val="Hyperlink"/>
                <w:noProof/>
              </w:rPr>
              <w:t>Real problems</w:t>
            </w:r>
            <w:r>
              <w:rPr>
                <w:noProof/>
                <w:webHidden/>
              </w:rPr>
              <w:tab/>
            </w:r>
            <w:r>
              <w:rPr>
                <w:noProof/>
                <w:webHidden/>
              </w:rPr>
              <w:fldChar w:fldCharType="begin"/>
            </w:r>
            <w:r>
              <w:rPr>
                <w:noProof/>
                <w:webHidden/>
              </w:rPr>
              <w:instrText xml:space="preserve"> PAGEREF _Toc115358094 \h </w:instrText>
            </w:r>
            <w:r>
              <w:rPr>
                <w:noProof/>
                <w:webHidden/>
              </w:rPr>
            </w:r>
            <w:r>
              <w:rPr>
                <w:noProof/>
                <w:webHidden/>
              </w:rPr>
              <w:fldChar w:fldCharType="separate"/>
            </w:r>
            <w:r>
              <w:rPr>
                <w:noProof/>
                <w:webHidden/>
              </w:rPr>
              <w:t>20</w:t>
            </w:r>
            <w:r>
              <w:rPr>
                <w:noProof/>
                <w:webHidden/>
              </w:rPr>
              <w:fldChar w:fldCharType="end"/>
            </w:r>
          </w:hyperlink>
        </w:p>
        <w:p w14:paraId="1A6A5F21" w14:textId="6FC99B2C" w:rsidR="00CD7501" w:rsidRDefault="00CD7501">
          <w:pPr>
            <w:pStyle w:val="TOC3"/>
            <w:tabs>
              <w:tab w:val="left" w:pos="1100"/>
              <w:tab w:val="right" w:leader="dot" w:pos="9016"/>
            </w:tabs>
            <w:rPr>
              <w:rFonts w:eastAsiaTheme="minorEastAsia"/>
              <w:noProof/>
              <w:lang w:eastAsia="en-AU"/>
            </w:rPr>
          </w:pPr>
          <w:hyperlink w:anchor="_Toc115358095" w:history="1">
            <w:r w:rsidRPr="00D1221A">
              <w:rPr>
                <w:rStyle w:val="Hyperlink"/>
                <w:noProof/>
              </w:rPr>
              <w:t>6.4</w:t>
            </w:r>
            <w:r>
              <w:rPr>
                <w:rFonts w:eastAsiaTheme="minorEastAsia"/>
                <w:noProof/>
                <w:lang w:eastAsia="en-AU"/>
              </w:rPr>
              <w:tab/>
            </w:r>
            <w:r w:rsidRPr="00D1221A">
              <w:rPr>
                <w:rStyle w:val="Hyperlink"/>
                <w:noProof/>
              </w:rPr>
              <w:t>Finally</w:t>
            </w:r>
            <w:r>
              <w:rPr>
                <w:noProof/>
                <w:webHidden/>
              </w:rPr>
              <w:tab/>
            </w:r>
            <w:r>
              <w:rPr>
                <w:noProof/>
                <w:webHidden/>
              </w:rPr>
              <w:fldChar w:fldCharType="begin"/>
            </w:r>
            <w:r>
              <w:rPr>
                <w:noProof/>
                <w:webHidden/>
              </w:rPr>
              <w:instrText xml:space="preserve"> PAGEREF _Toc115358095 \h </w:instrText>
            </w:r>
            <w:r>
              <w:rPr>
                <w:noProof/>
                <w:webHidden/>
              </w:rPr>
            </w:r>
            <w:r>
              <w:rPr>
                <w:noProof/>
                <w:webHidden/>
              </w:rPr>
              <w:fldChar w:fldCharType="separate"/>
            </w:r>
            <w:r>
              <w:rPr>
                <w:noProof/>
                <w:webHidden/>
              </w:rPr>
              <w:t>21</w:t>
            </w:r>
            <w:r>
              <w:rPr>
                <w:noProof/>
                <w:webHidden/>
              </w:rPr>
              <w:fldChar w:fldCharType="end"/>
            </w:r>
          </w:hyperlink>
        </w:p>
        <w:p w14:paraId="211F1A99" w14:textId="7DD03679" w:rsidR="00EE300B" w:rsidRDefault="00EE300B" w:rsidP="00880EC6">
          <w:pPr>
            <w:spacing w:after="0"/>
          </w:pPr>
          <w:r>
            <w:rPr>
              <w:b/>
              <w:bCs/>
              <w:noProof/>
            </w:rPr>
            <w:fldChar w:fldCharType="end"/>
          </w:r>
        </w:p>
      </w:sdtContent>
    </w:sdt>
    <w:p w14:paraId="60DCE8BC" w14:textId="77777777" w:rsidR="00EE300B" w:rsidRDefault="00EE300B" w:rsidP="00880EC6">
      <w:pPr>
        <w:spacing w:after="0"/>
        <w:rPr>
          <w:rFonts w:asciiTheme="majorHAnsi" w:eastAsiaTheme="majorEastAsia" w:hAnsiTheme="majorHAnsi" w:cstheme="majorBidi"/>
          <w:color w:val="2F5496" w:themeColor="accent1" w:themeShade="BF"/>
          <w:sz w:val="32"/>
          <w:szCs w:val="32"/>
        </w:rPr>
      </w:pPr>
      <w:r>
        <w:br w:type="page"/>
      </w:r>
    </w:p>
    <w:p w14:paraId="55689D4C" w14:textId="3801B33E" w:rsidR="00F03A50" w:rsidRDefault="00F03A50" w:rsidP="00F03A50">
      <w:pPr>
        <w:pStyle w:val="Heading2"/>
      </w:pPr>
      <w:bookmarkStart w:id="0" w:name="_Toc115358070"/>
      <w:r>
        <w:lastRenderedPageBreak/>
        <w:t>Summary</w:t>
      </w:r>
      <w:bookmarkEnd w:id="0"/>
    </w:p>
    <w:p w14:paraId="4F2B25E6" w14:textId="53832A03" w:rsidR="00CF5455" w:rsidRPr="00C37BF4" w:rsidRDefault="00F03A50" w:rsidP="00880EC6">
      <w:pPr>
        <w:spacing w:after="0"/>
        <w:rPr>
          <w:sz w:val="20"/>
          <w:szCs w:val="20"/>
        </w:rPr>
      </w:pPr>
      <w:r w:rsidRPr="00C37BF4">
        <w:rPr>
          <w:sz w:val="20"/>
          <w:szCs w:val="20"/>
        </w:rPr>
        <w:t xml:space="preserve">This is an article about former Prime Minister Morrison secretly hoarding Ministerial positions.  </w:t>
      </w:r>
      <w:r w:rsidR="00687E3A">
        <w:rPr>
          <w:sz w:val="20"/>
          <w:szCs w:val="20"/>
        </w:rPr>
        <w:t>And how, i</w:t>
      </w:r>
      <w:r w:rsidRPr="00C37BF4">
        <w:rPr>
          <w:sz w:val="20"/>
          <w:szCs w:val="20"/>
        </w:rPr>
        <w:t>n August and September 2022, his successor Mr Albanese and many Australian commenta</w:t>
      </w:r>
      <w:r w:rsidR="004810C5" w:rsidRPr="00C37BF4">
        <w:rPr>
          <w:sz w:val="20"/>
          <w:szCs w:val="20"/>
        </w:rPr>
        <w:t>tors</w:t>
      </w:r>
      <w:r w:rsidRPr="00C37BF4">
        <w:rPr>
          <w:sz w:val="20"/>
          <w:szCs w:val="20"/>
        </w:rPr>
        <w:t xml:space="preserve"> ‘went over the top’ </w:t>
      </w:r>
      <w:r w:rsidR="0060458E">
        <w:rPr>
          <w:sz w:val="20"/>
          <w:szCs w:val="20"/>
        </w:rPr>
        <w:t xml:space="preserve">personalising and </w:t>
      </w:r>
      <w:r w:rsidRPr="00C37BF4">
        <w:rPr>
          <w:sz w:val="20"/>
          <w:szCs w:val="20"/>
        </w:rPr>
        <w:t>politic</w:t>
      </w:r>
      <w:r w:rsidR="0060458E">
        <w:rPr>
          <w:sz w:val="20"/>
          <w:szCs w:val="20"/>
        </w:rPr>
        <w:t>ising the</w:t>
      </w:r>
      <w:r w:rsidRPr="00C37BF4">
        <w:rPr>
          <w:sz w:val="20"/>
          <w:szCs w:val="20"/>
        </w:rPr>
        <w:t xml:space="preserve"> </w:t>
      </w:r>
      <w:r w:rsidR="00687E3A">
        <w:rPr>
          <w:sz w:val="20"/>
          <w:szCs w:val="20"/>
        </w:rPr>
        <w:t xml:space="preserve">controversy – obscuring, inadvertently or otherwise, a </w:t>
      </w:r>
      <w:r w:rsidR="004650D2">
        <w:rPr>
          <w:sz w:val="20"/>
          <w:szCs w:val="20"/>
        </w:rPr>
        <w:t xml:space="preserve">major </w:t>
      </w:r>
      <w:r w:rsidR="00687E3A">
        <w:rPr>
          <w:sz w:val="20"/>
          <w:szCs w:val="20"/>
        </w:rPr>
        <w:t>issue</w:t>
      </w:r>
      <w:r w:rsidRPr="00C37BF4">
        <w:rPr>
          <w:sz w:val="20"/>
          <w:szCs w:val="20"/>
        </w:rPr>
        <w:t xml:space="preserve">.  </w:t>
      </w:r>
    </w:p>
    <w:p w14:paraId="22776C5A" w14:textId="77777777" w:rsidR="00CF5455" w:rsidRPr="00C37BF4" w:rsidRDefault="00CF5455" w:rsidP="00880EC6">
      <w:pPr>
        <w:spacing w:after="0"/>
        <w:rPr>
          <w:sz w:val="20"/>
          <w:szCs w:val="20"/>
        </w:rPr>
      </w:pPr>
    </w:p>
    <w:p w14:paraId="3652A1B0" w14:textId="0B81FE85" w:rsidR="00CF5455" w:rsidRPr="00C37BF4" w:rsidRDefault="00CF5455" w:rsidP="00880EC6">
      <w:pPr>
        <w:spacing w:after="0"/>
        <w:rPr>
          <w:sz w:val="20"/>
          <w:szCs w:val="20"/>
        </w:rPr>
      </w:pPr>
      <w:r w:rsidRPr="00C37BF4">
        <w:rPr>
          <w:sz w:val="20"/>
          <w:szCs w:val="20"/>
        </w:rPr>
        <w:t>Mr Albanese sought the Solicitor General’s opinion</w:t>
      </w:r>
      <w:r w:rsidR="004650D2">
        <w:rPr>
          <w:sz w:val="20"/>
          <w:szCs w:val="20"/>
        </w:rPr>
        <w:t xml:space="preserve"> on</w:t>
      </w:r>
      <w:r w:rsidRPr="00C37BF4">
        <w:rPr>
          <w:sz w:val="20"/>
          <w:szCs w:val="20"/>
        </w:rPr>
        <w:t xml:space="preserve"> appointments of Morrison to Ministerial positions</w:t>
      </w:r>
      <w:r w:rsidR="004650D2">
        <w:rPr>
          <w:sz w:val="20"/>
          <w:szCs w:val="20"/>
        </w:rPr>
        <w:t xml:space="preserve">.  </w:t>
      </w:r>
      <w:r w:rsidR="005A599D">
        <w:rPr>
          <w:sz w:val="20"/>
          <w:szCs w:val="20"/>
        </w:rPr>
        <w:t>T</w:t>
      </w:r>
      <w:r w:rsidR="004650D2">
        <w:rPr>
          <w:sz w:val="20"/>
          <w:szCs w:val="20"/>
        </w:rPr>
        <w:t>he Solicitor General opined they</w:t>
      </w:r>
      <w:r w:rsidRPr="00C37BF4">
        <w:rPr>
          <w:sz w:val="20"/>
          <w:szCs w:val="20"/>
        </w:rPr>
        <w:t xml:space="preserve"> were valid despite their secrecy undermining responsible government.</w:t>
      </w:r>
    </w:p>
    <w:p w14:paraId="0E36C927" w14:textId="77777777" w:rsidR="00CF5455" w:rsidRPr="00C37BF4" w:rsidRDefault="00CF5455" w:rsidP="00880EC6">
      <w:pPr>
        <w:spacing w:after="0"/>
        <w:rPr>
          <w:sz w:val="20"/>
          <w:szCs w:val="20"/>
        </w:rPr>
      </w:pPr>
    </w:p>
    <w:p w14:paraId="6DCFC8FF" w14:textId="4CE031DD" w:rsidR="00F03A50" w:rsidRPr="00C37BF4" w:rsidRDefault="00F03A50" w:rsidP="00880EC6">
      <w:pPr>
        <w:spacing w:after="0"/>
        <w:rPr>
          <w:sz w:val="20"/>
          <w:szCs w:val="20"/>
        </w:rPr>
      </w:pPr>
      <w:r w:rsidRPr="00C37BF4">
        <w:rPr>
          <w:sz w:val="20"/>
          <w:szCs w:val="20"/>
        </w:rPr>
        <w:t>An</w:t>
      </w:r>
      <w:r w:rsidR="004650D2">
        <w:rPr>
          <w:sz w:val="20"/>
          <w:szCs w:val="20"/>
        </w:rPr>
        <w:t>other</w:t>
      </w:r>
      <w:r w:rsidRPr="00C37BF4">
        <w:rPr>
          <w:sz w:val="20"/>
          <w:szCs w:val="20"/>
        </w:rPr>
        <w:t xml:space="preserve"> inquiry into the controversy </w:t>
      </w:r>
      <w:r w:rsidR="004810C5" w:rsidRPr="00C37BF4">
        <w:rPr>
          <w:sz w:val="20"/>
          <w:szCs w:val="20"/>
        </w:rPr>
        <w:t>h</w:t>
      </w:r>
      <w:r w:rsidRPr="00C37BF4">
        <w:rPr>
          <w:sz w:val="20"/>
          <w:szCs w:val="20"/>
        </w:rPr>
        <w:t xml:space="preserve">as </w:t>
      </w:r>
      <w:r w:rsidR="004810C5" w:rsidRPr="00C37BF4">
        <w:rPr>
          <w:sz w:val="20"/>
          <w:szCs w:val="20"/>
        </w:rPr>
        <w:t xml:space="preserve">been </w:t>
      </w:r>
      <w:r w:rsidRPr="00C37BF4">
        <w:rPr>
          <w:sz w:val="20"/>
          <w:szCs w:val="20"/>
        </w:rPr>
        <w:t xml:space="preserve">announced, headed by a former High Court justice.  </w:t>
      </w:r>
      <w:r w:rsidR="00CF5455" w:rsidRPr="00C37BF4">
        <w:rPr>
          <w:sz w:val="20"/>
          <w:szCs w:val="20"/>
        </w:rPr>
        <w:t xml:space="preserve">Among </w:t>
      </w:r>
      <w:r w:rsidR="00C37BF4">
        <w:rPr>
          <w:sz w:val="20"/>
          <w:szCs w:val="20"/>
        </w:rPr>
        <w:t>its</w:t>
      </w:r>
      <w:r w:rsidR="00CF5455" w:rsidRPr="00C37BF4">
        <w:rPr>
          <w:sz w:val="20"/>
          <w:szCs w:val="20"/>
        </w:rPr>
        <w:t xml:space="preserve"> curios, it is seeking public submissions on matters which the public unlikely ha</w:t>
      </w:r>
      <w:r w:rsidR="004650D2">
        <w:rPr>
          <w:sz w:val="20"/>
          <w:szCs w:val="20"/>
        </w:rPr>
        <w:t>s</w:t>
      </w:r>
      <w:r w:rsidR="00CF5455" w:rsidRPr="00C37BF4">
        <w:rPr>
          <w:sz w:val="20"/>
          <w:szCs w:val="20"/>
        </w:rPr>
        <w:t xml:space="preserve"> knowledge</w:t>
      </w:r>
      <w:r w:rsidR="00C37BF4">
        <w:rPr>
          <w:sz w:val="20"/>
          <w:szCs w:val="20"/>
        </w:rPr>
        <w:t xml:space="preserve"> or informed views</w:t>
      </w:r>
      <w:r w:rsidR="00CF5455" w:rsidRPr="00C37BF4">
        <w:rPr>
          <w:sz w:val="20"/>
          <w:szCs w:val="20"/>
        </w:rPr>
        <w:t>.</w:t>
      </w:r>
      <w:r w:rsidR="00194833">
        <w:rPr>
          <w:sz w:val="20"/>
          <w:szCs w:val="20"/>
        </w:rPr>
        <w:t xml:space="preserve">  This article supports such a submission.</w:t>
      </w:r>
    </w:p>
    <w:p w14:paraId="7C2F6955" w14:textId="41E8D053" w:rsidR="00CF5455" w:rsidRPr="00C37BF4" w:rsidRDefault="00CF5455" w:rsidP="00880EC6">
      <w:pPr>
        <w:spacing w:after="0"/>
        <w:rPr>
          <w:sz w:val="20"/>
          <w:szCs w:val="20"/>
        </w:rPr>
      </w:pPr>
    </w:p>
    <w:p w14:paraId="03A250D1" w14:textId="5F4536BE" w:rsidR="00F055D1" w:rsidRPr="00C37BF4" w:rsidRDefault="00194833" w:rsidP="00880EC6">
      <w:pPr>
        <w:spacing w:after="0"/>
        <w:rPr>
          <w:sz w:val="20"/>
          <w:szCs w:val="20"/>
        </w:rPr>
      </w:pPr>
      <w:r>
        <w:rPr>
          <w:sz w:val="20"/>
          <w:szCs w:val="20"/>
        </w:rPr>
        <w:t>M</w:t>
      </w:r>
      <w:r w:rsidR="00CF5455" w:rsidRPr="00C37BF4">
        <w:rPr>
          <w:sz w:val="20"/>
          <w:szCs w:val="20"/>
        </w:rPr>
        <w:t xml:space="preserve">any of the opinions shouted from the commentariat </w:t>
      </w:r>
      <w:r w:rsidR="00CE5F2E">
        <w:rPr>
          <w:sz w:val="20"/>
          <w:szCs w:val="20"/>
        </w:rPr>
        <w:t>are</w:t>
      </w:r>
      <w:r w:rsidR="00CF5455" w:rsidRPr="00C37BF4">
        <w:rPr>
          <w:sz w:val="20"/>
          <w:szCs w:val="20"/>
        </w:rPr>
        <w:t xml:space="preserve"> </w:t>
      </w:r>
      <w:r w:rsidR="00D8310E">
        <w:rPr>
          <w:sz w:val="20"/>
          <w:szCs w:val="20"/>
        </w:rPr>
        <w:t>superficial and specious</w:t>
      </w:r>
      <w:r w:rsidR="00CF5455" w:rsidRPr="00C37BF4">
        <w:rPr>
          <w:sz w:val="20"/>
          <w:szCs w:val="20"/>
        </w:rPr>
        <w:t>.</w:t>
      </w:r>
      <w:r w:rsidR="004810C5" w:rsidRPr="00C37BF4">
        <w:rPr>
          <w:sz w:val="20"/>
          <w:szCs w:val="20"/>
        </w:rPr>
        <w:t xml:space="preserve"> </w:t>
      </w:r>
      <w:r w:rsidR="00E2773C">
        <w:rPr>
          <w:sz w:val="20"/>
          <w:szCs w:val="20"/>
        </w:rPr>
        <w:t xml:space="preserve"> </w:t>
      </w:r>
      <w:r w:rsidR="00CF5455" w:rsidRPr="00C37BF4">
        <w:rPr>
          <w:sz w:val="20"/>
          <w:szCs w:val="20"/>
        </w:rPr>
        <w:t>Few</w:t>
      </w:r>
      <w:r>
        <w:rPr>
          <w:sz w:val="20"/>
          <w:szCs w:val="20"/>
        </w:rPr>
        <w:t xml:space="preserve"> noticed</w:t>
      </w:r>
      <w:r w:rsidR="00F055D1" w:rsidRPr="00C37BF4">
        <w:rPr>
          <w:sz w:val="20"/>
          <w:szCs w:val="20"/>
        </w:rPr>
        <w:t xml:space="preserve"> the paradox of the </w:t>
      </w:r>
      <w:r w:rsidR="00CF5455" w:rsidRPr="00C37BF4">
        <w:rPr>
          <w:sz w:val="20"/>
          <w:szCs w:val="20"/>
        </w:rPr>
        <w:t>Solicitor General’s opinion</w:t>
      </w:r>
      <w:r w:rsidR="00CE5F2E">
        <w:rPr>
          <w:sz w:val="20"/>
          <w:szCs w:val="20"/>
        </w:rPr>
        <w:t xml:space="preserve"> - </w:t>
      </w:r>
      <w:r w:rsidR="00CE5F2E" w:rsidRPr="00C37BF4">
        <w:rPr>
          <w:sz w:val="20"/>
          <w:szCs w:val="20"/>
        </w:rPr>
        <w:t xml:space="preserve">adherence to the Constitution can undermine </w:t>
      </w:r>
      <w:r w:rsidR="00CE5F2E">
        <w:rPr>
          <w:sz w:val="20"/>
          <w:szCs w:val="20"/>
        </w:rPr>
        <w:t>its p</w:t>
      </w:r>
      <w:r w:rsidR="00CE5F2E" w:rsidRPr="00C37BF4">
        <w:rPr>
          <w:sz w:val="20"/>
          <w:szCs w:val="20"/>
        </w:rPr>
        <w:t>urpose</w:t>
      </w:r>
      <w:r w:rsidR="00CE5F2E">
        <w:rPr>
          <w:sz w:val="20"/>
          <w:szCs w:val="20"/>
        </w:rPr>
        <w:t xml:space="preserve"> of </w:t>
      </w:r>
      <w:r w:rsidR="00F055D1" w:rsidRPr="00C37BF4">
        <w:rPr>
          <w:sz w:val="20"/>
          <w:szCs w:val="20"/>
        </w:rPr>
        <w:t xml:space="preserve">representative and responsible </w:t>
      </w:r>
      <w:r w:rsidR="004810C5" w:rsidRPr="00C37BF4">
        <w:rPr>
          <w:sz w:val="20"/>
          <w:szCs w:val="20"/>
        </w:rPr>
        <w:t xml:space="preserve">federal </w:t>
      </w:r>
      <w:r w:rsidR="00F055D1" w:rsidRPr="00C37BF4">
        <w:rPr>
          <w:sz w:val="20"/>
          <w:szCs w:val="20"/>
        </w:rPr>
        <w:t xml:space="preserve">government. </w:t>
      </w:r>
    </w:p>
    <w:p w14:paraId="64A067D6" w14:textId="77777777" w:rsidR="00F055D1" w:rsidRPr="00C37BF4" w:rsidRDefault="00F055D1" w:rsidP="00880EC6">
      <w:pPr>
        <w:spacing w:after="0"/>
        <w:rPr>
          <w:sz w:val="20"/>
          <w:szCs w:val="20"/>
        </w:rPr>
      </w:pPr>
    </w:p>
    <w:p w14:paraId="30995224" w14:textId="165ACB52" w:rsidR="006A6A0A" w:rsidRPr="00C37BF4" w:rsidRDefault="00792E22" w:rsidP="006A6A0A">
      <w:pPr>
        <w:spacing w:after="0"/>
        <w:rPr>
          <w:sz w:val="20"/>
          <w:szCs w:val="20"/>
        </w:rPr>
      </w:pPr>
      <w:r w:rsidRPr="00C37BF4">
        <w:rPr>
          <w:sz w:val="20"/>
          <w:szCs w:val="20"/>
        </w:rPr>
        <w:t xml:space="preserve">Contrary to commentary, the </w:t>
      </w:r>
      <w:r w:rsidR="00C42B67">
        <w:rPr>
          <w:sz w:val="20"/>
          <w:szCs w:val="20"/>
        </w:rPr>
        <w:t>ap</w:t>
      </w:r>
      <w:r w:rsidRPr="00C37BF4">
        <w:rPr>
          <w:sz w:val="20"/>
          <w:szCs w:val="20"/>
        </w:rPr>
        <w:t>pointments did not centralise powe</w:t>
      </w:r>
      <w:r w:rsidR="00C37BF4">
        <w:rPr>
          <w:sz w:val="20"/>
          <w:szCs w:val="20"/>
        </w:rPr>
        <w:t xml:space="preserve">r, </w:t>
      </w:r>
      <w:r w:rsidRPr="00C37BF4">
        <w:rPr>
          <w:sz w:val="20"/>
          <w:szCs w:val="20"/>
        </w:rPr>
        <w:t xml:space="preserve">nor </w:t>
      </w:r>
      <w:r w:rsidR="003F7570">
        <w:rPr>
          <w:sz w:val="20"/>
          <w:szCs w:val="20"/>
        </w:rPr>
        <w:t xml:space="preserve">directly </w:t>
      </w:r>
      <w:r w:rsidRPr="00C37BF4">
        <w:rPr>
          <w:sz w:val="20"/>
          <w:szCs w:val="20"/>
        </w:rPr>
        <w:t>threat</w:t>
      </w:r>
      <w:r w:rsidR="0060458E">
        <w:rPr>
          <w:sz w:val="20"/>
          <w:szCs w:val="20"/>
        </w:rPr>
        <w:t>en</w:t>
      </w:r>
      <w:r w:rsidRPr="00C37BF4">
        <w:rPr>
          <w:sz w:val="20"/>
          <w:szCs w:val="20"/>
        </w:rPr>
        <w:t xml:space="preserve"> democracy. </w:t>
      </w:r>
      <w:r w:rsidR="00C42B67">
        <w:rPr>
          <w:sz w:val="20"/>
          <w:szCs w:val="20"/>
        </w:rPr>
        <w:t xml:space="preserve"> </w:t>
      </w:r>
      <w:r w:rsidRPr="00C37BF4">
        <w:rPr>
          <w:sz w:val="20"/>
          <w:szCs w:val="20"/>
        </w:rPr>
        <w:t>Further, t</w:t>
      </w:r>
      <w:r w:rsidR="006A6A0A" w:rsidRPr="00C37BF4">
        <w:rPr>
          <w:sz w:val="20"/>
          <w:szCs w:val="20"/>
        </w:rPr>
        <w:t xml:space="preserve">here are at least four </w:t>
      </w:r>
      <w:r w:rsidRPr="00C37BF4">
        <w:rPr>
          <w:sz w:val="20"/>
          <w:szCs w:val="20"/>
        </w:rPr>
        <w:t>reasons</w:t>
      </w:r>
      <w:r w:rsidR="006A6A0A" w:rsidRPr="00C37BF4">
        <w:rPr>
          <w:sz w:val="20"/>
          <w:szCs w:val="20"/>
        </w:rPr>
        <w:t xml:space="preserve"> the</w:t>
      </w:r>
      <w:r w:rsidR="004810C5" w:rsidRPr="00C37BF4">
        <w:rPr>
          <w:sz w:val="20"/>
          <w:szCs w:val="20"/>
        </w:rPr>
        <w:t>y</w:t>
      </w:r>
      <w:r w:rsidR="006A6A0A" w:rsidRPr="00C37BF4">
        <w:rPr>
          <w:sz w:val="20"/>
          <w:szCs w:val="20"/>
        </w:rPr>
        <w:t xml:space="preserve"> </w:t>
      </w:r>
      <w:r w:rsidR="00EE01C1">
        <w:rPr>
          <w:sz w:val="20"/>
          <w:szCs w:val="20"/>
        </w:rPr>
        <w:t>may</w:t>
      </w:r>
      <w:r w:rsidRPr="00C37BF4">
        <w:rPr>
          <w:sz w:val="20"/>
          <w:szCs w:val="20"/>
        </w:rPr>
        <w:t xml:space="preserve"> not </w:t>
      </w:r>
      <w:r w:rsidR="00EE01C1">
        <w:rPr>
          <w:sz w:val="20"/>
          <w:szCs w:val="20"/>
        </w:rPr>
        <w:t xml:space="preserve">have directly </w:t>
      </w:r>
      <w:r w:rsidR="006A6A0A" w:rsidRPr="00C37BF4">
        <w:rPr>
          <w:sz w:val="20"/>
          <w:szCs w:val="20"/>
        </w:rPr>
        <w:t>undermine</w:t>
      </w:r>
      <w:r w:rsidR="00EE01C1">
        <w:rPr>
          <w:sz w:val="20"/>
          <w:szCs w:val="20"/>
        </w:rPr>
        <w:t>d</w:t>
      </w:r>
      <w:r w:rsidR="006A6A0A" w:rsidRPr="00C37BF4">
        <w:rPr>
          <w:sz w:val="20"/>
          <w:szCs w:val="20"/>
        </w:rPr>
        <w:t xml:space="preserve"> responsible government: a. </w:t>
      </w:r>
      <w:r w:rsidR="00194833" w:rsidRPr="00C37BF4">
        <w:rPr>
          <w:sz w:val="20"/>
          <w:szCs w:val="20"/>
        </w:rPr>
        <w:t>Parliament’s power over the Government was unaffected</w:t>
      </w:r>
      <w:r w:rsidR="00194833">
        <w:rPr>
          <w:sz w:val="20"/>
          <w:szCs w:val="20"/>
        </w:rPr>
        <w:t>;</w:t>
      </w:r>
      <w:r w:rsidR="00194833" w:rsidRPr="00C37BF4">
        <w:rPr>
          <w:sz w:val="20"/>
          <w:szCs w:val="20"/>
        </w:rPr>
        <w:t xml:space="preserve"> </w:t>
      </w:r>
      <w:r w:rsidR="00194833">
        <w:rPr>
          <w:sz w:val="20"/>
          <w:szCs w:val="20"/>
        </w:rPr>
        <w:t xml:space="preserve">b. </w:t>
      </w:r>
      <w:r w:rsidR="006A6A0A" w:rsidRPr="00C37BF4">
        <w:rPr>
          <w:sz w:val="20"/>
          <w:szCs w:val="20"/>
        </w:rPr>
        <w:t xml:space="preserve">There was no interruption to Parliament’s oversight of the Government; </w:t>
      </w:r>
      <w:r w:rsidR="00194833">
        <w:rPr>
          <w:sz w:val="20"/>
          <w:szCs w:val="20"/>
        </w:rPr>
        <w:t>c</w:t>
      </w:r>
      <w:r w:rsidR="006A6A0A" w:rsidRPr="00C37BF4">
        <w:rPr>
          <w:sz w:val="20"/>
          <w:szCs w:val="20"/>
        </w:rPr>
        <w:t xml:space="preserve">. Very strong perceptions of Prime Ministerial responsibility for every Ministry; </w:t>
      </w:r>
      <w:r w:rsidR="00194833">
        <w:rPr>
          <w:sz w:val="20"/>
          <w:szCs w:val="20"/>
        </w:rPr>
        <w:t>d</w:t>
      </w:r>
      <w:r w:rsidR="006A6A0A" w:rsidRPr="00C37BF4">
        <w:rPr>
          <w:sz w:val="20"/>
          <w:szCs w:val="20"/>
        </w:rPr>
        <w:t>. Mr Morrison</w:t>
      </w:r>
      <w:r w:rsidR="00C37BF4" w:rsidRPr="00C37BF4">
        <w:rPr>
          <w:sz w:val="20"/>
          <w:szCs w:val="20"/>
        </w:rPr>
        <w:t>’</w:t>
      </w:r>
      <w:r w:rsidR="006A6A0A" w:rsidRPr="00C37BF4">
        <w:rPr>
          <w:sz w:val="20"/>
          <w:szCs w:val="20"/>
        </w:rPr>
        <w:t>s position as Minister would have become evident immediately on any attempt to so act.</w:t>
      </w:r>
    </w:p>
    <w:p w14:paraId="30D343A2" w14:textId="33D67153" w:rsidR="00541C53" w:rsidRPr="00C37BF4" w:rsidRDefault="00541C53" w:rsidP="00880EC6">
      <w:pPr>
        <w:spacing w:after="0"/>
        <w:rPr>
          <w:sz w:val="20"/>
          <w:szCs w:val="20"/>
        </w:rPr>
      </w:pPr>
    </w:p>
    <w:p w14:paraId="5D8323CD" w14:textId="25C7936F" w:rsidR="003D0C51" w:rsidRPr="00C37BF4" w:rsidRDefault="00C42B67" w:rsidP="00880EC6">
      <w:pPr>
        <w:spacing w:after="0"/>
        <w:rPr>
          <w:sz w:val="20"/>
          <w:szCs w:val="20"/>
        </w:rPr>
      </w:pPr>
      <w:r>
        <w:rPr>
          <w:sz w:val="20"/>
          <w:szCs w:val="20"/>
        </w:rPr>
        <w:t>While</w:t>
      </w:r>
      <w:r w:rsidR="003D0C51" w:rsidRPr="00C37BF4">
        <w:rPr>
          <w:sz w:val="20"/>
          <w:szCs w:val="20"/>
        </w:rPr>
        <w:t xml:space="preserve"> </w:t>
      </w:r>
      <w:r>
        <w:rPr>
          <w:sz w:val="20"/>
          <w:szCs w:val="20"/>
        </w:rPr>
        <w:t xml:space="preserve">they remained </w:t>
      </w:r>
      <w:r w:rsidR="003D0C51" w:rsidRPr="00C37BF4">
        <w:rPr>
          <w:sz w:val="20"/>
          <w:szCs w:val="20"/>
        </w:rPr>
        <w:t>secre</w:t>
      </w:r>
      <w:r>
        <w:rPr>
          <w:sz w:val="20"/>
          <w:szCs w:val="20"/>
        </w:rPr>
        <w:t>t, the</w:t>
      </w:r>
      <w:r w:rsidR="003D0C51" w:rsidRPr="00C37BF4">
        <w:rPr>
          <w:sz w:val="20"/>
          <w:szCs w:val="20"/>
        </w:rPr>
        <w:t xml:space="preserve"> appointments </w:t>
      </w:r>
      <w:r w:rsidR="00C62666">
        <w:rPr>
          <w:sz w:val="20"/>
          <w:szCs w:val="20"/>
        </w:rPr>
        <w:t xml:space="preserve">led to a </w:t>
      </w:r>
      <w:r w:rsidR="003D0C51" w:rsidRPr="00C37BF4">
        <w:rPr>
          <w:sz w:val="20"/>
          <w:szCs w:val="20"/>
        </w:rPr>
        <w:t>mismatch</w:t>
      </w:r>
      <w:r w:rsidR="00C62666">
        <w:rPr>
          <w:sz w:val="20"/>
          <w:szCs w:val="20"/>
        </w:rPr>
        <w:t xml:space="preserve"> between</w:t>
      </w:r>
      <w:r w:rsidR="003D0C51" w:rsidRPr="00C37BF4">
        <w:rPr>
          <w:sz w:val="20"/>
          <w:szCs w:val="20"/>
        </w:rPr>
        <w:t xml:space="preserve"> </w:t>
      </w:r>
      <w:r w:rsidR="00B47934">
        <w:rPr>
          <w:sz w:val="20"/>
          <w:szCs w:val="20"/>
        </w:rPr>
        <w:t>supposed</w:t>
      </w:r>
      <w:r w:rsidR="003D0C51" w:rsidRPr="00C37BF4">
        <w:rPr>
          <w:sz w:val="20"/>
          <w:szCs w:val="20"/>
        </w:rPr>
        <w:t xml:space="preserve"> and actual legal power</w:t>
      </w:r>
      <w:r w:rsidR="00F9401F">
        <w:rPr>
          <w:sz w:val="20"/>
          <w:szCs w:val="20"/>
        </w:rPr>
        <w:t xml:space="preserve">.  </w:t>
      </w:r>
      <w:r w:rsidR="003D0C51" w:rsidRPr="00C37BF4">
        <w:rPr>
          <w:sz w:val="20"/>
          <w:szCs w:val="20"/>
        </w:rPr>
        <w:t xml:space="preserve">Morrison’s actual power </w:t>
      </w:r>
      <w:r w:rsidR="00C37BF4" w:rsidRPr="00C37BF4">
        <w:rPr>
          <w:sz w:val="20"/>
          <w:szCs w:val="20"/>
        </w:rPr>
        <w:t>w</w:t>
      </w:r>
      <w:r>
        <w:rPr>
          <w:sz w:val="20"/>
          <w:szCs w:val="20"/>
        </w:rPr>
        <w:t>as</w:t>
      </w:r>
      <w:r w:rsidR="003D0C51" w:rsidRPr="00C37BF4">
        <w:rPr>
          <w:sz w:val="20"/>
          <w:szCs w:val="20"/>
        </w:rPr>
        <w:t xml:space="preserve"> greater than </w:t>
      </w:r>
      <w:r w:rsidR="00EE01C1">
        <w:rPr>
          <w:sz w:val="20"/>
          <w:szCs w:val="20"/>
        </w:rPr>
        <w:t>known</w:t>
      </w:r>
      <w:r w:rsidR="00C62666">
        <w:rPr>
          <w:sz w:val="20"/>
          <w:szCs w:val="20"/>
        </w:rPr>
        <w:t xml:space="preserve">.  </w:t>
      </w:r>
      <w:r w:rsidR="003F7570">
        <w:rPr>
          <w:sz w:val="20"/>
          <w:szCs w:val="20"/>
        </w:rPr>
        <w:t>The</w:t>
      </w:r>
      <w:r w:rsidR="0041131F">
        <w:rPr>
          <w:sz w:val="20"/>
          <w:szCs w:val="20"/>
        </w:rPr>
        <w:t xml:space="preserve"> </w:t>
      </w:r>
      <w:r w:rsidR="00B47934">
        <w:rPr>
          <w:sz w:val="20"/>
          <w:szCs w:val="20"/>
        </w:rPr>
        <w:t>mismatch</w:t>
      </w:r>
      <w:r w:rsidR="0041131F">
        <w:rPr>
          <w:sz w:val="20"/>
          <w:szCs w:val="20"/>
        </w:rPr>
        <w:t xml:space="preserve"> </w:t>
      </w:r>
      <w:r w:rsidR="00C62666">
        <w:rPr>
          <w:sz w:val="20"/>
          <w:szCs w:val="20"/>
        </w:rPr>
        <w:t>was merely hypothetical</w:t>
      </w:r>
      <w:r w:rsidR="00B47934">
        <w:rPr>
          <w:sz w:val="20"/>
          <w:szCs w:val="20"/>
        </w:rPr>
        <w:t xml:space="preserve"> - remaining</w:t>
      </w:r>
      <w:r w:rsidR="0041131F">
        <w:rPr>
          <w:sz w:val="20"/>
          <w:szCs w:val="20"/>
        </w:rPr>
        <w:t xml:space="preserve"> </w:t>
      </w:r>
      <w:r w:rsidR="00AA0BEB" w:rsidRPr="00AA0BEB">
        <w:rPr>
          <w:i/>
          <w:iCs/>
          <w:sz w:val="20"/>
          <w:szCs w:val="20"/>
        </w:rPr>
        <w:t>only</w:t>
      </w:r>
      <w:r w:rsidR="00AA0BEB">
        <w:rPr>
          <w:sz w:val="20"/>
          <w:szCs w:val="20"/>
        </w:rPr>
        <w:t xml:space="preserve"> </w:t>
      </w:r>
      <w:r w:rsidR="00390416" w:rsidRPr="00C37BF4">
        <w:rPr>
          <w:sz w:val="20"/>
          <w:szCs w:val="20"/>
        </w:rPr>
        <w:t xml:space="preserve">until </w:t>
      </w:r>
      <w:r w:rsidR="0041131F">
        <w:rPr>
          <w:sz w:val="20"/>
          <w:szCs w:val="20"/>
        </w:rPr>
        <w:t xml:space="preserve">that </w:t>
      </w:r>
      <w:r w:rsidR="00390416" w:rsidRPr="00C37BF4">
        <w:rPr>
          <w:sz w:val="20"/>
          <w:szCs w:val="20"/>
        </w:rPr>
        <w:t>power was exercised</w:t>
      </w:r>
      <w:r w:rsidR="003D0C51" w:rsidRPr="00C37BF4">
        <w:rPr>
          <w:sz w:val="20"/>
          <w:szCs w:val="20"/>
        </w:rPr>
        <w:t>. Such circumstances do not lend themselves to abuse of power.</w:t>
      </w:r>
    </w:p>
    <w:p w14:paraId="4EB36DB6" w14:textId="77777777" w:rsidR="003D0C51" w:rsidRPr="00C37BF4" w:rsidRDefault="003D0C51" w:rsidP="00880EC6">
      <w:pPr>
        <w:spacing w:after="0"/>
        <w:rPr>
          <w:sz w:val="20"/>
          <w:szCs w:val="20"/>
        </w:rPr>
      </w:pPr>
    </w:p>
    <w:p w14:paraId="1ABD0E39" w14:textId="28D3B483" w:rsidR="00B019AB" w:rsidRDefault="0041131F" w:rsidP="00880EC6">
      <w:pPr>
        <w:spacing w:after="0"/>
        <w:rPr>
          <w:sz w:val="20"/>
          <w:szCs w:val="20"/>
        </w:rPr>
      </w:pPr>
      <w:r>
        <w:rPr>
          <w:sz w:val="20"/>
          <w:szCs w:val="20"/>
        </w:rPr>
        <w:t>Yet s</w:t>
      </w:r>
      <w:r w:rsidR="00390416" w:rsidRPr="00C37BF4">
        <w:rPr>
          <w:sz w:val="20"/>
          <w:szCs w:val="20"/>
        </w:rPr>
        <w:t>ecrecy about wh</w:t>
      </w:r>
      <w:r w:rsidR="00AA0BEB">
        <w:rPr>
          <w:sz w:val="20"/>
          <w:szCs w:val="20"/>
        </w:rPr>
        <w:t>o</w:t>
      </w:r>
      <w:r w:rsidR="00390416" w:rsidRPr="00C37BF4">
        <w:rPr>
          <w:sz w:val="20"/>
          <w:szCs w:val="20"/>
        </w:rPr>
        <w:t xml:space="preserve"> hold</w:t>
      </w:r>
      <w:r w:rsidR="00F9401F">
        <w:rPr>
          <w:sz w:val="20"/>
          <w:szCs w:val="20"/>
        </w:rPr>
        <w:t>s</w:t>
      </w:r>
      <w:r w:rsidR="00390416" w:rsidRPr="00C37BF4">
        <w:rPr>
          <w:sz w:val="20"/>
          <w:szCs w:val="20"/>
        </w:rPr>
        <w:t xml:space="preserve"> which powers</w:t>
      </w:r>
      <w:r>
        <w:rPr>
          <w:sz w:val="20"/>
          <w:szCs w:val="20"/>
        </w:rPr>
        <w:t xml:space="preserve"> </w:t>
      </w:r>
      <w:r w:rsidR="00390416" w:rsidRPr="00C37BF4">
        <w:rPr>
          <w:sz w:val="20"/>
          <w:szCs w:val="20"/>
        </w:rPr>
        <w:t>giv</w:t>
      </w:r>
      <w:r w:rsidR="00B47934">
        <w:rPr>
          <w:sz w:val="20"/>
          <w:szCs w:val="20"/>
        </w:rPr>
        <w:t>es</w:t>
      </w:r>
      <w:r w:rsidR="00390416" w:rsidRPr="00C37BF4">
        <w:rPr>
          <w:sz w:val="20"/>
          <w:szCs w:val="20"/>
        </w:rPr>
        <w:t xml:space="preserve"> rise to another possibility </w:t>
      </w:r>
      <w:r w:rsidR="00F9401F">
        <w:rPr>
          <w:sz w:val="20"/>
          <w:szCs w:val="20"/>
        </w:rPr>
        <w:t xml:space="preserve">of </w:t>
      </w:r>
      <w:r w:rsidR="00390416" w:rsidRPr="00C37BF4">
        <w:rPr>
          <w:sz w:val="20"/>
          <w:szCs w:val="20"/>
        </w:rPr>
        <w:t xml:space="preserve">mismatch </w:t>
      </w:r>
      <w:r w:rsidR="00F9401F">
        <w:rPr>
          <w:sz w:val="20"/>
          <w:szCs w:val="20"/>
        </w:rPr>
        <w:t>between</w:t>
      </w:r>
      <w:r w:rsidR="00390416" w:rsidRPr="00C37BF4">
        <w:rPr>
          <w:sz w:val="20"/>
          <w:szCs w:val="20"/>
        </w:rPr>
        <w:t xml:space="preserve"> </w:t>
      </w:r>
      <w:r w:rsidR="00B47934">
        <w:rPr>
          <w:sz w:val="20"/>
          <w:szCs w:val="20"/>
        </w:rPr>
        <w:t>supposed</w:t>
      </w:r>
      <w:r w:rsidR="00390416" w:rsidRPr="00C37BF4">
        <w:rPr>
          <w:sz w:val="20"/>
          <w:szCs w:val="20"/>
        </w:rPr>
        <w:t xml:space="preserve"> and actual legal power.  If there is uncertainty about wh</w:t>
      </w:r>
      <w:r w:rsidR="00DE147D">
        <w:rPr>
          <w:sz w:val="20"/>
          <w:szCs w:val="20"/>
        </w:rPr>
        <w:t>o</w:t>
      </w:r>
      <w:r w:rsidR="00AA0BEB">
        <w:rPr>
          <w:sz w:val="20"/>
          <w:szCs w:val="20"/>
        </w:rPr>
        <w:t xml:space="preserve"> </w:t>
      </w:r>
      <w:r w:rsidR="00390416" w:rsidRPr="00C37BF4">
        <w:rPr>
          <w:sz w:val="20"/>
          <w:szCs w:val="20"/>
        </w:rPr>
        <w:t xml:space="preserve">holds what powers, </w:t>
      </w:r>
      <w:r w:rsidR="00DE147D">
        <w:rPr>
          <w:sz w:val="20"/>
          <w:szCs w:val="20"/>
        </w:rPr>
        <w:t>some</w:t>
      </w:r>
      <w:r w:rsidR="00390416" w:rsidRPr="00C37BF4">
        <w:rPr>
          <w:sz w:val="20"/>
          <w:szCs w:val="20"/>
        </w:rPr>
        <w:t xml:space="preserve"> may claim to have powers greater than the law allows.  </w:t>
      </w:r>
      <w:r w:rsidR="00DE147D">
        <w:rPr>
          <w:sz w:val="20"/>
          <w:szCs w:val="20"/>
        </w:rPr>
        <w:t>A</w:t>
      </w:r>
      <w:r w:rsidR="003D0C51" w:rsidRPr="00C37BF4">
        <w:rPr>
          <w:sz w:val="20"/>
          <w:szCs w:val="20"/>
        </w:rPr>
        <w:t xml:space="preserve"> </w:t>
      </w:r>
      <w:r w:rsidR="00390416" w:rsidRPr="00C37BF4">
        <w:rPr>
          <w:sz w:val="20"/>
          <w:szCs w:val="20"/>
        </w:rPr>
        <w:t>Minister</w:t>
      </w:r>
      <w:r w:rsidR="00DE147D">
        <w:rPr>
          <w:sz w:val="20"/>
          <w:szCs w:val="20"/>
        </w:rPr>
        <w:t xml:space="preserve"> – and Government and officials -</w:t>
      </w:r>
      <w:r w:rsidR="00390416" w:rsidRPr="00C37BF4">
        <w:rPr>
          <w:sz w:val="20"/>
          <w:szCs w:val="20"/>
        </w:rPr>
        <w:t xml:space="preserve"> may bluff about their capabilities and unlawfully coerce the public.  That </w:t>
      </w:r>
      <w:r w:rsidR="00E75F2E">
        <w:rPr>
          <w:sz w:val="20"/>
          <w:szCs w:val="20"/>
        </w:rPr>
        <w:t>– the opposite to Mr Morrison</w:t>
      </w:r>
      <w:r w:rsidR="00DE147D">
        <w:rPr>
          <w:sz w:val="20"/>
          <w:szCs w:val="20"/>
        </w:rPr>
        <w:t>’s</w:t>
      </w:r>
      <w:r w:rsidR="00E2773C">
        <w:rPr>
          <w:sz w:val="20"/>
          <w:szCs w:val="20"/>
        </w:rPr>
        <w:t xml:space="preserve"> </w:t>
      </w:r>
      <w:r w:rsidR="00B47934">
        <w:rPr>
          <w:sz w:val="20"/>
          <w:szCs w:val="20"/>
        </w:rPr>
        <w:t xml:space="preserve">situation </w:t>
      </w:r>
      <w:r w:rsidR="00E2773C">
        <w:rPr>
          <w:sz w:val="20"/>
          <w:szCs w:val="20"/>
        </w:rPr>
        <w:t xml:space="preserve">- </w:t>
      </w:r>
      <w:r w:rsidR="00E75F2E">
        <w:rPr>
          <w:sz w:val="20"/>
          <w:szCs w:val="20"/>
        </w:rPr>
        <w:t xml:space="preserve"> </w:t>
      </w:r>
      <w:r w:rsidR="00E2773C">
        <w:rPr>
          <w:sz w:val="20"/>
          <w:szCs w:val="20"/>
        </w:rPr>
        <w:t xml:space="preserve">is </w:t>
      </w:r>
      <w:r w:rsidR="00390416" w:rsidRPr="00C37BF4">
        <w:rPr>
          <w:sz w:val="20"/>
          <w:szCs w:val="20"/>
        </w:rPr>
        <w:t xml:space="preserve">a </w:t>
      </w:r>
      <w:r w:rsidR="00E2773C">
        <w:rPr>
          <w:sz w:val="20"/>
          <w:szCs w:val="20"/>
        </w:rPr>
        <w:t>very serious</w:t>
      </w:r>
      <w:r w:rsidR="00390416" w:rsidRPr="00C37BF4">
        <w:rPr>
          <w:sz w:val="20"/>
          <w:szCs w:val="20"/>
        </w:rPr>
        <w:t xml:space="preserve"> </w:t>
      </w:r>
      <w:r w:rsidR="00C35D69">
        <w:rPr>
          <w:sz w:val="20"/>
          <w:szCs w:val="20"/>
        </w:rPr>
        <w:t>concern</w:t>
      </w:r>
      <w:r w:rsidR="00E2773C">
        <w:rPr>
          <w:sz w:val="20"/>
          <w:szCs w:val="20"/>
        </w:rPr>
        <w:t>.</w:t>
      </w:r>
    </w:p>
    <w:p w14:paraId="6FF112BC" w14:textId="0E68B06F" w:rsidR="0041131F" w:rsidRDefault="0041131F" w:rsidP="00880EC6">
      <w:pPr>
        <w:spacing w:after="0"/>
        <w:rPr>
          <w:sz w:val="20"/>
          <w:szCs w:val="20"/>
        </w:rPr>
      </w:pPr>
    </w:p>
    <w:p w14:paraId="614548CC" w14:textId="28A370BA" w:rsidR="0041131F" w:rsidRPr="00C37BF4" w:rsidRDefault="0041131F" w:rsidP="00880EC6">
      <w:pPr>
        <w:spacing w:after="0"/>
        <w:rPr>
          <w:sz w:val="20"/>
          <w:szCs w:val="20"/>
        </w:rPr>
      </w:pPr>
      <w:r>
        <w:rPr>
          <w:sz w:val="20"/>
          <w:szCs w:val="20"/>
        </w:rPr>
        <w:t xml:space="preserve">The problem with secrecy </w:t>
      </w:r>
      <w:r w:rsidR="00600FDB">
        <w:rPr>
          <w:sz w:val="20"/>
          <w:szCs w:val="20"/>
        </w:rPr>
        <w:t xml:space="preserve">about Ministerial </w:t>
      </w:r>
      <w:r w:rsidR="00DE147D">
        <w:rPr>
          <w:sz w:val="20"/>
          <w:szCs w:val="20"/>
        </w:rPr>
        <w:t>powers</w:t>
      </w:r>
      <w:r w:rsidR="00600FDB">
        <w:rPr>
          <w:sz w:val="20"/>
          <w:szCs w:val="20"/>
        </w:rPr>
        <w:t xml:space="preserve"> </w:t>
      </w:r>
      <w:r>
        <w:rPr>
          <w:sz w:val="20"/>
          <w:szCs w:val="20"/>
        </w:rPr>
        <w:t xml:space="preserve">is the same as with national emergency legislation.  It </w:t>
      </w:r>
      <w:r w:rsidR="00EB33D8">
        <w:rPr>
          <w:sz w:val="20"/>
          <w:szCs w:val="20"/>
        </w:rPr>
        <w:t xml:space="preserve">adds to </w:t>
      </w:r>
      <w:r w:rsidR="00C62666">
        <w:rPr>
          <w:sz w:val="20"/>
          <w:szCs w:val="20"/>
        </w:rPr>
        <w:t xml:space="preserve">the </w:t>
      </w:r>
      <w:r w:rsidR="00EB33D8">
        <w:rPr>
          <w:sz w:val="20"/>
          <w:szCs w:val="20"/>
        </w:rPr>
        <w:t xml:space="preserve">conditions and </w:t>
      </w:r>
      <w:r>
        <w:rPr>
          <w:sz w:val="20"/>
          <w:szCs w:val="20"/>
        </w:rPr>
        <w:t>precedent</w:t>
      </w:r>
      <w:r w:rsidR="00EB33D8">
        <w:rPr>
          <w:sz w:val="20"/>
          <w:szCs w:val="20"/>
        </w:rPr>
        <w:t>s</w:t>
      </w:r>
      <w:r w:rsidR="00600FDB">
        <w:rPr>
          <w:sz w:val="20"/>
          <w:szCs w:val="20"/>
        </w:rPr>
        <w:t xml:space="preserve"> </w:t>
      </w:r>
      <w:r>
        <w:rPr>
          <w:sz w:val="20"/>
          <w:szCs w:val="20"/>
        </w:rPr>
        <w:t xml:space="preserve">in which a </w:t>
      </w:r>
      <w:r w:rsidR="00600FDB">
        <w:rPr>
          <w:sz w:val="20"/>
          <w:szCs w:val="20"/>
        </w:rPr>
        <w:t>Prime Minister</w:t>
      </w:r>
      <w:r w:rsidR="00EB33D8">
        <w:rPr>
          <w:sz w:val="20"/>
          <w:szCs w:val="20"/>
        </w:rPr>
        <w:t xml:space="preserve"> </w:t>
      </w:r>
      <w:r w:rsidR="003F7570">
        <w:rPr>
          <w:sz w:val="20"/>
          <w:szCs w:val="20"/>
        </w:rPr>
        <w:t xml:space="preserve">– or Premier, or official - </w:t>
      </w:r>
      <w:r w:rsidR="00600FDB">
        <w:rPr>
          <w:sz w:val="20"/>
          <w:szCs w:val="20"/>
        </w:rPr>
        <w:t xml:space="preserve">less well intentioned than Mr Morrison </w:t>
      </w:r>
      <w:r w:rsidR="00B47934">
        <w:rPr>
          <w:sz w:val="20"/>
          <w:szCs w:val="20"/>
        </w:rPr>
        <w:t xml:space="preserve">or Albanese </w:t>
      </w:r>
      <w:r w:rsidR="00600FDB">
        <w:rPr>
          <w:sz w:val="20"/>
          <w:szCs w:val="20"/>
        </w:rPr>
        <w:t>can</w:t>
      </w:r>
      <w:r w:rsidR="00EB33D8">
        <w:rPr>
          <w:sz w:val="20"/>
          <w:szCs w:val="20"/>
        </w:rPr>
        <w:t>, by bluffing,</w:t>
      </w:r>
      <w:r w:rsidR="00600FDB">
        <w:rPr>
          <w:sz w:val="20"/>
          <w:szCs w:val="20"/>
        </w:rPr>
        <w:t xml:space="preserve"> </w:t>
      </w:r>
      <w:r w:rsidR="00B47934">
        <w:rPr>
          <w:sz w:val="20"/>
          <w:szCs w:val="20"/>
        </w:rPr>
        <w:t>seek</w:t>
      </w:r>
      <w:r w:rsidR="00600FDB">
        <w:rPr>
          <w:sz w:val="20"/>
          <w:szCs w:val="20"/>
        </w:rPr>
        <w:t xml:space="preserve"> to subvert Australia’s system of government</w:t>
      </w:r>
      <w:r w:rsidR="00EB33D8">
        <w:rPr>
          <w:sz w:val="20"/>
          <w:szCs w:val="20"/>
        </w:rPr>
        <w:t>.</w:t>
      </w:r>
      <w:r>
        <w:rPr>
          <w:sz w:val="20"/>
          <w:szCs w:val="20"/>
        </w:rPr>
        <w:t xml:space="preserve"> </w:t>
      </w:r>
    </w:p>
    <w:p w14:paraId="1D5245EA" w14:textId="77777777" w:rsidR="00B019AB" w:rsidRPr="00C37BF4" w:rsidRDefault="00B019AB" w:rsidP="00880EC6">
      <w:pPr>
        <w:spacing w:after="0"/>
        <w:rPr>
          <w:sz w:val="20"/>
          <w:szCs w:val="20"/>
        </w:rPr>
      </w:pPr>
    </w:p>
    <w:p w14:paraId="3234827D" w14:textId="4326D34D" w:rsidR="00B019AB" w:rsidRPr="00C37BF4" w:rsidRDefault="00B019AB" w:rsidP="00880EC6">
      <w:pPr>
        <w:spacing w:after="0"/>
        <w:rPr>
          <w:sz w:val="20"/>
          <w:szCs w:val="20"/>
        </w:rPr>
      </w:pPr>
      <w:r w:rsidRPr="00C37BF4">
        <w:rPr>
          <w:sz w:val="20"/>
          <w:szCs w:val="20"/>
        </w:rPr>
        <w:t xml:space="preserve">Examples of such </w:t>
      </w:r>
      <w:r w:rsidR="00EB33D8">
        <w:rPr>
          <w:sz w:val="20"/>
          <w:szCs w:val="20"/>
        </w:rPr>
        <w:t xml:space="preserve">bluffing </w:t>
      </w:r>
      <w:r w:rsidR="00B47934">
        <w:rPr>
          <w:sz w:val="20"/>
          <w:szCs w:val="20"/>
        </w:rPr>
        <w:t>exist</w:t>
      </w:r>
      <w:r w:rsidR="00F9401F">
        <w:rPr>
          <w:sz w:val="20"/>
          <w:szCs w:val="20"/>
        </w:rPr>
        <w:t xml:space="preserve">.  </w:t>
      </w:r>
      <w:r w:rsidR="00E75F2E">
        <w:rPr>
          <w:sz w:val="20"/>
          <w:szCs w:val="20"/>
        </w:rPr>
        <w:t>They</w:t>
      </w:r>
      <w:r w:rsidR="00F9401F">
        <w:rPr>
          <w:sz w:val="20"/>
          <w:szCs w:val="20"/>
        </w:rPr>
        <w:t xml:space="preserve"> include: </w:t>
      </w:r>
      <w:r w:rsidR="00B47934">
        <w:rPr>
          <w:sz w:val="20"/>
          <w:szCs w:val="20"/>
        </w:rPr>
        <w:t xml:space="preserve">Government </w:t>
      </w:r>
      <w:r w:rsidR="00F9401F">
        <w:rPr>
          <w:sz w:val="20"/>
          <w:szCs w:val="20"/>
        </w:rPr>
        <w:t xml:space="preserve">responses to </w:t>
      </w:r>
      <w:r w:rsidR="00050F65">
        <w:rPr>
          <w:sz w:val="20"/>
          <w:szCs w:val="20"/>
        </w:rPr>
        <w:t xml:space="preserve">fearmongering and real </w:t>
      </w:r>
      <w:r w:rsidR="00423459">
        <w:rPr>
          <w:sz w:val="20"/>
          <w:szCs w:val="20"/>
        </w:rPr>
        <w:t>emergencies</w:t>
      </w:r>
      <w:r w:rsidR="00F9401F">
        <w:rPr>
          <w:sz w:val="20"/>
          <w:szCs w:val="20"/>
        </w:rPr>
        <w:t xml:space="preserve">; </w:t>
      </w:r>
      <w:r w:rsidRPr="00C37BF4">
        <w:rPr>
          <w:sz w:val="20"/>
          <w:szCs w:val="20"/>
        </w:rPr>
        <w:t xml:space="preserve">Commonwealth spending.  Twomey refers to </w:t>
      </w:r>
      <w:r w:rsidR="003F7570">
        <w:rPr>
          <w:sz w:val="20"/>
          <w:szCs w:val="20"/>
        </w:rPr>
        <w:t xml:space="preserve">Commonwealth Ministers </w:t>
      </w:r>
      <w:r w:rsidR="00E360CF">
        <w:rPr>
          <w:sz w:val="20"/>
          <w:szCs w:val="20"/>
        </w:rPr>
        <w:t>bluff</w:t>
      </w:r>
      <w:r w:rsidR="00EE01C1">
        <w:rPr>
          <w:sz w:val="20"/>
          <w:szCs w:val="20"/>
        </w:rPr>
        <w:t>ing</w:t>
      </w:r>
      <w:r w:rsidR="00E360CF">
        <w:rPr>
          <w:sz w:val="20"/>
          <w:szCs w:val="20"/>
        </w:rPr>
        <w:t xml:space="preserve"> about</w:t>
      </w:r>
      <w:r w:rsidR="003F7570">
        <w:rPr>
          <w:sz w:val="20"/>
          <w:szCs w:val="20"/>
        </w:rPr>
        <w:t xml:space="preserve"> </w:t>
      </w:r>
      <w:r w:rsidR="00F9401F">
        <w:rPr>
          <w:sz w:val="20"/>
          <w:szCs w:val="20"/>
        </w:rPr>
        <w:t xml:space="preserve">spending </w:t>
      </w:r>
      <w:r w:rsidR="00E360CF">
        <w:rPr>
          <w:sz w:val="20"/>
          <w:szCs w:val="20"/>
        </w:rPr>
        <w:t>powers</w:t>
      </w:r>
      <w:r w:rsidR="00F9401F">
        <w:rPr>
          <w:sz w:val="20"/>
          <w:szCs w:val="20"/>
        </w:rPr>
        <w:t xml:space="preserve"> </w:t>
      </w:r>
      <w:r w:rsidRPr="00C37BF4">
        <w:rPr>
          <w:sz w:val="20"/>
          <w:szCs w:val="20"/>
        </w:rPr>
        <w:t xml:space="preserve">as ‘Constitutional risk’ </w:t>
      </w:r>
      <w:r w:rsidR="00EE01C1">
        <w:rPr>
          <w:sz w:val="20"/>
          <w:szCs w:val="20"/>
        </w:rPr>
        <w:t xml:space="preserve">- </w:t>
      </w:r>
      <w:r w:rsidRPr="00C37BF4">
        <w:rPr>
          <w:sz w:val="20"/>
          <w:szCs w:val="20"/>
        </w:rPr>
        <w:t>seeding democratic decay.  Parliament has aided and abetted th</w:t>
      </w:r>
      <w:r w:rsidR="00AA0BEB">
        <w:rPr>
          <w:sz w:val="20"/>
          <w:szCs w:val="20"/>
        </w:rPr>
        <w:t>at</w:t>
      </w:r>
      <w:r w:rsidRPr="00C37BF4">
        <w:rPr>
          <w:sz w:val="20"/>
          <w:szCs w:val="20"/>
        </w:rPr>
        <w:t xml:space="preserve"> </w:t>
      </w:r>
      <w:r w:rsidR="00E2773C">
        <w:rPr>
          <w:sz w:val="20"/>
          <w:szCs w:val="20"/>
        </w:rPr>
        <w:t>decay,</w:t>
      </w:r>
      <w:r w:rsidRPr="00C37BF4">
        <w:rPr>
          <w:sz w:val="20"/>
          <w:szCs w:val="20"/>
        </w:rPr>
        <w:t xml:space="preserve"> including by </w:t>
      </w:r>
      <w:r w:rsidR="00E360CF">
        <w:rPr>
          <w:sz w:val="20"/>
          <w:szCs w:val="20"/>
        </w:rPr>
        <w:t>unanimous acquiescence to l</w:t>
      </w:r>
      <w:r w:rsidR="00E2773C">
        <w:rPr>
          <w:sz w:val="20"/>
          <w:szCs w:val="20"/>
        </w:rPr>
        <w:t>owering</w:t>
      </w:r>
      <w:r w:rsidR="00E360CF">
        <w:rPr>
          <w:sz w:val="20"/>
          <w:szCs w:val="20"/>
        </w:rPr>
        <w:t xml:space="preserve"> </w:t>
      </w:r>
      <w:r w:rsidRPr="00C37BF4">
        <w:rPr>
          <w:sz w:val="20"/>
          <w:szCs w:val="20"/>
        </w:rPr>
        <w:t>control</w:t>
      </w:r>
      <w:r w:rsidR="00EE01C1">
        <w:rPr>
          <w:sz w:val="20"/>
          <w:szCs w:val="20"/>
        </w:rPr>
        <w:t>s</w:t>
      </w:r>
      <w:r w:rsidRPr="00C37BF4">
        <w:rPr>
          <w:sz w:val="20"/>
          <w:szCs w:val="20"/>
        </w:rPr>
        <w:t xml:space="preserve"> over the </w:t>
      </w:r>
      <w:r w:rsidR="00DE147D">
        <w:rPr>
          <w:sz w:val="20"/>
          <w:szCs w:val="20"/>
        </w:rPr>
        <w:t xml:space="preserve">Prime Minister, Ministers and the </w:t>
      </w:r>
      <w:r w:rsidRPr="00C37BF4">
        <w:rPr>
          <w:sz w:val="20"/>
          <w:szCs w:val="20"/>
        </w:rPr>
        <w:t>Government.</w:t>
      </w:r>
    </w:p>
    <w:p w14:paraId="5AD1A4C4" w14:textId="77777777" w:rsidR="00B019AB" w:rsidRPr="00C37BF4" w:rsidRDefault="00B019AB" w:rsidP="00880EC6">
      <w:pPr>
        <w:spacing w:after="0"/>
        <w:rPr>
          <w:sz w:val="20"/>
          <w:szCs w:val="20"/>
        </w:rPr>
      </w:pPr>
    </w:p>
    <w:p w14:paraId="59754119" w14:textId="5B07721A" w:rsidR="00C62666" w:rsidRPr="00C37BF4" w:rsidRDefault="00C62666" w:rsidP="00C62666">
      <w:pPr>
        <w:spacing w:after="0"/>
        <w:rPr>
          <w:sz w:val="20"/>
          <w:szCs w:val="20"/>
        </w:rPr>
      </w:pPr>
      <w:r>
        <w:rPr>
          <w:sz w:val="20"/>
          <w:szCs w:val="20"/>
        </w:rPr>
        <w:t>B</w:t>
      </w:r>
      <w:r w:rsidRPr="00C37BF4">
        <w:rPr>
          <w:sz w:val="20"/>
          <w:szCs w:val="20"/>
        </w:rPr>
        <w:t xml:space="preserve">etter views recently expressed in the High Court suggest very strong </w:t>
      </w:r>
      <w:r>
        <w:rPr>
          <w:sz w:val="20"/>
          <w:szCs w:val="20"/>
        </w:rPr>
        <w:t>opposition to</w:t>
      </w:r>
      <w:r w:rsidRPr="00C37BF4">
        <w:rPr>
          <w:sz w:val="20"/>
          <w:szCs w:val="20"/>
        </w:rPr>
        <w:t xml:space="preserve"> anything that may weaken representative and responsible government – even hypothetically.</w:t>
      </w:r>
    </w:p>
    <w:p w14:paraId="024F3F4B" w14:textId="77777777" w:rsidR="00C62666" w:rsidRPr="00C37BF4" w:rsidRDefault="00C62666" w:rsidP="00C62666">
      <w:pPr>
        <w:spacing w:after="0"/>
        <w:rPr>
          <w:sz w:val="20"/>
          <w:szCs w:val="20"/>
        </w:rPr>
      </w:pPr>
    </w:p>
    <w:p w14:paraId="23A65152" w14:textId="527E4B3D" w:rsidR="00F9401F" w:rsidRDefault="00B019AB" w:rsidP="00880EC6">
      <w:pPr>
        <w:spacing w:after="0"/>
        <w:rPr>
          <w:sz w:val="20"/>
          <w:szCs w:val="20"/>
        </w:rPr>
      </w:pPr>
      <w:r w:rsidRPr="00C37BF4">
        <w:rPr>
          <w:sz w:val="20"/>
          <w:szCs w:val="20"/>
        </w:rPr>
        <w:t>For th</w:t>
      </w:r>
      <w:r w:rsidR="00EE01C1">
        <w:rPr>
          <w:sz w:val="20"/>
          <w:szCs w:val="20"/>
        </w:rPr>
        <w:t>ose</w:t>
      </w:r>
      <w:r w:rsidRPr="00C37BF4">
        <w:rPr>
          <w:sz w:val="20"/>
          <w:szCs w:val="20"/>
        </w:rPr>
        <w:t xml:space="preserve"> reason</w:t>
      </w:r>
      <w:r w:rsidR="00EE01C1">
        <w:rPr>
          <w:sz w:val="20"/>
          <w:szCs w:val="20"/>
        </w:rPr>
        <w:t>s</w:t>
      </w:r>
      <w:r w:rsidRPr="00C37BF4">
        <w:rPr>
          <w:sz w:val="20"/>
          <w:szCs w:val="20"/>
        </w:rPr>
        <w:t xml:space="preserve"> any </w:t>
      </w:r>
      <w:r w:rsidR="00F9401F">
        <w:rPr>
          <w:sz w:val="20"/>
          <w:szCs w:val="20"/>
        </w:rPr>
        <w:t>secrecy about Ministerial powers</w:t>
      </w:r>
      <w:r w:rsidRPr="00C37BF4">
        <w:rPr>
          <w:sz w:val="20"/>
          <w:szCs w:val="20"/>
        </w:rPr>
        <w:t xml:space="preserve"> should be regarded as </w:t>
      </w:r>
      <w:r w:rsidR="004810C5" w:rsidRPr="00C37BF4">
        <w:rPr>
          <w:sz w:val="20"/>
          <w:szCs w:val="20"/>
        </w:rPr>
        <w:t>tinpot illegality.</w:t>
      </w:r>
      <w:r w:rsidR="00F9401F">
        <w:rPr>
          <w:sz w:val="20"/>
          <w:szCs w:val="20"/>
        </w:rPr>
        <w:t xml:space="preserve">  Among the implications: Government should publish legal advi</w:t>
      </w:r>
      <w:r w:rsidR="00423459">
        <w:rPr>
          <w:sz w:val="20"/>
          <w:szCs w:val="20"/>
        </w:rPr>
        <w:t>c</w:t>
      </w:r>
      <w:r w:rsidR="00F9401F">
        <w:rPr>
          <w:sz w:val="20"/>
          <w:szCs w:val="20"/>
        </w:rPr>
        <w:t>e on which its decisions, including for spending, are based.</w:t>
      </w:r>
    </w:p>
    <w:p w14:paraId="161F5D7F" w14:textId="4C528CDB" w:rsidR="00F9401F" w:rsidRDefault="00F9401F" w:rsidP="00880EC6">
      <w:pPr>
        <w:spacing w:after="0"/>
        <w:rPr>
          <w:sz w:val="20"/>
          <w:szCs w:val="20"/>
        </w:rPr>
      </w:pPr>
    </w:p>
    <w:p w14:paraId="7126D99A" w14:textId="4DE56219" w:rsidR="00B019AB" w:rsidRPr="00E360CF" w:rsidRDefault="00AA0BEB" w:rsidP="00E360CF">
      <w:pPr>
        <w:spacing w:after="0"/>
        <w:rPr>
          <w:rStyle w:val="Heading1Char"/>
        </w:rPr>
      </w:pPr>
      <w:r>
        <w:rPr>
          <w:sz w:val="20"/>
          <w:szCs w:val="20"/>
        </w:rPr>
        <w:t>The co</w:t>
      </w:r>
      <w:r w:rsidR="00EE01C1">
        <w:rPr>
          <w:sz w:val="20"/>
          <w:szCs w:val="20"/>
        </w:rPr>
        <w:t>mmentary to date</w:t>
      </w:r>
      <w:r>
        <w:rPr>
          <w:sz w:val="20"/>
          <w:szCs w:val="20"/>
        </w:rPr>
        <w:t xml:space="preserve"> speaks of emotive animus against Mr Morrison – a dangerous place to start public policy </w:t>
      </w:r>
      <w:r w:rsidR="00687E3A">
        <w:rPr>
          <w:sz w:val="20"/>
          <w:szCs w:val="20"/>
        </w:rPr>
        <w:t>formulation</w:t>
      </w:r>
      <w:r>
        <w:rPr>
          <w:sz w:val="20"/>
          <w:szCs w:val="20"/>
        </w:rPr>
        <w:t xml:space="preserve">.  </w:t>
      </w:r>
      <w:r w:rsidR="00EE01C1">
        <w:rPr>
          <w:sz w:val="20"/>
          <w:szCs w:val="20"/>
        </w:rPr>
        <w:t xml:space="preserve">The term </w:t>
      </w:r>
      <w:r w:rsidR="00F9401F">
        <w:rPr>
          <w:sz w:val="20"/>
          <w:szCs w:val="20"/>
        </w:rPr>
        <w:t xml:space="preserve">‘tinpot’ </w:t>
      </w:r>
      <w:r w:rsidR="00EE01C1">
        <w:rPr>
          <w:sz w:val="20"/>
          <w:szCs w:val="20"/>
        </w:rPr>
        <w:t xml:space="preserve">may have been borrowed </w:t>
      </w:r>
      <w:r w:rsidR="00F9401F">
        <w:rPr>
          <w:sz w:val="20"/>
          <w:szCs w:val="20"/>
        </w:rPr>
        <w:t>from the jadebeagle’s admonitions</w:t>
      </w:r>
      <w:r w:rsidR="00423459">
        <w:rPr>
          <w:sz w:val="20"/>
          <w:szCs w:val="20"/>
        </w:rPr>
        <w:t xml:space="preserve"> of </w:t>
      </w:r>
      <w:r w:rsidR="00DE147D">
        <w:rPr>
          <w:sz w:val="20"/>
          <w:szCs w:val="20"/>
        </w:rPr>
        <w:t xml:space="preserve">what is done in the name of </w:t>
      </w:r>
      <w:r w:rsidR="00423459">
        <w:rPr>
          <w:sz w:val="20"/>
          <w:szCs w:val="20"/>
        </w:rPr>
        <w:t xml:space="preserve">emergencies.  Given the above, and the breadth of derogations from </w:t>
      </w:r>
      <w:r w:rsidR="007B57AE">
        <w:rPr>
          <w:sz w:val="20"/>
          <w:szCs w:val="20"/>
        </w:rPr>
        <w:t>our system of government</w:t>
      </w:r>
      <w:r w:rsidR="00B90196">
        <w:rPr>
          <w:sz w:val="20"/>
          <w:szCs w:val="20"/>
        </w:rPr>
        <w:t xml:space="preserve"> – hidden by </w:t>
      </w:r>
      <w:r w:rsidR="00EE01C1">
        <w:rPr>
          <w:sz w:val="20"/>
          <w:szCs w:val="20"/>
        </w:rPr>
        <w:t>a</w:t>
      </w:r>
      <w:r w:rsidR="00B90196">
        <w:rPr>
          <w:sz w:val="20"/>
          <w:szCs w:val="20"/>
        </w:rPr>
        <w:t xml:space="preserve"> farcical focus on Mr Morrison - </w:t>
      </w:r>
      <w:r w:rsidR="00423459">
        <w:rPr>
          <w:sz w:val="20"/>
          <w:szCs w:val="20"/>
        </w:rPr>
        <w:t xml:space="preserve"> </w:t>
      </w:r>
      <w:r w:rsidR="007B57AE">
        <w:rPr>
          <w:sz w:val="20"/>
          <w:szCs w:val="20"/>
        </w:rPr>
        <w:t>they should</w:t>
      </w:r>
      <w:r w:rsidR="00423459">
        <w:rPr>
          <w:sz w:val="20"/>
          <w:szCs w:val="20"/>
        </w:rPr>
        <w:t xml:space="preserve"> follow the beagle and update the terminology to ‘tipfire’.</w:t>
      </w:r>
      <w:r w:rsidR="00C37BF4">
        <w:rPr>
          <w:sz w:val="20"/>
          <w:szCs w:val="20"/>
        </w:rPr>
        <w:br w:type="page"/>
      </w:r>
      <w:r w:rsidR="00B019AB" w:rsidRPr="00E360CF">
        <w:rPr>
          <w:rStyle w:val="Heading1Char"/>
        </w:rPr>
        <w:lastRenderedPageBreak/>
        <w:t>Tinpot</w:t>
      </w:r>
      <w:r w:rsidR="00BF7986" w:rsidRPr="00E360CF">
        <w:rPr>
          <w:rStyle w:val="Heading1Char"/>
        </w:rPr>
        <w:t>:</w:t>
      </w:r>
      <w:r w:rsidR="00B019AB" w:rsidRPr="00E360CF">
        <w:rPr>
          <w:rStyle w:val="Heading1Char"/>
        </w:rPr>
        <w:t xml:space="preserve"> </w:t>
      </w:r>
      <w:r w:rsidR="00CE5F2E">
        <w:rPr>
          <w:rStyle w:val="Heading1Char"/>
        </w:rPr>
        <w:t>T</w:t>
      </w:r>
      <w:r w:rsidR="00B019AB" w:rsidRPr="00E360CF">
        <w:rPr>
          <w:rStyle w:val="Heading1Char"/>
        </w:rPr>
        <w:t>ipfire</w:t>
      </w:r>
      <w:r w:rsidR="00F80030">
        <w:rPr>
          <w:rStyle w:val="Heading1Char"/>
        </w:rPr>
        <w:t xml:space="preserve"> c</w:t>
      </w:r>
    </w:p>
    <w:p w14:paraId="7A76D6B6" w14:textId="4133B7CA" w:rsidR="00B019AB" w:rsidRDefault="00B019AB" w:rsidP="00B019AB">
      <w:pPr>
        <w:spacing w:after="0"/>
        <w:rPr>
          <w:i/>
          <w:iCs/>
        </w:rPr>
      </w:pPr>
      <w:r w:rsidRPr="00C62458">
        <w:rPr>
          <w:i/>
          <w:iCs/>
        </w:rPr>
        <w:t xml:space="preserve">There are plenty of ‘h’ words.  </w:t>
      </w:r>
      <w:r w:rsidR="001C6A51" w:rsidRPr="00C62458">
        <w:rPr>
          <w:i/>
          <w:iCs/>
        </w:rPr>
        <w:t>H</w:t>
      </w:r>
      <w:r w:rsidR="001C6A51">
        <w:rPr>
          <w:i/>
          <w:iCs/>
        </w:rPr>
        <w:t>appily,</w:t>
      </w:r>
      <w:r w:rsidR="00BF7986">
        <w:rPr>
          <w:i/>
          <w:iCs/>
        </w:rPr>
        <w:t xml:space="preserve"> h</w:t>
      </w:r>
      <w:r w:rsidRPr="00C62458">
        <w:rPr>
          <w:i/>
          <w:iCs/>
        </w:rPr>
        <w:t>eresy</w:t>
      </w:r>
      <w:r>
        <w:rPr>
          <w:i/>
          <w:iCs/>
        </w:rPr>
        <w:t xml:space="preserve"> </w:t>
      </w:r>
      <w:r w:rsidRPr="00C62458">
        <w:rPr>
          <w:i/>
          <w:iCs/>
        </w:rPr>
        <w:t xml:space="preserve">is </w:t>
      </w:r>
      <w:r>
        <w:rPr>
          <w:i/>
          <w:iCs/>
        </w:rPr>
        <w:t>not the only one raised in this article</w:t>
      </w:r>
      <w:r w:rsidRPr="00C62458">
        <w:rPr>
          <w:i/>
          <w:iCs/>
        </w:rPr>
        <w:t>.</w:t>
      </w:r>
    </w:p>
    <w:p w14:paraId="3C18085E" w14:textId="77777777" w:rsidR="00B019AB" w:rsidRDefault="00B019AB" w:rsidP="00B019AB">
      <w:pPr>
        <w:spacing w:after="0"/>
        <w:rPr>
          <w:i/>
          <w:iCs/>
        </w:rPr>
      </w:pPr>
    </w:p>
    <w:p w14:paraId="6258094B" w14:textId="217DE9E9" w:rsidR="00156A37" w:rsidRDefault="00032009" w:rsidP="00880EC6">
      <w:pPr>
        <w:pStyle w:val="Heading2"/>
        <w:spacing w:before="0"/>
      </w:pPr>
      <w:bookmarkStart w:id="1" w:name="_Toc115358071"/>
      <w:r w:rsidRPr="00032009">
        <w:t>1.</w:t>
      </w:r>
      <w:r>
        <w:tab/>
      </w:r>
      <w:r w:rsidR="00907B00">
        <w:t>Introduction</w:t>
      </w:r>
      <w:bookmarkEnd w:id="1"/>
    </w:p>
    <w:p w14:paraId="625D082D" w14:textId="36941F5E" w:rsidR="00CE00AC" w:rsidRDefault="000308C4" w:rsidP="00880EC6">
      <w:pPr>
        <w:spacing w:after="0"/>
      </w:pPr>
      <w:r>
        <w:t>It’s</w:t>
      </w:r>
      <w:r w:rsidR="00342149">
        <w:t xml:space="preserve"> w</w:t>
      </w:r>
      <w:r w:rsidR="00156A37">
        <w:t>eird</w:t>
      </w:r>
      <w:r w:rsidR="00C62458">
        <w:t>.</w:t>
      </w:r>
      <w:r w:rsidR="00156A37">
        <w:t xml:space="preserve">  </w:t>
      </w:r>
      <w:r>
        <w:t>It’s</w:t>
      </w:r>
      <w:r w:rsidR="00342149">
        <w:t xml:space="preserve"> o</w:t>
      </w:r>
      <w:r w:rsidR="00156A37">
        <w:t>ver the top</w:t>
      </w:r>
      <w:r w:rsidR="00C62458">
        <w:t>.</w:t>
      </w:r>
      <w:r w:rsidR="00156A37">
        <w:t xml:space="preserve">  And its tinpot</w:t>
      </w:r>
      <w:r w:rsidR="00342149">
        <w:t>?</w:t>
      </w:r>
      <w:r w:rsidR="00264446">
        <w:t xml:space="preserve">  </w:t>
      </w:r>
    </w:p>
    <w:p w14:paraId="2DC6B867" w14:textId="77777777" w:rsidR="00FF5132" w:rsidRDefault="00FF5132" w:rsidP="00880EC6">
      <w:pPr>
        <w:spacing w:after="0"/>
      </w:pPr>
    </w:p>
    <w:p w14:paraId="18490C6E" w14:textId="6BAED8F9" w:rsidR="003B1F63" w:rsidRDefault="00AC66CE" w:rsidP="00880EC6">
      <w:pPr>
        <w:spacing w:after="0"/>
      </w:pPr>
      <w:r>
        <w:t>And that’s j</w:t>
      </w:r>
      <w:r w:rsidR="00156A37">
        <w:t xml:space="preserve">ust the </w:t>
      </w:r>
      <w:r w:rsidR="00750E99">
        <w:t xml:space="preserve">Prime Minister’s </w:t>
      </w:r>
      <w:r w:rsidR="009F4125">
        <w:t xml:space="preserve">– Mr Anthony Albanese’s - </w:t>
      </w:r>
      <w:r w:rsidR="00750E99">
        <w:t>reaction to his predecessor</w:t>
      </w:r>
      <w:r w:rsidR="00156A37">
        <w:t xml:space="preserve"> </w:t>
      </w:r>
      <w:r>
        <w:t>hoarding</w:t>
      </w:r>
      <w:r w:rsidR="00156A37">
        <w:t xml:space="preserve">  </w:t>
      </w:r>
      <w:r w:rsidR="00907B00">
        <w:t xml:space="preserve">Ministerial </w:t>
      </w:r>
      <w:r w:rsidR="00156A37">
        <w:t>po</w:t>
      </w:r>
      <w:r>
        <w:t>sitions</w:t>
      </w:r>
      <w:r w:rsidR="00156A37">
        <w:t>.</w:t>
      </w:r>
      <w:r w:rsidR="003B1F63">
        <w:rPr>
          <w:rStyle w:val="FootnoteReference"/>
        </w:rPr>
        <w:footnoteReference w:id="1"/>
      </w:r>
      <w:r w:rsidR="003B1F63">
        <w:t xml:space="preserve">  </w:t>
      </w:r>
    </w:p>
    <w:p w14:paraId="1279DC09" w14:textId="77777777" w:rsidR="00FF5132" w:rsidRDefault="00FF5132" w:rsidP="00880EC6">
      <w:pPr>
        <w:spacing w:after="0"/>
      </w:pPr>
    </w:p>
    <w:p w14:paraId="79C5A0BA" w14:textId="3B9D0948" w:rsidR="006556AF" w:rsidRDefault="008C6A73" w:rsidP="00880EC6">
      <w:pPr>
        <w:spacing w:after="0"/>
      </w:pPr>
      <w:r>
        <w:t>In the best tinpot tradition, at the end of a w</w:t>
      </w:r>
      <w:r w:rsidR="003B1F63">
        <w:t>ell-earned holiday.</w:t>
      </w:r>
      <w:r w:rsidR="003B1F63">
        <w:rPr>
          <w:rStyle w:val="FootnoteReference"/>
        </w:rPr>
        <w:footnoteReference w:id="2"/>
      </w:r>
      <w:r w:rsidR="00750E99">
        <w:t xml:space="preserve">  </w:t>
      </w:r>
    </w:p>
    <w:p w14:paraId="243C3102" w14:textId="77777777" w:rsidR="00FF5132" w:rsidRDefault="00FF5132" w:rsidP="00880EC6">
      <w:pPr>
        <w:spacing w:after="0"/>
      </w:pPr>
    </w:p>
    <w:p w14:paraId="09E4C295" w14:textId="615E3301" w:rsidR="005F50FA" w:rsidRDefault="00032009" w:rsidP="00880EC6">
      <w:pPr>
        <w:spacing w:after="0"/>
      </w:pPr>
      <w:r>
        <w:t>His predecessor</w:t>
      </w:r>
      <w:r w:rsidR="008C6A73">
        <w:t>, Mr Morrison,</w:t>
      </w:r>
      <w:r w:rsidR="00342149">
        <w:t xml:space="preserve"> </w:t>
      </w:r>
      <w:r w:rsidR="00264446">
        <w:t xml:space="preserve">from March 2020 </w:t>
      </w:r>
      <w:r w:rsidR="00342149">
        <w:t xml:space="preserve">apparently acted like a </w:t>
      </w:r>
      <w:r w:rsidR="005F50FA">
        <w:t>bower bird</w:t>
      </w:r>
      <w:r w:rsidR="00B6527A">
        <w:t xml:space="preserve"> – </w:t>
      </w:r>
      <w:r w:rsidR="00F02754">
        <w:t xml:space="preserve">liberally </w:t>
      </w:r>
      <w:r w:rsidR="00B6527A">
        <w:t>collecting trinkets of blue</w:t>
      </w:r>
      <w:r w:rsidR="00342149">
        <w:t>.</w:t>
      </w:r>
      <w:r w:rsidR="005F50FA">
        <w:rPr>
          <w:rStyle w:val="FootnoteReference"/>
        </w:rPr>
        <w:footnoteReference w:id="3"/>
      </w:r>
      <w:r w:rsidR="004C2530">
        <w:t xml:space="preserve">  </w:t>
      </w:r>
    </w:p>
    <w:p w14:paraId="4F48950B" w14:textId="77777777" w:rsidR="00FF5132" w:rsidRDefault="00FF5132" w:rsidP="00880EC6">
      <w:pPr>
        <w:spacing w:after="0"/>
      </w:pPr>
    </w:p>
    <w:p w14:paraId="6C90DD17" w14:textId="44740248" w:rsidR="00723BA5" w:rsidRDefault="008C6A73" w:rsidP="00880EC6">
      <w:pPr>
        <w:spacing w:after="0"/>
      </w:pPr>
      <w:r>
        <w:t xml:space="preserve">Mr Morrison’s </w:t>
      </w:r>
      <w:r w:rsidR="00907B00">
        <w:t xml:space="preserve">reaction to </w:t>
      </w:r>
      <w:r w:rsidR="008A3933">
        <w:t>harangues</w:t>
      </w:r>
      <w:r w:rsidR="00907B00">
        <w:t xml:space="preserve"> </w:t>
      </w:r>
      <w:r w:rsidR="00EE300B">
        <w:t>about not hose-holding</w:t>
      </w:r>
      <w:r w:rsidR="00907B00">
        <w:t xml:space="preserve"> was not merely to set up a royal commission enabling him to </w:t>
      </w:r>
      <w:r w:rsidR="00820F3E">
        <w:t>claim</w:t>
      </w:r>
      <w:r w:rsidR="00264446">
        <w:t xml:space="preserve"> </w:t>
      </w:r>
      <w:r w:rsidR="00907B00">
        <w:t>more power.</w:t>
      </w:r>
      <w:r w:rsidR="004C2530">
        <w:t xml:space="preserve">  </w:t>
      </w:r>
      <w:r w:rsidR="004576DC">
        <w:t>He also acquired</w:t>
      </w:r>
      <w:r w:rsidR="002734B6">
        <w:t xml:space="preserve"> </w:t>
      </w:r>
      <w:r w:rsidR="00264446">
        <w:t>Ministries</w:t>
      </w:r>
      <w:r w:rsidR="002734B6">
        <w:t xml:space="preserve"> </w:t>
      </w:r>
      <w:r w:rsidR="004576DC">
        <w:t>without</w:t>
      </w:r>
      <w:r w:rsidR="002734B6">
        <w:t xml:space="preserve"> telling anyone – other than the Governor General</w:t>
      </w:r>
      <w:r w:rsidR="001A13F9">
        <w:t xml:space="preserve"> and </w:t>
      </w:r>
      <w:r w:rsidR="00032009">
        <w:t xml:space="preserve">some in </w:t>
      </w:r>
      <w:r w:rsidR="001A13F9">
        <w:t>his own Department</w:t>
      </w:r>
      <w:r w:rsidR="002734B6">
        <w:t>.</w:t>
      </w:r>
      <w:r w:rsidR="001A13F9">
        <w:rPr>
          <w:rStyle w:val="FootnoteReference"/>
        </w:rPr>
        <w:footnoteReference w:id="4"/>
      </w:r>
      <w:r w:rsidR="002734B6">
        <w:t xml:space="preserve">  </w:t>
      </w:r>
    </w:p>
    <w:p w14:paraId="0882C12F" w14:textId="1A2B6A81" w:rsidR="00F02754" w:rsidRDefault="00F02754" w:rsidP="00880EC6">
      <w:pPr>
        <w:spacing w:after="0"/>
      </w:pPr>
    </w:p>
    <w:p w14:paraId="0EA1943C" w14:textId="240DDED8" w:rsidR="00F02754" w:rsidRDefault="00F02754" w:rsidP="00880EC6">
      <w:pPr>
        <w:spacing w:after="0"/>
      </w:pPr>
      <w:r>
        <w:t xml:space="preserve">Other reactions – including the Solicitor General’s opinion and most subsequent commentary – </w:t>
      </w:r>
      <w:r w:rsidR="00E17397">
        <w:t>are</w:t>
      </w:r>
      <w:r>
        <w:t xml:space="preserve"> similarly weird.</w:t>
      </w:r>
    </w:p>
    <w:p w14:paraId="107D0228" w14:textId="26C875C0" w:rsidR="007F46C6" w:rsidRDefault="007F46C6" w:rsidP="00880EC6">
      <w:pPr>
        <w:spacing w:after="0"/>
      </w:pPr>
    </w:p>
    <w:p w14:paraId="0119EC78" w14:textId="696D0AE7" w:rsidR="00820F3E" w:rsidRDefault="007F46C6" w:rsidP="00880EC6">
      <w:pPr>
        <w:spacing w:after="0"/>
      </w:pPr>
      <w:r>
        <w:t xml:space="preserve">Also </w:t>
      </w:r>
      <w:r w:rsidR="00050F65">
        <w:t xml:space="preserve">odd </w:t>
      </w:r>
      <w:r w:rsidR="0075448D">
        <w:t>is</w:t>
      </w:r>
      <w:r>
        <w:t xml:space="preserve"> a formal inquiry into the matter, given the Solicitor General already suggested rectification of the supposed problem - by simple legislation.  Terms of reference </w:t>
      </w:r>
      <w:r w:rsidR="00820F3E">
        <w:t>require</w:t>
      </w:r>
      <w:r>
        <w:t xml:space="preserve"> the inquiry hav</w:t>
      </w:r>
      <w:r w:rsidR="00820F3E">
        <w:t>e</w:t>
      </w:r>
      <w:r>
        <w:t xml:space="preserve"> regard to the Solicitor General’s opinion </w:t>
      </w:r>
      <w:r w:rsidR="0039067D">
        <w:t xml:space="preserve">yet </w:t>
      </w:r>
      <w:r>
        <w:t>review</w:t>
      </w:r>
      <w:r w:rsidR="0039067D">
        <w:t xml:space="preserve"> </w:t>
      </w:r>
      <w:r>
        <w:t xml:space="preserve">all matters </w:t>
      </w:r>
      <w:r w:rsidR="00262954">
        <w:t xml:space="preserve">the opinion </w:t>
      </w:r>
      <w:r>
        <w:t xml:space="preserve">touched on.  </w:t>
      </w:r>
    </w:p>
    <w:p w14:paraId="1A0174FA" w14:textId="77777777" w:rsidR="00820F3E" w:rsidRDefault="00820F3E" w:rsidP="00880EC6">
      <w:pPr>
        <w:spacing w:after="0"/>
      </w:pPr>
    </w:p>
    <w:p w14:paraId="735A0995" w14:textId="12291274" w:rsidR="007F46C6" w:rsidRDefault="007F46C6" w:rsidP="00880EC6">
      <w:pPr>
        <w:spacing w:after="0"/>
      </w:pPr>
      <w:r>
        <w:t xml:space="preserve">It is taking public submissions </w:t>
      </w:r>
      <w:r w:rsidR="006A0936">
        <w:t>despite</w:t>
      </w:r>
      <w:r w:rsidR="00262954">
        <w:t xml:space="preserve"> the general public </w:t>
      </w:r>
      <w:r w:rsidR="006A0936">
        <w:t>having</w:t>
      </w:r>
      <w:r w:rsidR="00262954">
        <w:t xml:space="preserve"> little </w:t>
      </w:r>
      <w:r w:rsidR="00820F3E">
        <w:t>understanding</w:t>
      </w:r>
      <w:r w:rsidR="00262954">
        <w:t xml:space="preserve"> of the issues</w:t>
      </w:r>
      <w:r w:rsidR="00050F65">
        <w:t xml:space="preserve"> of this particular case</w:t>
      </w:r>
      <w:r w:rsidR="0039067D">
        <w:t xml:space="preserve">.  </w:t>
      </w:r>
      <w:r w:rsidR="00050F65">
        <w:t xml:space="preserve">Hopefully, at least some submissions will </w:t>
      </w:r>
      <w:r w:rsidR="00CF27F9">
        <w:t>avoid</w:t>
      </w:r>
      <w:r w:rsidR="00050F65">
        <w:t xml:space="preserve"> rak</w:t>
      </w:r>
      <w:r w:rsidR="00CF27F9">
        <w:t>ing</w:t>
      </w:r>
      <w:r w:rsidR="00050F65">
        <w:t xml:space="preserve"> over old coals and </w:t>
      </w:r>
      <w:r w:rsidR="00CF27F9">
        <w:t xml:space="preserve">not </w:t>
      </w:r>
      <w:r w:rsidR="00050F65">
        <w:t>portray the events as some sort of aberration</w:t>
      </w:r>
      <w:r w:rsidR="008378CD">
        <w:t xml:space="preserve"> attributable to unique personality traits</w:t>
      </w:r>
      <w:r w:rsidR="00050F65">
        <w:t xml:space="preserve">.  </w:t>
      </w:r>
      <w:r w:rsidR="00CF27F9">
        <w:t xml:space="preserve">Some might even </w:t>
      </w:r>
      <w:r w:rsidR="00050F65">
        <w:t xml:space="preserve">get to the real point: </w:t>
      </w:r>
      <w:r w:rsidR="00CF27F9">
        <w:t xml:space="preserve">it is entirely consistent with </w:t>
      </w:r>
      <w:r w:rsidR="008378CD">
        <w:t>increasing secrecy by Governments and their officials which</w:t>
      </w:r>
      <w:r w:rsidR="003F0DF2">
        <w:t>,</w:t>
      </w:r>
      <w:r w:rsidR="008378CD">
        <w:t xml:space="preserve"> </w:t>
      </w:r>
      <w:r w:rsidR="003F0DF2">
        <w:t xml:space="preserve">supported </w:t>
      </w:r>
      <w:r w:rsidR="00CF27F9">
        <w:t xml:space="preserve">with fearmongering by political operatives, </w:t>
      </w:r>
      <w:r w:rsidR="008378CD">
        <w:t xml:space="preserve">increases their ability to exercise power </w:t>
      </w:r>
      <w:r w:rsidR="00CF27F9">
        <w:t xml:space="preserve">without regard to the law and </w:t>
      </w:r>
      <w:r w:rsidR="008378CD">
        <w:t xml:space="preserve">unrestrained by Parliament, the courts and the electorate.  Which the beagle will </w:t>
      </w:r>
      <w:r w:rsidR="00CF27F9">
        <w:t>put forward</w:t>
      </w:r>
      <w:r w:rsidR="008378CD">
        <w:t>.</w:t>
      </w:r>
      <w:r w:rsidR="00717B2A">
        <w:rPr>
          <w:rStyle w:val="FootnoteReference"/>
        </w:rPr>
        <w:footnoteReference w:id="5"/>
      </w:r>
    </w:p>
    <w:p w14:paraId="6EC8E344" w14:textId="2C03DA90" w:rsidR="009F468C" w:rsidRDefault="00032009" w:rsidP="00880EC6">
      <w:pPr>
        <w:pStyle w:val="Heading2"/>
        <w:spacing w:before="0"/>
      </w:pPr>
      <w:bookmarkStart w:id="2" w:name="_Toc115358072"/>
      <w:r>
        <w:lastRenderedPageBreak/>
        <w:t>2.</w:t>
      </w:r>
      <w:r>
        <w:tab/>
      </w:r>
      <w:r w:rsidR="001278EE">
        <w:t>T</w:t>
      </w:r>
      <w:r w:rsidR="006D0F69">
        <w:t>he appointment</w:t>
      </w:r>
      <w:r w:rsidR="009F468C">
        <w:t>s</w:t>
      </w:r>
      <w:bookmarkEnd w:id="2"/>
    </w:p>
    <w:p w14:paraId="7349BC26" w14:textId="00907DED" w:rsidR="00FF5132" w:rsidRDefault="009F4125" w:rsidP="00880EC6">
      <w:pPr>
        <w:spacing w:after="0"/>
      </w:pPr>
      <w:r>
        <w:t xml:space="preserve">On </w:t>
      </w:r>
      <w:r w:rsidR="007300CE">
        <w:t xml:space="preserve">15 </w:t>
      </w:r>
      <w:r w:rsidR="00FD58A4">
        <w:t xml:space="preserve">April 2021 </w:t>
      </w:r>
      <w:r w:rsidR="00A66F9D">
        <w:t>t</w:t>
      </w:r>
      <w:r w:rsidR="00FD58A4">
        <w:t xml:space="preserve">he Governor General </w:t>
      </w:r>
      <w:r w:rsidR="00A66F9D">
        <w:t>appointed</w:t>
      </w:r>
      <w:r w:rsidR="00FD58A4">
        <w:t xml:space="preserve"> Prime Minister Morrison to </w:t>
      </w:r>
      <w:r w:rsidR="00857BBB">
        <w:t>administer the Department of Industry, Science and Energy and Resources</w:t>
      </w:r>
      <w:r w:rsidR="00FD58A4">
        <w:t>.</w:t>
      </w:r>
      <w:r w:rsidR="00C414EB">
        <w:t xml:space="preserve">  </w:t>
      </w:r>
      <w:r w:rsidR="00EE300B">
        <w:t xml:space="preserve">The </w:t>
      </w:r>
      <w:r w:rsidR="00150423">
        <w:t>Minister</w:t>
      </w:r>
      <w:r w:rsidR="00EC4946">
        <w:t xml:space="preserve">s for </w:t>
      </w:r>
      <w:r w:rsidR="00194F0F">
        <w:t>the Department</w:t>
      </w:r>
      <w:r w:rsidR="00EC4946">
        <w:t xml:space="preserve"> w</w:t>
      </w:r>
      <w:r w:rsidR="00EE300B">
        <w:t>ere unaffected</w:t>
      </w:r>
      <w:r w:rsidR="00EC4946">
        <w:t xml:space="preserve">.  </w:t>
      </w:r>
      <w:r w:rsidR="007F0782">
        <w:t>Mr Morrison</w:t>
      </w:r>
      <w:r w:rsidR="00EC4946">
        <w:t xml:space="preserve"> continued to administer the Department of Prime Minister and Cabinet.</w:t>
      </w:r>
      <w:r w:rsidR="00EC4946">
        <w:rPr>
          <w:rStyle w:val="FootnoteReference"/>
        </w:rPr>
        <w:footnoteReference w:id="6"/>
      </w:r>
    </w:p>
    <w:p w14:paraId="2177E666" w14:textId="5E4AB68A" w:rsidR="00EC4946" w:rsidRDefault="00150423" w:rsidP="00880EC6">
      <w:pPr>
        <w:spacing w:after="0"/>
      </w:pPr>
      <w:r>
        <w:t xml:space="preserve"> </w:t>
      </w:r>
    </w:p>
    <w:p w14:paraId="0FB0871F" w14:textId="1AFF50B3" w:rsidR="001A13F9" w:rsidRDefault="008469D2" w:rsidP="00880EC6">
      <w:pPr>
        <w:spacing w:after="0"/>
      </w:pPr>
      <w:r>
        <w:t>The</w:t>
      </w:r>
      <w:r w:rsidR="00EC4946">
        <w:t xml:space="preserve"> </w:t>
      </w:r>
      <w:r w:rsidR="00C414EB">
        <w:t>appointment</w:t>
      </w:r>
      <w:r w:rsidR="00EC4946">
        <w:t xml:space="preserve"> </w:t>
      </w:r>
      <w:r w:rsidR="000759D9">
        <w:t>was</w:t>
      </w:r>
      <w:r w:rsidR="00C414EB">
        <w:t xml:space="preserve"> not publicised</w:t>
      </w:r>
      <w:r w:rsidR="00EC4946">
        <w:t>.  It</w:t>
      </w:r>
      <w:r w:rsidR="00C414EB">
        <w:t xml:space="preserve"> </w:t>
      </w:r>
      <w:r w:rsidR="00EC4946">
        <w:t>is</w:t>
      </w:r>
      <w:r w:rsidR="00C414EB">
        <w:t xml:space="preserve"> </w:t>
      </w:r>
      <w:r w:rsidR="000759D9">
        <w:t>said</w:t>
      </w:r>
      <w:r w:rsidR="00C414EB">
        <w:t xml:space="preserve"> to </w:t>
      </w:r>
      <w:r w:rsidR="00EC4946">
        <w:t xml:space="preserve">have </w:t>
      </w:r>
      <w:r w:rsidR="00C414EB">
        <w:t>b</w:t>
      </w:r>
      <w:r w:rsidR="00EC4946">
        <w:t>e</w:t>
      </w:r>
      <w:r w:rsidR="00C414EB">
        <w:t>e</w:t>
      </w:r>
      <w:r w:rsidR="00EC4946">
        <w:t>n</w:t>
      </w:r>
      <w:r w:rsidR="00C414EB">
        <w:t xml:space="preserve"> secret </w:t>
      </w:r>
      <w:r w:rsidR="00A66F9D">
        <w:t>from</w:t>
      </w:r>
      <w:r w:rsidR="00C414EB">
        <w:t xml:space="preserve"> </w:t>
      </w:r>
      <w:r w:rsidR="00EC4946">
        <w:t xml:space="preserve">other </w:t>
      </w:r>
      <w:r w:rsidR="00C414EB">
        <w:t>Ministers</w:t>
      </w:r>
      <w:r w:rsidR="00EE300B">
        <w:t xml:space="preserve"> and</w:t>
      </w:r>
      <w:r w:rsidR="00EC4946">
        <w:t xml:space="preserve"> unknown </w:t>
      </w:r>
      <w:r w:rsidR="00EE300B">
        <w:t>to</w:t>
      </w:r>
      <w:r w:rsidR="00EC4946">
        <w:t xml:space="preserve"> </w:t>
      </w:r>
      <w:r w:rsidR="00150423">
        <w:t>some public servants and even ‘spies’.</w:t>
      </w:r>
      <w:r w:rsidR="00150423">
        <w:rPr>
          <w:rStyle w:val="FootnoteReference"/>
        </w:rPr>
        <w:footnoteReference w:id="7"/>
      </w:r>
    </w:p>
    <w:p w14:paraId="077AB213" w14:textId="77777777" w:rsidR="00F02754" w:rsidRDefault="00F02754" w:rsidP="00880EC6">
      <w:pPr>
        <w:spacing w:after="0"/>
      </w:pPr>
    </w:p>
    <w:p w14:paraId="0DA6F5A2" w14:textId="051B7DDE" w:rsidR="004576DC" w:rsidRDefault="004576DC" w:rsidP="00880EC6">
      <w:pPr>
        <w:spacing w:after="0"/>
      </w:pPr>
      <w:r>
        <w:t xml:space="preserve">It was not </w:t>
      </w:r>
      <w:r w:rsidR="00C84E27">
        <w:t>the</w:t>
      </w:r>
      <w:r>
        <w:t xml:space="preserve"> first such </w:t>
      </w:r>
      <w:r w:rsidR="008469D2">
        <w:t xml:space="preserve">unpublicised </w:t>
      </w:r>
      <w:r>
        <w:t xml:space="preserve">appointment.  In March 2020, he </w:t>
      </w:r>
      <w:r w:rsidR="008469D2">
        <w:t>was</w:t>
      </w:r>
      <w:r>
        <w:t xml:space="preserve"> appointed to administer the Department of Health.  </w:t>
      </w:r>
      <w:r w:rsidR="00194F0F">
        <w:t>T</w:t>
      </w:r>
      <w:r>
        <w:t>he relevant Minister - Mr Hunt - knew of that</w:t>
      </w:r>
      <w:r w:rsidR="005F2A44">
        <w:t xml:space="preserve">, as revealed in a recent book </w:t>
      </w:r>
      <w:r w:rsidR="0046708F">
        <w:t xml:space="preserve">– Plagued - </w:t>
      </w:r>
      <w:r w:rsidR="005F2A44">
        <w:t>by Mr Benson and Mr Chambers</w:t>
      </w:r>
      <w:r w:rsidR="00F02754">
        <w:t>:</w:t>
      </w:r>
    </w:p>
    <w:p w14:paraId="649DBDCF" w14:textId="17BA1BF6" w:rsidR="00282FA0" w:rsidRDefault="00F02754" w:rsidP="00880EC6">
      <w:pPr>
        <w:pStyle w:val="mol-para-with-font"/>
        <w:shd w:val="clear" w:color="auto" w:fill="FFFFFF"/>
        <w:spacing w:before="0" w:beforeAutospacing="0" w:after="0" w:afterAutospacing="0"/>
        <w:ind w:left="720"/>
        <w:rPr>
          <w:rFonts w:asciiTheme="minorHAnsi" w:hAnsiTheme="minorHAnsi" w:cstheme="minorHAnsi"/>
          <w:i/>
          <w:iCs/>
          <w:color w:val="000000"/>
          <w:spacing w:val="-2"/>
          <w:sz w:val="22"/>
          <w:szCs w:val="22"/>
        </w:rPr>
      </w:pPr>
      <w:r>
        <w:rPr>
          <w:rFonts w:asciiTheme="minorHAnsi" w:hAnsiTheme="minorHAnsi" w:cstheme="minorHAnsi"/>
          <w:i/>
          <w:iCs/>
          <w:color w:val="000000"/>
          <w:spacing w:val="-2"/>
          <w:sz w:val="22"/>
          <w:szCs w:val="22"/>
        </w:rPr>
        <w:t>‘</w:t>
      </w:r>
      <w:r w:rsidR="00282FA0">
        <w:rPr>
          <w:rFonts w:asciiTheme="minorHAnsi" w:hAnsiTheme="minorHAnsi" w:cstheme="minorHAnsi"/>
          <w:i/>
          <w:iCs/>
          <w:color w:val="000000"/>
          <w:spacing w:val="-2"/>
          <w:sz w:val="22"/>
          <w:szCs w:val="22"/>
        </w:rPr>
        <w:t xml:space="preserve">Mr </w:t>
      </w:r>
      <w:r w:rsidR="00282FA0" w:rsidRPr="00282FA0">
        <w:rPr>
          <w:rFonts w:asciiTheme="minorHAnsi" w:hAnsiTheme="minorHAnsi" w:cstheme="minorHAnsi"/>
          <w:i/>
          <w:iCs/>
          <w:color w:val="000000"/>
          <w:spacing w:val="-2"/>
          <w:sz w:val="22"/>
          <w:szCs w:val="22"/>
        </w:rPr>
        <w:t>Hunt had, at that stage, sweeping powers to pretty well order anything.</w:t>
      </w:r>
      <w:r>
        <w:rPr>
          <w:rFonts w:asciiTheme="minorHAnsi" w:hAnsiTheme="minorHAnsi" w:cstheme="minorHAnsi"/>
          <w:i/>
          <w:iCs/>
          <w:color w:val="000000"/>
          <w:spacing w:val="-2"/>
          <w:sz w:val="22"/>
          <w:szCs w:val="22"/>
        </w:rPr>
        <w:t xml:space="preserve"> </w:t>
      </w:r>
      <w:r w:rsidR="00282FA0" w:rsidRPr="00282FA0">
        <w:rPr>
          <w:rFonts w:asciiTheme="minorHAnsi" w:hAnsiTheme="minorHAnsi" w:cstheme="minorHAnsi"/>
          <w:i/>
          <w:iCs/>
          <w:color w:val="000000"/>
          <w:spacing w:val="-2"/>
          <w:sz w:val="22"/>
          <w:szCs w:val="22"/>
        </w:rPr>
        <w:t>A clause in the Biosecurity Act was activated that gave the health minister almost dictatorial status.</w:t>
      </w:r>
      <w:r>
        <w:rPr>
          <w:rFonts w:asciiTheme="minorHAnsi" w:hAnsiTheme="minorHAnsi" w:cstheme="minorHAnsi"/>
          <w:i/>
          <w:iCs/>
          <w:color w:val="000000"/>
          <w:spacing w:val="-2"/>
          <w:sz w:val="22"/>
          <w:szCs w:val="22"/>
        </w:rPr>
        <w:t xml:space="preserve"> </w:t>
      </w:r>
      <w:r w:rsidR="00282FA0" w:rsidRPr="00282FA0">
        <w:rPr>
          <w:rFonts w:asciiTheme="minorHAnsi" w:hAnsiTheme="minorHAnsi" w:cstheme="minorHAnsi"/>
          <w:i/>
          <w:iCs/>
          <w:color w:val="000000"/>
          <w:spacing w:val="-2"/>
          <w:sz w:val="22"/>
          <w:szCs w:val="22"/>
        </w:rPr>
        <w:t>Mr Morrison, Mr Hunt and then Attorney-General Christian Porter thought swearing in Mr Morrison as another health minister was 'an elegant solution' to one minister having too much power.</w:t>
      </w:r>
      <w:r w:rsidR="00282FA0">
        <w:rPr>
          <w:rFonts w:asciiTheme="minorHAnsi" w:hAnsiTheme="minorHAnsi" w:cstheme="minorHAnsi"/>
          <w:i/>
          <w:iCs/>
          <w:color w:val="000000"/>
          <w:spacing w:val="-2"/>
          <w:sz w:val="22"/>
          <w:szCs w:val="22"/>
        </w:rPr>
        <w:t>’</w:t>
      </w:r>
      <w:r w:rsidR="00282FA0">
        <w:rPr>
          <w:rStyle w:val="FootnoteReference"/>
          <w:rFonts w:asciiTheme="minorHAnsi" w:hAnsiTheme="minorHAnsi" w:cstheme="minorHAnsi"/>
          <w:i/>
          <w:iCs/>
          <w:color w:val="000000"/>
          <w:spacing w:val="-2"/>
          <w:sz w:val="22"/>
          <w:szCs w:val="22"/>
        </w:rPr>
        <w:footnoteReference w:id="8"/>
      </w:r>
    </w:p>
    <w:p w14:paraId="59CF5CD8" w14:textId="77777777" w:rsidR="001278EE" w:rsidRPr="00282FA0" w:rsidRDefault="001278EE" w:rsidP="00880EC6">
      <w:pPr>
        <w:pStyle w:val="mol-para-with-font"/>
        <w:shd w:val="clear" w:color="auto" w:fill="FFFFFF"/>
        <w:spacing w:before="0" w:beforeAutospacing="0" w:after="0" w:afterAutospacing="0"/>
        <w:ind w:left="720"/>
        <w:rPr>
          <w:rFonts w:asciiTheme="minorHAnsi" w:hAnsiTheme="minorHAnsi" w:cstheme="minorHAnsi"/>
          <w:i/>
          <w:iCs/>
          <w:color w:val="000000"/>
          <w:spacing w:val="-2"/>
          <w:sz w:val="22"/>
          <w:szCs w:val="22"/>
        </w:rPr>
      </w:pPr>
    </w:p>
    <w:p w14:paraId="55376C30" w14:textId="7F2F0960" w:rsidR="00A66F9D" w:rsidRDefault="007F0782" w:rsidP="00880EC6">
      <w:pPr>
        <w:spacing w:after="0"/>
      </w:pPr>
      <w:r>
        <w:t xml:space="preserve">The </w:t>
      </w:r>
      <w:r w:rsidR="00A66F9D">
        <w:t xml:space="preserve">Industry etc. </w:t>
      </w:r>
      <w:r w:rsidR="00F02754">
        <w:t xml:space="preserve">Department </w:t>
      </w:r>
      <w:r>
        <w:t xml:space="preserve">appointment was detected </w:t>
      </w:r>
      <w:r w:rsidR="00194F0F">
        <w:t>in</w:t>
      </w:r>
      <w:r w:rsidR="000B7739">
        <w:t xml:space="preserve"> a </w:t>
      </w:r>
      <w:r w:rsidR="005F2A44">
        <w:t xml:space="preserve">2022 </w:t>
      </w:r>
      <w:r w:rsidR="000B7739">
        <w:t xml:space="preserve">court action challenging </w:t>
      </w:r>
      <w:r>
        <w:t>Mr Morrison</w:t>
      </w:r>
      <w:r w:rsidR="000B7739">
        <w:t>’s</w:t>
      </w:r>
      <w:r>
        <w:t xml:space="preserve"> ‘over-rul</w:t>
      </w:r>
      <w:r w:rsidR="000B7739">
        <w:t>ing</w:t>
      </w:r>
      <w:r>
        <w:t>’ the Minister for Industry etc.</w:t>
      </w:r>
      <w:r w:rsidR="00B6527A">
        <w:t xml:space="preserve"> about off-shore gas drilling.</w:t>
      </w:r>
      <w:r>
        <w:t xml:space="preserve">  He claimed this was the only action he took</w:t>
      </w:r>
      <w:r w:rsidR="00C35DA3">
        <w:t xml:space="preserve"> in administering that and other Departments in like circumstances.</w:t>
      </w:r>
      <w:r w:rsidR="007C2799">
        <w:rPr>
          <w:rStyle w:val="FootnoteReference"/>
        </w:rPr>
        <w:footnoteReference w:id="9"/>
      </w:r>
    </w:p>
    <w:p w14:paraId="7B64B6EE" w14:textId="77777777" w:rsidR="00FF5132" w:rsidRDefault="00FF5132" w:rsidP="00880EC6">
      <w:pPr>
        <w:spacing w:after="0"/>
      </w:pPr>
    </w:p>
    <w:p w14:paraId="044B2824" w14:textId="05B182D2" w:rsidR="00FD58A4" w:rsidRDefault="00A66F9D" w:rsidP="00880EC6">
      <w:pPr>
        <w:spacing w:after="0"/>
      </w:pPr>
      <w:r>
        <w:t xml:space="preserve">With </w:t>
      </w:r>
      <w:r w:rsidR="0046708F">
        <w:t>several</w:t>
      </w:r>
      <w:r>
        <w:t xml:space="preserve"> appointment</w:t>
      </w:r>
      <w:r w:rsidR="0046708F">
        <w:t>s</w:t>
      </w:r>
      <w:r>
        <w:t xml:space="preserve"> becoming known, on 14 August 2022 current Prime Minister Mr Albanese sought an opinion from the Solicitor General on validity.  </w:t>
      </w:r>
      <w:r w:rsidR="00BC3DEF">
        <w:t xml:space="preserve">On August 22, the Solicitor General provided </w:t>
      </w:r>
      <w:r>
        <w:t>the</w:t>
      </w:r>
      <w:r w:rsidR="00062D03">
        <w:t xml:space="preserve"> opinion</w:t>
      </w:r>
      <w:r w:rsidR="00BC3DEF">
        <w:t xml:space="preserve">.  </w:t>
      </w:r>
      <w:r w:rsidR="00194F0F">
        <w:t>The Prime Minister</w:t>
      </w:r>
      <w:r>
        <w:t>’s Department</w:t>
      </w:r>
      <w:r w:rsidR="00BC3DEF">
        <w:t xml:space="preserve"> published </w:t>
      </w:r>
      <w:r w:rsidR="00C84E27">
        <w:t>i</w:t>
      </w:r>
      <w:r w:rsidR="00BC3DEF">
        <w:t xml:space="preserve">t </w:t>
      </w:r>
      <w:r w:rsidR="00062D03">
        <w:t>a day later</w:t>
      </w:r>
      <w:r w:rsidR="00BC3DEF">
        <w:t>.</w:t>
      </w:r>
      <w:r w:rsidR="00BC3DEF">
        <w:rPr>
          <w:rStyle w:val="FootnoteReference"/>
        </w:rPr>
        <w:footnoteReference w:id="10"/>
      </w:r>
      <w:r w:rsidR="00BC3DEF">
        <w:t xml:space="preserve"> </w:t>
      </w:r>
    </w:p>
    <w:p w14:paraId="587222D8" w14:textId="2DAFA51E" w:rsidR="00357B1D" w:rsidRDefault="00357B1D" w:rsidP="00880EC6">
      <w:pPr>
        <w:spacing w:after="0"/>
      </w:pPr>
    </w:p>
    <w:p w14:paraId="165BAD79" w14:textId="0D3CB1EB" w:rsidR="00BC3DEF" w:rsidRDefault="00BC3DEF" w:rsidP="00880EC6">
      <w:pPr>
        <w:spacing w:after="0"/>
      </w:pPr>
      <w:r>
        <w:t xml:space="preserve">The </w:t>
      </w:r>
      <w:r w:rsidR="00062D03">
        <w:t>opinion</w:t>
      </w:r>
      <w:r>
        <w:t xml:space="preserve"> was to the effect the </w:t>
      </w:r>
      <w:r w:rsidR="0046708F">
        <w:t xml:space="preserve">Industry etc. </w:t>
      </w:r>
      <w:r>
        <w:t>appointment was valid.</w:t>
      </w:r>
      <w:r w:rsidR="00736911">
        <w:t xml:space="preserve">  However, </w:t>
      </w:r>
      <w:r w:rsidR="00194F0F">
        <w:t>i</w:t>
      </w:r>
      <w:r w:rsidR="00062D03">
        <w:t>t claimed</w:t>
      </w:r>
      <w:r w:rsidR="00736911">
        <w:t xml:space="preserve"> </w:t>
      </w:r>
      <w:r w:rsidR="00C414EB">
        <w:t xml:space="preserve">the </w:t>
      </w:r>
      <w:r w:rsidR="00736911">
        <w:t>appointment</w:t>
      </w:r>
      <w:r w:rsidR="00194F0F">
        <w:t>’s secrecy</w:t>
      </w:r>
      <w:r w:rsidR="00736911">
        <w:t xml:space="preserve"> undermined the system of responsible government.  </w:t>
      </w:r>
      <w:r w:rsidR="00062D03">
        <w:t>It argued t</w:t>
      </w:r>
      <w:r w:rsidR="00736911">
        <w:t xml:space="preserve">he system should be buttressed by legislation requiring </w:t>
      </w:r>
      <w:r w:rsidR="0046708F">
        <w:t xml:space="preserve">publication of </w:t>
      </w:r>
      <w:r w:rsidR="00736911">
        <w:t>appointments.</w:t>
      </w:r>
    </w:p>
    <w:p w14:paraId="3B1E608C" w14:textId="77777777" w:rsidR="00FF5132" w:rsidRDefault="00FF5132" w:rsidP="00880EC6">
      <w:pPr>
        <w:spacing w:after="0"/>
      </w:pPr>
    </w:p>
    <w:p w14:paraId="130B9605" w14:textId="47A9F203" w:rsidR="0068424F" w:rsidRDefault="0068424F" w:rsidP="00880EC6">
      <w:pPr>
        <w:spacing w:after="0"/>
      </w:pPr>
      <w:r>
        <w:t xml:space="preserve">The opinion noted </w:t>
      </w:r>
      <w:r w:rsidR="009467E3">
        <w:t xml:space="preserve">similar circumstance </w:t>
      </w:r>
      <w:r w:rsidR="000759D9">
        <w:t xml:space="preserve">appointments of </w:t>
      </w:r>
      <w:r>
        <w:t>Mr Morrison</w:t>
      </w:r>
      <w:r w:rsidR="001278EE">
        <w:t xml:space="preserve"> </w:t>
      </w:r>
      <w:r w:rsidR="00857BBB">
        <w:t xml:space="preserve">to administer the Department of </w:t>
      </w:r>
      <w:r>
        <w:t xml:space="preserve">Health (14 March 2020) and </w:t>
      </w:r>
      <w:r w:rsidR="00857BBB">
        <w:t>Department of Finance</w:t>
      </w:r>
      <w:r>
        <w:t xml:space="preserve"> (20 March 2020).  </w:t>
      </w:r>
      <w:r w:rsidR="00194F0F">
        <w:t xml:space="preserve">It </w:t>
      </w:r>
      <w:r w:rsidR="007300CE">
        <w:t>did not note</w:t>
      </w:r>
      <w:r>
        <w:t xml:space="preserve"> </w:t>
      </w:r>
      <w:r w:rsidR="000759D9">
        <w:t xml:space="preserve">similar </w:t>
      </w:r>
      <w:r>
        <w:t xml:space="preserve">appointments to </w:t>
      </w:r>
      <w:r w:rsidR="00857BBB">
        <w:t xml:space="preserve">administer the </w:t>
      </w:r>
      <w:r>
        <w:t xml:space="preserve">Treasury and </w:t>
      </w:r>
      <w:r w:rsidR="00857BBB">
        <w:t>Department of Home Affairs</w:t>
      </w:r>
      <w:r w:rsidR="007300CE">
        <w:t xml:space="preserve"> (6 May 2021)</w:t>
      </w:r>
      <w:r w:rsidR="00857BBB">
        <w:t>.</w:t>
      </w:r>
      <w:r>
        <w:t xml:space="preserve"> </w:t>
      </w:r>
    </w:p>
    <w:p w14:paraId="0146D8E0" w14:textId="77777777" w:rsidR="006A0936" w:rsidRDefault="006A0936" w:rsidP="00880EC6">
      <w:pPr>
        <w:spacing w:after="0"/>
      </w:pPr>
    </w:p>
    <w:p w14:paraId="6F5B871F" w14:textId="69111688" w:rsidR="00251170" w:rsidRDefault="00BB548E" w:rsidP="00880EC6">
      <w:pPr>
        <w:spacing w:after="0"/>
      </w:pPr>
      <w:r>
        <w:t xml:space="preserve">Mr Morrison sought to explain </w:t>
      </w:r>
      <w:r w:rsidR="00C20C06">
        <w:t xml:space="preserve">acquisition of Ministries </w:t>
      </w:r>
      <w:r>
        <w:t xml:space="preserve">by referring to: potential for Ministers to be incapacitated in the pandemic which started in February 2020; </w:t>
      </w:r>
      <w:r w:rsidR="00F3692C">
        <w:t xml:space="preserve">‘god-like’ </w:t>
      </w:r>
      <w:r>
        <w:t xml:space="preserve">powers given to the Health Minister; </w:t>
      </w:r>
      <w:r w:rsidR="00F3692C">
        <w:t xml:space="preserve">a need for him to act across several portfolios due to </w:t>
      </w:r>
      <w:r>
        <w:t>‘</w:t>
      </w:r>
      <w:r w:rsidR="005813B5">
        <w:t>n</w:t>
      </w:r>
      <w:r>
        <w:t xml:space="preserve">ational </w:t>
      </w:r>
      <w:r w:rsidR="005813B5">
        <w:t>c</w:t>
      </w:r>
      <w:r>
        <w:t>abinet’; h</w:t>
      </w:r>
      <w:r w:rsidR="00F3692C">
        <w:t>is</w:t>
      </w:r>
      <w:r>
        <w:t xml:space="preserve"> being held responsible for everything. </w:t>
      </w:r>
      <w:r w:rsidR="00C20C06">
        <w:t xml:space="preserve"> </w:t>
      </w:r>
    </w:p>
    <w:p w14:paraId="12882F7B" w14:textId="3BE8DC63" w:rsidR="00BB548E" w:rsidRDefault="00C20C06" w:rsidP="00880EC6">
      <w:pPr>
        <w:spacing w:after="0"/>
      </w:pPr>
      <w:r>
        <w:lastRenderedPageBreak/>
        <w:t xml:space="preserve">He sought to explain the secrecy by referring to a </w:t>
      </w:r>
      <w:r w:rsidR="005A167F">
        <w:t>desire</w:t>
      </w:r>
      <w:r>
        <w:t xml:space="preserve"> to avoid panic.</w:t>
      </w:r>
      <w:r w:rsidR="005A167F">
        <w:rPr>
          <w:rStyle w:val="FootnoteReference"/>
        </w:rPr>
        <w:footnoteReference w:id="11"/>
      </w:r>
    </w:p>
    <w:p w14:paraId="70BA8A31" w14:textId="77777777" w:rsidR="00FF5132" w:rsidRDefault="00FF5132" w:rsidP="00880EC6">
      <w:pPr>
        <w:spacing w:after="0"/>
      </w:pPr>
    </w:p>
    <w:p w14:paraId="3A9CC50A" w14:textId="575AD449" w:rsidR="005F2A44" w:rsidRDefault="005F2A44" w:rsidP="00880EC6">
      <w:pPr>
        <w:spacing w:after="0"/>
      </w:pPr>
      <w:r>
        <w:t>Some of his colleagues were reportedly unimpressed.  A former Home Affairs Minister, Ms Andrews, publicly called on him to resign from Parliament because of a breach of ‘trust’.</w:t>
      </w:r>
      <w:r>
        <w:rPr>
          <w:rStyle w:val="FootnoteReference"/>
        </w:rPr>
        <w:footnoteReference w:id="12"/>
      </w:r>
      <w:r>
        <w:t xml:space="preserve">  </w:t>
      </w:r>
    </w:p>
    <w:p w14:paraId="4B0AD88C" w14:textId="77777777" w:rsidR="005F2A44" w:rsidRDefault="005F2A44" w:rsidP="00880EC6">
      <w:pPr>
        <w:spacing w:after="0"/>
      </w:pPr>
    </w:p>
    <w:p w14:paraId="4A15D214" w14:textId="372766E6" w:rsidR="00857BBB" w:rsidRDefault="00857BBB" w:rsidP="00880EC6">
      <w:pPr>
        <w:spacing w:after="0"/>
      </w:pPr>
      <w:r>
        <w:t>On 26 August</w:t>
      </w:r>
      <w:r w:rsidR="009467E3">
        <w:t>,</w:t>
      </w:r>
      <w:r>
        <w:t xml:space="preserve"> Prime Minister Albanese announced an inquiry into the facts and implications of, and processes involved in</w:t>
      </w:r>
      <w:r w:rsidR="00F3692C">
        <w:t>,</w:t>
      </w:r>
      <w:r>
        <w:t xml:space="preserve"> the appointments.  </w:t>
      </w:r>
      <w:r w:rsidR="00AB066C">
        <w:t xml:space="preserve">It is to report to </w:t>
      </w:r>
      <w:r w:rsidR="007A26DB">
        <w:t>his office</w:t>
      </w:r>
      <w:r w:rsidR="00AB066C">
        <w:t xml:space="preserve"> by 25 November.</w:t>
      </w:r>
      <w:r>
        <w:rPr>
          <w:rStyle w:val="FootnoteReference"/>
        </w:rPr>
        <w:footnoteReference w:id="13"/>
      </w:r>
    </w:p>
    <w:p w14:paraId="7E98427B" w14:textId="77777777" w:rsidR="006A0936" w:rsidRDefault="006A0936" w:rsidP="00880EC6">
      <w:pPr>
        <w:pStyle w:val="Heading2"/>
        <w:spacing w:before="0"/>
      </w:pPr>
    </w:p>
    <w:p w14:paraId="4B69C3D7" w14:textId="7DA358F2" w:rsidR="00736911" w:rsidRDefault="009467E3" w:rsidP="00880EC6">
      <w:pPr>
        <w:pStyle w:val="Heading2"/>
        <w:spacing w:before="0"/>
      </w:pPr>
      <w:bookmarkStart w:id="3" w:name="_Toc115358073"/>
      <w:r>
        <w:t>3.</w:t>
      </w:r>
      <w:r>
        <w:tab/>
      </w:r>
      <w:r w:rsidR="006D0F69">
        <w:t>Solicitor General</w:t>
      </w:r>
      <w:r w:rsidR="00615DCC">
        <w:t>’s</w:t>
      </w:r>
      <w:r w:rsidR="006D0F69">
        <w:t xml:space="preserve"> opinion</w:t>
      </w:r>
      <w:bookmarkEnd w:id="3"/>
    </w:p>
    <w:p w14:paraId="560D948A" w14:textId="4DF46D3C" w:rsidR="00736911" w:rsidRDefault="00736911" w:rsidP="00880EC6">
      <w:pPr>
        <w:spacing w:after="0"/>
      </w:pPr>
      <w:r>
        <w:t xml:space="preserve">The Solicitor General’s </w:t>
      </w:r>
      <w:r w:rsidR="00062D03">
        <w:t>opinion</w:t>
      </w:r>
      <w:r>
        <w:t xml:space="preserve"> turn</w:t>
      </w:r>
      <w:r w:rsidR="00062D03">
        <w:t>ed</w:t>
      </w:r>
      <w:r>
        <w:t xml:space="preserve"> on interpretation of Constitution sections </w:t>
      </w:r>
      <w:r w:rsidR="00BA3FE6">
        <w:t xml:space="preserve">62, </w:t>
      </w:r>
      <w:r>
        <w:t>64 and 65.</w:t>
      </w:r>
    </w:p>
    <w:p w14:paraId="4999D5BB" w14:textId="77777777" w:rsidR="00FF5132" w:rsidRPr="00F3692C" w:rsidRDefault="00FF5132" w:rsidP="00880EC6">
      <w:pPr>
        <w:pStyle w:val="Heading3"/>
        <w:spacing w:before="0"/>
        <w:rPr>
          <w:sz w:val="22"/>
          <w:szCs w:val="22"/>
        </w:rPr>
      </w:pPr>
    </w:p>
    <w:p w14:paraId="77DA8564" w14:textId="7189438A" w:rsidR="00362F7A" w:rsidRDefault="009467E3" w:rsidP="00880EC6">
      <w:pPr>
        <w:pStyle w:val="Heading3"/>
        <w:spacing w:before="0"/>
      </w:pPr>
      <w:bookmarkStart w:id="4" w:name="_Toc115358074"/>
      <w:r>
        <w:t>3.</w:t>
      </w:r>
      <w:r w:rsidR="00BA3E01">
        <w:t>1</w:t>
      </w:r>
      <w:r>
        <w:tab/>
      </w:r>
      <w:r w:rsidR="00362F7A">
        <w:t>Sections</w:t>
      </w:r>
      <w:bookmarkEnd w:id="4"/>
    </w:p>
    <w:p w14:paraId="7270BC47" w14:textId="583760CE" w:rsidR="00BA3FE6" w:rsidRDefault="00736911" w:rsidP="00880EC6">
      <w:pPr>
        <w:spacing w:after="0"/>
      </w:pPr>
      <w:r>
        <w:t>Section 6</w:t>
      </w:r>
      <w:r w:rsidR="00BA3FE6">
        <w:t xml:space="preserve">2 </w:t>
      </w:r>
      <w:r w:rsidR="00B0604D">
        <w:t>has</w:t>
      </w:r>
      <w:r w:rsidR="00BA3FE6">
        <w:t xml:space="preserve"> the Governor General </w:t>
      </w:r>
      <w:r w:rsidR="008468D1">
        <w:t>swear</w:t>
      </w:r>
      <w:r w:rsidR="00B0604D">
        <w:t>ing</w:t>
      </w:r>
      <w:r w:rsidR="008468D1">
        <w:t xml:space="preserve"> in</w:t>
      </w:r>
      <w:r w:rsidR="00BA3FE6">
        <w:t xml:space="preserve"> </w:t>
      </w:r>
      <w:r w:rsidR="00691CC6">
        <w:t>individuals</w:t>
      </w:r>
      <w:r w:rsidR="00BA3FE6">
        <w:t xml:space="preserve"> to the Federal Executive Council.</w:t>
      </w:r>
      <w:r w:rsidR="008468D1">
        <w:t xml:space="preserve">  These people become Ministers.</w:t>
      </w:r>
    </w:p>
    <w:p w14:paraId="5459F8BE" w14:textId="77777777" w:rsidR="00FF5132" w:rsidRDefault="00FF5132" w:rsidP="00880EC6">
      <w:pPr>
        <w:spacing w:after="0"/>
      </w:pPr>
    </w:p>
    <w:p w14:paraId="6C47AB6D" w14:textId="67A2D7AB" w:rsidR="00FF5132" w:rsidRDefault="008468D1" w:rsidP="00880EC6">
      <w:pPr>
        <w:spacing w:after="0"/>
      </w:pPr>
      <w:r>
        <w:t>Section 6</w:t>
      </w:r>
      <w:r w:rsidR="00736911">
        <w:t xml:space="preserve">4 </w:t>
      </w:r>
      <w:r w:rsidR="00B0604D">
        <w:t>has</w:t>
      </w:r>
      <w:r w:rsidR="00736911">
        <w:t xml:space="preserve"> the Governor General appoint</w:t>
      </w:r>
      <w:r w:rsidR="00B0604D">
        <w:t>ing</w:t>
      </w:r>
      <w:r w:rsidR="00736911">
        <w:t xml:space="preserve"> </w:t>
      </w:r>
      <w:r w:rsidR="00691CC6">
        <w:t>individuals</w:t>
      </w:r>
      <w:r w:rsidR="00BA3FE6">
        <w:t xml:space="preserve"> to administer Departments.  The people must </w:t>
      </w:r>
      <w:r>
        <w:t xml:space="preserve">(already) </w:t>
      </w:r>
      <w:r w:rsidR="00BA3FE6">
        <w:t>be Ministers</w:t>
      </w:r>
      <w:r>
        <w:t xml:space="preserve">.  </w:t>
      </w:r>
      <w:r w:rsidR="00FF5132">
        <w:t xml:space="preserve">Among implications: the Governor General creates Departments and assigns administration – </w:t>
      </w:r>
      <w:r w:rsidR="000308C4">
        <w:t>e.g.,</w:t>
      </w:r>
      <w:r w:rsidR="00FF5132">
        <w:t xml:space="preserve"> powers granted by legislation – among Departments and offices.  </w:t>
      </w:r>
    </w:p>
    <w:p w14:paraId="4C3D7941" w14:textId="77777777" w:rsidR="00FF5132" w:rsidRDefault="00FF5132" w:rsidP="00880EC6">
      <w:pPr>
        <w:spacing w:after="0"/>
      </w:pPr>
    </w:p>
    <w:p w14:paraId="48BDD703" w14:textId="57799631" w:rsidR="00BA3FE6" w:rsidRDefault="00691CC6" w:rsidP="00880EC6">
      <w:pPr>
        <w:spacing w:after="0"/>
      </w:pPr>
      <w:r>
        <w:t xml:space="preserve">Among </w:t>
      </w:r>
      <w:r w:rsidR="005A2C1D">
        <w:t xml:space="preserve">other </w:t>
      </w:r>
      <w:r w:rsidR="00A56AC3">
        <w:t>implication</w:t>
      </w:r>
      <w:r w:rsidR="00C84B81">
        <w:t xml:space="preserve">s </w:t>
      </w:r>
      <w:r>
        <w:t>of s.64:</w:t>
      </w:r>
      <w:r w:rsidR="00C84B81">
        <w:t xml:space="preserve"> </w:t>
      </w:r>
      <w:r w:rsidR="00A56AC3">
        <w:t>a single Minister can administer several Departments</w:t>
      </w:r>
      <w:r w:rsidR="00C84B81">
        <w:t>;</w:t>
      </w:r>
      <w:r w:rsidR="00A56AC3">
        <w:t xml:space="preserve"> a single Department can be administered by several Ministers.</w:t>
      </w:r>
      <w:r w:rsidR="00137A67">
        <w:rPr>
          <w:rStyle w:val="FootnoteReference"/>
        </w:rPr>
        <w:footnoteReference w:id="14"/>
      </w:r>
      <w:r w:rsidR="00A56AC3">
        <w:t xml:space="preserve">  </w:t>
      </w:r>
    </w:p>
    <w:p w14:paraId="6E83BC60" w14:textId="77777777" w:rsidR="00874AC8" w:rsidRDefault="00874AC8" w:rsidP="00880EC6">
      <w:pPr>
        <w:spacing w:after="0"/>
      </w:pPr>
    </w:p>
    <w:p w14:paraId="4B64C7B1" w14:textId="042FC5A3" w:rsidR="00BA3FE6" w:rsidRDefault="00BA3FE6" w:rsidP="00880EC6">
      <w:pPr>
        <w:spacing w:after="0"/>
      </w:pPr>
      <w:r>
        <w:t xml:space="preserve">Section 65 allows the Governor General to direct Ministers to hold a particular office.  </w:t>
      </w:r>
      <w:r w:rsidR="00EE0464">
        <w:t>One</w:t>
      </w:r>
      <w:r>
        <w:t xml:space="preserve"> effect </w:t>
      </w:r>
      <w:r w:rsidR="00AD0553">
        <w:t>is</w:t>
      </w:r>
      <w:r>
        <w:t xml:space="preserve"> to differentiate Minister</w:t>
      </w:r>
      <w:r w:rsidR="00EE0464">
        <w:t>s</w:t>
      </w:r>
      <w:r>
        <w:t>.</w:t>
      </w:r>
      <w:r w:rsidR="00EE0464">
        <w:t xml:space="preserve">  Another effect</w:t>
      </w:r>
      <w:r w:rsidR="0049099A">
        <w:t>:</w:t>
      </w:r>
      <w:r w:rsidR="00EE0464">
        <w:t xml:space="preserve"> such direction has implications for which Departments are administered by </w:t>
      </w:r>
      <w:r w:rsidR="0049099A">
        <w:t>which</w:t>
      </w:r>
      <w:r w:rsidR="00EE0464">
        <w:t xml:space="preserve"> Ministers. </w:t>
      </w:r>
    </w:p>
    <w:p w14:paraId="550AD0A5" w14:textId="77777777" w:rsidR="00FF5132" w:rsidRDefault="00FF5132" w:rsidP="00880EC6">
      <w:pPr>
        <w:spacing w:after="0"/>
      </w:pPr>
    </w:p>
    <w:p w14:paraId="55617595" w14:textId="56A2246E" w:rsidR="00133B54" w:rsidRDefault="00133B54" w:rsidP="00880EC6">
      <w:pPr>
        <w:spacing w:after="0"/>
      </w:pPr>
      <w:r>
        <w:t xml:space="preserve">Offices can differ from Departments.  A single Department can support several offices.  Similarly, a single Department </w:t>
      </w:r>
      <w:r w:rsidR="0049099A">
        <w:t xml:space="preserve">can </w:t>
      </w:r>
      <w:r>
        <w:t xml:space="preserve">support Ministerial responsibilities </w:t>
      </w:r>
      <w:r w:rsidR="0049099A">
        <w:t>arising from</w:t>
      </w:r>
      <w:r>
        <w:t xml:space="preserve"> various legislation.</w:t>
      </w:r>
      <w:r>
        <w:rPr>
          <w:rStyle w:val="FootnoteReference"/>
        </w:rPr>
        <w:footnoteReference w:id="15"/>
      </w:r>
      <w:r>
        <w:t xml:space="preserve"> </w:t>
      </w:r>
    </w:p>
    <w:p w14:paraId="7D45FA9A" w14:textId="77777777" w:rsidR="00FF5132" w:rsidRDefault="00FF5132" w:rsidP="00880EC6">
      <w:pPr>
        <w:spacing w:after="0"/>
      </w:pPr>
    </w:p>
    <w:p w14:paraId="0761A853" w14:textId="60EF86D7" w:rsidR="00EE0464" w:rsidRDefault="00EE0464" w:rsidP="00880EC6">
      <w:pPr>
        <w:spacing w:after="0"/>
      </w:pPr>
      <w:r>
        <w:t xml:space="preserve">The Constitution does not specify </w:t>
      </w:r>
      <w:r w:rsidR="005146E1">
        <w:t xml:space="preserve">Ministers, </w:t>
      </w:r>
      <w:r>
        <w:t xml:space="preserve">Departments or offices.  An implication: the number and identity of </w:t>
      </w:r>
      <w:r w:rsidR="005146E1">
        <w:t xml:space="preserve">Ministers, </w:t>
      </w:r>
      <w:r>
        <w:t>Departments and Offices</w:t>
      </w:r>
      <w:r w:rsidR="0049099A">
        <w:t xml:space="preserve"> - </w:t>
      </w:r>
      <w:r>
        <w:t>and assignment of administrati</w:t>
      </w:r>
      <w:r w:rsidR="0059099A">
        <w:t>on</w:t>
      </w:r>
      <w:r>
        <w:t xml:space="preserve"> among Ministers </w:t>
      </w:r>
      <w:r w:rsidR="0049099A">
        <w:t xml:space="preserve">- </w:t>
      </w:r>
      <w:r>
        <w:t>is determined by the Governor General</w:t>
      </w:r>
      <w:r w:rsidR="005146E1">
        <w:t>.</w:t>
      </w:r>
      <w:r w:rsidR="005D1B14">
        <w:rPr>
          <w:rStyle w:val="FootnoteReference"/>
        </w:rPr>
        <w:footnoteReference w:id="16"/>
      </w:r>
      <w:r>
        <w:t xml:space="preserve">  </w:t>
      </w:r>
    </w:p>
    <w:p w14:paraId="26F1CCAF" w14:textId="3633B741" w:rsidR="006140CD" w:rsidRDefault="006140CD" w:rsidP="00880EC6">
      <w:pPr>
        <w:spacing w:after="0"/>
      </w:pPr>
      <w:r>
        <w:lastRenderedPageBreak/>
        <w:t xml:space="preserve">The Solicitor General </w:t>
      </w:r>
      <w:r w:rsidR="00527D07">
        <w:t>opined</w:t>
      </w:r>
      <w:r>
        <w:t xml:space="preserve"> Mr Morrison’s appointment to administer the </w:t>
      </w:r>
      <w:r w:rsidR="00527D07">
        <w:t xml:space="preserve">Industry etc. </w:t>
      </w:r>
      <w:r>
        <w:t xml:space="preserve">Department was in line with the requirements of </w:t>
      </w:r>
      <w:r w:rsidR="00923318">
        <w:t xml:space="preserve">Constitution </w:t>
      </w:r>
      <w:r>
        <w:t>sections 62, 64 and 65.</w:t>
      </w:r>
      <w:r w:rsidR="00527D07">
        <w:t xml:space="preserve">  </w:t>
      </w:r>
      <w:r>
        <w:t xml:space="preserve">Mr Morrison had already been sworn-in </w:t>
      </w:r>
      <w:r w:rsidR="00251170">
        <w:t>to</w:t>
      </w:r>
      <w:r>
        <w:t xml:space="preserve"> the Federal Executive Council and could administer any Department without needing to be sworn-in again.  He could administer several Departments at once. </w:t>
      </w:r>
    </w:p>
    <w:p w14:paraId="5A397920" w14:textId="77777777" w:rsidR="00FF5132" w:rsidRDefault="00FF5132" w:rsidP="00880EC6">
      <w:pPr>
        <w:pStyle w:val="Heading3"/>
        <w:spacing w:before="0"/>
      </w:pPr>
    </w:p>
    <w:p w14:paraId="542A6596" w14:textId="0C8B49B4" w:rsidR="00C84B81" w:rsidRDefault="009467E3" w:rsidP="00880EC6">
      <w:pPr>
        <w:pStyle w:val="Heading3"/>
        <w:spacing w:before="0"/>
      </w:pPr>
      <w:bookmarkStart w:id="5" w:name="_Toc115358075"/>
      <w:r>
        <w:t>3.</w:t>
      </w:r>
      <w:r w:rsidR="00615DCC">
        <w:t>2</w:t>
      </w:r>
      <w:r>
        <w:tab/>
      </w:r>
      <w:r w:rsidR="00C84B81">
        <w:t>Conventions</w:t>
      </w:r>
      <w:bookmarkEnd w:id="5"/>
    </w:p>
    <w:p w14:paraId="3AB95A93" w14:textId="52FD9C3C" w:rsidR="00FD61D8" w:rsidRDefault="00AC0C63" w:rsidP="00880EC6">
      <w:pPr>
        <w:spacing w:after="0"/>
      </w:pPr>
      <w:r>
        <w:t xml:space="preserve">The Solicitor General also mentioned conventions.  </w:t>
      </w:r>
      <w:r w:rsidR="008468D1">
        <w:t>Conventions are non-binding practices</w:t>
      </w:r>
      <w:r w:rsidR="00AD0553">
        <w:t>, not mentioned in the Constitution,</w:t>
      </w:r>
      <w:r w:rsidR="008468D1">
        <w:t xml:space="preserve"> that facilitate predictable processes of government.</w:t>
      </w:r>
      <w:r w:rsidR="0059099A">
        <w:t xml:space="preserve">  </w:t>
      </w:r>
      <w:r w:rsidR="00FD61D8">
        <w:t xml:space="preserve">A breach of a convention </w:t>
      </w:r>
      <w:r>
        <w:t>is</w:t>
      </w:r>
      <w:r w:rsidR="00FD61D8">
        <w:t xml:space="preserve"> not of itself illegal – </w:t>
      </w:r>
      <w:r w:rsidR="0046708F">
        <w:t xml:space="preserve">probably </w:t>
      </w:r>
      <w:r w:rsidR="00F3692C">
        <w:t xml:space="preserve">subject to </w:t>
      </w:r>
      <w:r w:rsidR="00FD61D8">
        <w:t xml:space="preserve">a caveat </w:t>
      </w:r>
      <w:r w:rsidR="00F3692C">
        <w:t xml:space="preserve">about </w:t>
      </w:r>
      <w:r w:rsidR="00FD61D8">
        <w:t>responsible government</w:t>
      </w:r>
      <w:r w:rsidR="00F3692C">
        <w:t xml:space="preserve"> outlined below</w:t>
      </w:r>
      <w:r w:rsidR="00FD61D8">
        <w:t>.</w:t>
      </w:r>
    </w:p>
    <w:p w14:paraId="3A1F25DB" w14:textId="77777777" w:rsidR="00FD61D8" w:rsidRDefault="00FD61D8" w:rsidP="00880EC6">
      <w:pPr>
        <w:spacing w:after="0"/>
      </w:pPr>
    </w:p>
    <w:p w14:paraId="72541B80" w14:textId="1405F09D" w:rsidR="00771FE2" w:rsidRDefault="008468D1" w:rsidP="00880EC6">
      <w:pPr>
        <w:spacing w:after="0"/>
      </w:pPr>
      <w:r>
        <w:t xml:space="preserve">Among conventions </w:t>
      </w:r>
      <w:r w:rsidR="00691CC6">
        <w:t>relevant to Ministerial appointments:</w:t>
      </w:r>
      <w:r>
        <w:t xml:space="preserve"> the Governor General </w:t>
      </w:r>
      <w:r w:rsidR="00691CC6">
        <w:t>follows</w:t>
      </w:r>
      <w:r>
        <w:t xml:space="preserve"> the advice of the Prime Minister.</w:t>
      </w:r>
      <w:r w:rsidR="00AC0C63">
        <w:t xml:space="preserve">  This was adhered to.</w:t>
      </w:r>
      <w:r w:rsidR="004B12B6">
        <w:rPr>
          <w:rStyle w:val="FootnoteReference"/>
        </w:rPr>
        <w:footnoteReference w:id="17"/>
      </w:r>
    </w:p>
    <w:p w14:paraId="31D21575" w14:textId="77777777" w:rsidR="00FF5132" w:rsidRDefault="00FF5132" w:rsidP="00880EC6">
      <w:pPr>
        <w:spacing w:after="0"/>
      </w:pPr>
    </w:p>
    <w:p w14:paraId="2C0FF9EE" w14:textId="7A665E82" w:rsidR="0059099A" w:rsidRDefault="00362F7A" w:rsidP="00880EC6">
      <w:pPr>
        <w:spacing w:after="0"/>
      </w:pPr>
      <w:r>
        <w:t xml:space="preserve">Whether there is a convention of </w:t>
      </w:r>
      <w:r w:rsidR="00E021D2">
        <w:t xml:space="preserve">formally </w:t>
      </w:r>
      <w:r>
        <w:t xml:space="preserve">publishing details of </w:t>
      </w:r>
      <w:r w:rsidR="00416B55">
        <w:t xml:space="preserve">every </w:t>
      </w:r>
      <w:r>
        <w:t xml:space="preserve">appointment and assignation </w:t>
      </w:r>
      <w:r w:rsidR="00623D63">
        <w:t>under</w:t>
      </w:r>
      <w:r>
        <w:t xml:space="preserve"> sections 62, 64 and 65 is debatable.  </w:t>
      </w:r>
      <w:r w:rsidR="0009008B">
        <w:t xml:space="preserve">There is a </w:t>
      </w:r>
      <w:r w:rsidR="00C84B81">
        <w:t xml:space="preserve">practice of the Prime Minister’s Department publishing a </w:t>
      </w:r>
      <w:r w:rsidR="0009008B">
        <w:t>list of Ministers</w:t>
      </w:r>
      <w:r w:rsidR="00623D63">
        <w:t xml:space="preserve"> and </w:t>
      </w:r>
      <w:r w:rsidR="00416B55">
        <w:t xml:space="preserve">a </w:t>
      </w:r>
      <w:r w:rsidR="0009008B">
        <w:t xml:space="preserve">list of Departments.  </w:t>
      </w:r>
      <w:r w:rsidR="00B0604D">
        <w:t xml:space="preserve">There is a </w:t>
      </w:r>
      <w:r w:rsidR="00C84B81">
        <w:t xml:space="preserve">practice of the </w:t>
      </w:r>
      <w:r w:rsidR="00CA110B">
        <w:t>D</w:t>
      </w:r>
      <w:r w:rsidR="00C84B81">
        <w:t xml:space="preserve">epartment publishing a </w:t>
      </w:r>
      <w:r w:rsidR="00B0604D">
        <w:t xml:space="preserve">list </w:t>
      </w:r>
      <w:r w:rsidR="0009008B">
        <w:t>matching</w:t>
      </w:r>
      <w:r w:rsidR="00B0604D">
        <w:t xml:space="preserve"> Ministers and </w:t>
      </w:r>
      <w:r w:rsidR="00133B54">
        <w:t>offices</w:t>
      </w:r>
      <w:r w:rsidR="00B0604D">
        <w:t>.</w:t>
      </w:r>
      <w:r w:rsidR="00822133">
        <w:t xml:space="preserve">  All </w:t>
      </w:r>
      <w:r w:rsidR="00CA110B">
        <w:t xml:space="preserve">lists </w:t>
      </w:r>
      <w:r w:rsidR="00822133">
        <w:t xml:space="preserve">need to be consulted by those seeking to ascertain who </w:t>
      </w:r>
      <w:r w:rsidR="00923318">
        <w:t xml:space="preserve">has formal authority </w:t>
      </w:r>
      <w:r w:rsidR="00822133">
        <w:t>for what</w:t>
      </w:r>
      <w:r w:rsidR="00F05820">
        <w:t xml:space="preserve"> – there is no single document for th</w:t>
      </w:r>
      <w:r w:rsidR="004B12B6">
        <w:t>at</w:t>
      </w:r>
      <w:r w:rsidR="00822133">
        <w:t>.</w:t>
      </w:r>
      <w:r w:rsidR="0059099A">
        <w:rPr>
          <w:rStyle w:val="FootnoteReference"/>
        </w:rPr>
        <w:footnoteReference w:id="18"/>
      </w:r>
    </w:p>
    <w:p w14:paraId="5F49021C" w14:textId="0EE2CA83" w:rsidR="00527D07" w:rsidRDefault="00527D07" w:rsidP="00880EC6">
      <w:pPr>
        <w:spacing w:after="0"/>
      </w:pPr>
    </w:p>
    <w:p w14:paraId="2D7FAB01" w14:textId="6B45AF53" w:rsidR="00527D07" w:rsidRDefault="002C6EE4" w:rsidP="00880EC6">
      <w:pPr>
        <w:spacing w:after="0"/>
      </w:pPr>
      <w:r>
        <w:t xml:space="preserve">The Solicitor General noted </w:t>
      </w:r>
      <w:r w:rsidR="00AC0C63">
        <w:t>a</w:t>
      </w:r>
      <w:r>
        <w:t>n issue with the Morrison appointments was some of his matches with Departments were not listed.  However, in his view this did not invalidate the appointments</w:t>
      </w:r>
      <w:r w:rsidR="00251170">
        <w:t>.  In his view,</w:t>
      </w:r>
      <w:r>
        <w:t xml:space="preserve"> Ministerial appointments tak</w:t>
      </w:r>
      <w:r w:rsidR="00AC0C63">
        <w:t>e</w:t>
      </w:r>
      <w:r>
        <w:t xml:space="preserve"> effect when made rather than when published.</w:t>
      </w:r>
    </w:p>
    <w:p w14:paraId="04D10C47" w14:textId="62D0B451" w:rsidR="00874AC8" w:rsidRDefault="00874AC8" w:rsidP="00880EC6">
      <w:pPr>
        <w:spacing w:after="0"/>
      </w:pPr>
    </w:p>
    <w:p w14:paraId="59E189D6" w14:textId="18FEBC68" w:rsidR="008D5628" w:rsidRDefault="009467E3" w:rsidP="00880EC6">
      <w:pPr>
        <w:pStyle w:val="Heading3"/>
        <w:spacing w:before="0"/>
      </w:pPr>
      <w:bookmarkStart w:id="6" w:name="_Toc115358076"/>
      <w:r>
        <w:t>3.</w:t>
      </w:r>
      <w:r w:rsidR="00615DCC">
        <w:t>3</w:t>
      </w:r>
      <w:r>
        <w:tab/>
      </w:r>
      <w:r w:rsidR="008D5628">
        <w:t>Responsible government</w:t>
      </w:r>
      <w:bookmarkEnd w:id="6"/>
    </w:p>
    <w:p w14:paraId="65AA2D60" w14:textId="6266B643" w:rsidR="00AE5925" w:rsidRDefault="008D5628" w:rsidP="00880EC6">
      <w:pPr>
        <w:spacing w:after="0"/>
      </w:pPr>
      <w:r>
        <w:t xml:space="preserve">Responsible government means the Executive – </w:t>
      </w:r>
      <w:r w:rsidR="00CA110B">
        <w:t xml:space="preserve">Government, </w:t>
      </w:r>
      <w:r>
        <w:t xml:space="preserve">Ministers – can be controlled by and </w:t>
      </w:r>
      <w:r w:rsidR="0046708F">
        <w:t>are</w:t>
      </w:r>
      <w:r>
        <w:t xml:space="preserve"> answerable to Parliament</w:t>
      </w:r>
      <w:r w:rsidR="00CD4C77">
        <w:t xml:space="preserve"> and through it to the </w:t>
      </w:r>
      <w:r w:rsidR="00CA110B">
        <w:t>electorate</w:t>
      </w:r>
      <w:r>
        <w:t>.</w:t>
      </w:r>
      <w:r w:rsidR="00AE5925">
        <w:rPr>
          <w:rStyle w:val="FootnoteReference"/>
        </w:rPr>
        <w:footnoteReference w:id="19"/>
      </w:r>
    </w:p>
    <w:p w14:paraId="3E625D94" w14:textId="482D0F21" w:rsidR="00C717AC" w:rsidRDefault="00C717AC" w:rsidP="00880EC6">
      <w:pPr>
        <w:spacing w:after="0"/>
      </w:pPr>
    </w:p>
    <w:p w14:paraId="64E0CF0A" w14:textId="6D027669" w:rsidR="00CD4C77" w:rsidRDefault="00251170" w:rsidP="00880EC6">
      <w:pPr>
        <w:spacing w:after="0"/>
      </w:pPr>
      <w:r>
        <w:t xml:space="preserve">One </w:t>
      </w:r>
      <w:r w:rsidR="00022450">
        <w:t>con</w:t>
      </w:r>
      <w:r w:rsidR="00AC0C63">
        <w:t>vention</w:t>
      </w:r>
      <w:r w:rsidR="002E2B98">
        <w:t xml:space="preserve"> </w:t>
      </w:r>
      <w:r w:rsidR="00AC0C63">
        <w:t xml:space="preserve">of </w:t>
      </w:r>
      <w:r w:rsidR="002E2B98">
        <w:t xml:space="preserve">responsible government </w:t>
      </w:r>
      <w:r w:rsidR="00AC0C63">
        <w:t>is:</w:t>
      </w:r>
      <w:r w:rsidR="006E2E99">
        <w:t xml:space="preserve"> either </w:t>
      </w:r>
      <w:r w:rsidR="00AC0C63">
        <w:t>House of Parliament</w:t>
      </w:r>
      <w:r w:rsidR="006E2E99">
        <w:t xml:space="preserve"> can call on a Minister to answer questions.  </w:t>
      </w:r>
      <w:r w:rsidR="002E2B98">
        <w:t>Even if not (properly) answered, t</w:t>
      </w:r>
      <w:r w:rsidR="00CD4C77">
        <w:t xml:space="preserve">his </w:t>
      </w:r>
      <w:r w:rsidR="002E2B98">
        <w:t>informs</w:t>
      </w:r>
      <w:r w:rsidR="00CD4C77">
        <w:t xml:space="preserve"> the public </w:t>
      </w:r>
      <w:r w:rsidR="002E2B98">
        <w:t xml:space="preserve">in a way </w:t>
      </w:r>
      <w:r w:rsidR="00CD4C77">
        <w:t>which can influence elections</w:t>
      </w:r>
      <w:r w:rsidR="002E2B98">
        <w:t xml:space="preserve"> - </w:t>
      </w:r>
      <w:r w:rsidR="00603360">
        <w:t xml:space="preserve">said to be </w:t>
      </w:r>
      <w:r w:rsidR="00CD4C77">
        <w:t>the principal constrain</w:t>
      </w:r>
      <w:r w:rsidR="00603360">
        <w:t>t</w:t>
      </w:r>
      <w:r w:rsidR="00CD4C77">
        <w:t xml:space="preserve"> on </w:t>
      </w:r>
      <w:r w:rsidR="00536882">
        <w:t>lawful Executive activity.</w:t>
      </w:r>
      <w:r w:rsidR="00536882">
        <w:rPr>
          <w:rStyle w:val="FootnoteReference"/>
        </w:rPr>
        <w:footnoteReference w:id="20"/>
      </w:r>
    </w:p>
    <w:p w14:paraId="289F0F9A" w14:textId="77777777" w:rsidR="00251170" w:rsidRDefault="00251170" w:rsidP="00880EC6">
      <w:pPr>
        <w:spacing w:after="0"/>
      </w:pPr>
    </w:p>
    <w:p w14:paraId="52B853B2" w14:textId="31994147" w:rsidR="006D0F69" w:rsidRDefault="00AF497E" w:rsidP="00880EC6">
      <w:pPr>
        <w:spacing w:after="0"/>
      </w:pPr>
      <w:r>
        <w:lastRenderedPageBreak/>
        <w:t>T</w:t>
      </w:r>
      <w:r w:rsidR="007F0782">
        <w:t xml:space="preserve">he Solicitor General argued a Minister </w:t>
      </w:r>
      <w:r w:rsidR="00AC0C63">
        <w:t xml:space="preserve">has </w:t>
      </w:r>
      <w:r w:rsidR="00923318">
        <w:t>authority and therefore responsibility to Parliament</w:t>
      </w:r>
      <w:r w:rsidR="007F0782">
        <w:t xml:space="preserve"> </w:t>
      </w:r>
      <w:r w:rsidR="00C35DA3">
        <w:t xml:space="preserve">from the time of appointment, </w:t>
      </w:r>
      <w:r w:rsidR="00AC0C63">
        <w:t xml:space="preserve">which may be exercised by </w:t>
      </w:r>
      <w:r w:rsidR="00C35DA3">
        <w:t xml:space="preserve">inaction as </w:t>
      </w:r>
      <w:r w:rsidR="007A3985">
        <w:t>well</w:t>
      </w:r>
      <w:r w:rsidR="00C35DA3">
        <w:t xml:space="preserve"> as action.  </w:t>
      </w:r>
      <w:r w:rsidR="00FF5132">
        <w:t>Yet P</w:t>
      </w:r>
      <w:r w:rsidR="00C717AC">
        <w:t xml:space="preserve">arliament </w:t>
      </w:r>
      <w:r w:rsidR="00E241E6">
        <w:t xml:space="preserve">would not be able to call </w:t>
      </w:r>
      <w:r w:rsidR="005813B5">
        <w:t>that</w:t>
      </w:r>
      <w:r w:rsidR="00E10A22">
        <w:t xml:space="preserve"> Minister</w:t>
      </w:r>
      <w:r w:rsidR="00E241E6">
        <w:t xml:space="preserve"> to account </w:t>
      </w:r>
      <w:r w:rsidR="00E10A22">
        <w:t xml:space="preserve">if </w:t>
      </w:r>
      <w:r w:rsidR="006D0F69">
        <w:t xml:space="preserve">it was unaware of </w:t>
      </w:r>
      <w:r w:rsidR="00E10A22">
        <w:t>those powers</w:t>
      </w:r>
      <w:r w:rsidR="00E241E6">
        <w:t>.</w:t>
      </w:r>
    </w:p>
    <w:p w14:paraId="3AF3B610" w14:textId="329C64EC" w:rsidR="00AF497E" w:rsidRDefault="00AF497E" w:rsidP="00880EC6">
      <w:pPr>
        <w:spacing w:after="0"/>
      </w:pPr>
    </w:p>
    <w:p w14:paraId="34D874CC" w14:textId="1AE37762" w:rsidR="00AF497E" w:rsidRDefault="00AF497E" w:rsidP="00880EC6">
      <w:pPr>
        <w:spacing w:after="0"/>
      </w:pPr>
      <w:r>
        <w:t xml:space="preserve">Notwithstanding </w:t>
      </w:r>
      <w:r w:rsidR="00FF7791">
        <w:t xml:space="preserve">any </w:t>
      </w:r>
      <w:r>
        <w:t xml:space="preserve">such undermining, the </w:t>
      </w:r>
      <w:r w:rsidR="00503F02">
        <w:t xml:space="preserve">opinion was: the </w:t>
      </w:r>
      <w:r>
        <w:t xml:space="preserve">appointments were valid </w:t>
      </w:r>
      <w:r w:rsidR="00503F02">
        <w:t xml:space="preserve">when </w:t>
      </w:r>
      <w:r>
        <w:t>made.</w:t>
      </w:r>
    </w:p>
    <w:p w14:paraId="4F22F436" w14:textId="41CEF004" w:rsidR="006D0F69" w:rsidRDefault="006D0F69" w:rsidP="00880EC6">
      <w:pPr>
        <w:spacing w:after="0"/>
      </w:pPr>
    </w:p>
    <w:p w14:paraId="74409B98" w14:textId="589338F6" w:rsidR="002E2B98" w:rsidRDefault="002E2B98" w:rsidP="00880EC6">
      <w:pPr>
        <w:pStyle w:val="Heading2"/>
        <w:spacing w:before="0"/>
      </w:pPr>
      <w:bookmarkStart w:id="7" w:name="_Toc115358077"/>
      <w:r>
        <w:t>4.</w:t>
      </w:r>
      <w:r>
        <w:tab/>
        <w:t>Commentary</w:t>
      </w:r>
      <w:bookmarkEnd w:id="7"/>
    </w:p>
    <w:p w14:paraId="5CD3FF3C" w14:textId="77777777" w:rsidR="002E2B98" w:rsidRDefault="002E2B98" w:rsidP="00880EC6">
      <w:pPr>
        <w:pStyle w:val="Heading3"/>
        <w:spacing w:before="0"/>
      </w:pPr>
      <w:bookmarkStart w:id="8" w:name="_Toc115358078"/>
      <w:r>
        <w:t>4.1</w:t>
      </w:r>
      <w:r>
        <w:tab/>
        <w:t>Overview</w:t>
      </w:r>
      <w:bookmarkEnd w:id="8"/>
    </w:p>
    <w:p w14:paraId="6D9DFB25" w14:textId="0E2E9B11" w:rsidR="002E2B98" w:rsidRDefault="002E2B98" w:rsidP="00880EC6">
      <w:pPr>
        <w:spacing w:after="0"/>
      </w:pPr>
      <w:r>
        <w:t>Commentary generally accepted the Solicitor General’s opinion.  The short time frames involved suggest most were reactions without analysis.</w:t>
      </w:r>
      <w:r>
        <w:rPr>
          <w:rStyle w:val="FootnoteReference"/>
        </w:rPr>
        <w:footnoteReference w:id="21"/>
      </w:r>
      <w:r>
        <w:t xml:space="preserve">  </w:t>
      </w:r>
    </w:p>
    <w:p w14:paraId="60B8AE0E" w14:textId="77777777" w:rsidR="002E2B98" w:rsidRDefault="002E2B98" w:rsidP="00880EC6">
      <w:pPr>
        <w:spacing w:after="0"/>
      </w:pPr>
    </w:p>
    <w:p w14:paraId="27FA336B" w14:textId="406E7D66" w:rsidR="002E2B98" w:rsidRDefault="002E2B98" w:rsidP="00880EC6">
      <w:pPr>
        <w:spacing w:after="0"/>
      </w:pPr>
      <w:r>
        <w:t xml:space="preserve">In the absence of a rational explanation about </w:t>
      </w:r>
      <w:r w:rsidR="00923318">
        <w:t xml:space="preserve">Mr Morrison </w:t>
      </w:r>
      <w:r>
        <w:t>taking on Ministries and then keeping that secret, much media commentary speculat</w:t>
      </w:r>
      <w:r w:rsidR="00E10A22">
        <w:t>ed</w:t>
      </w:r>
      <w:r>
        <w:t xml:space="preserve"> about motives – stoked by Prime Minister Albanese.  Even normally sensible columnists got caught up in a </w:t>
      </w:r>
      <w:r w:rsidR="001861F4">
        <w:t xml:space="preserve">polemic </w:t>
      </w:r>
      <w:r>
        <w:t>pile-on</w:t>
      </w:r>
      <w:r w:rsidR="00BD28BC">
        <w:t xml:space="preserve"> </w:t>
      </w:r>
      <w:r w:rsidR="00E10A22">
        <w:t>-</w:t>
      </w:r>
      <w:r w:rsidR="00BD28BC">
        <w:t xml:space="preserve"> an apparent contest for hyperbole.</w:t>
      </w:r>
    </w:p>
    <w:p w14:paraId="44934BAA" w14:textId="77777777" w:rsidR="002E2B98" w:rsidRDefault="002E2B98" w:rsidP="00880EC6">
      <w:pPr>
        <w:spacing w:after="0"/>
      </w:pPr>
    </w:p>
    <w:p w14:paraId="59E687FB" w14:textId="7907087E" w:rsidR="00912CB1" w:rsidRPr="00D24ABA" w:rsidRDefault="002E2B98" w:rsidP="00880EC6">
      <w:pPr>
        <w:spacing w:after="0"/>
        <w:rPr>
          <w:rFonts w:cstheme="minorHAnsi"/>
        </w:rPr>
      </w:pPr>
      <w:r>
        <w:t xml:space="preserve">Professor Hocking </w:t>
      </w:r>
      <w:r w:rsidR="003B24E5">
        <w:t xml:space="preserve">– documenter of aspects of analyst of the 1975 dismissal of the Whitlam Government by Governor General Kerr - </w:t>
      </w:r>
      <w:r>
        <w:t xml:space="preserve">regarded </w:t>
      </w:r>
      <w:r w:rsidR="00D24ABA">
        <w:t xml:space="preserve">Mr Morrison’s behaviour </w:t>
      </w:r>
      <w:r>
        <w:t xml:space="preserve">as an </w:t>
      </w:r>
      <w:r w:rsidR="00BD28BC" w:rsidRPr="00E10A22">
        <w:rPr>
          <w:i/>
          <w:iCs/>
        </w:rPr>
        <w:t xml:space="preserve">‘unprecedented trashing of </w:t>
      </w:r>
      <w:r w:rsidRPr="00E10A22">
        <w:rPr>
          <w:i/>
          <w:iCs/>
        </w:rPr>
        <w:t>democracy</w:t>
      </w:r>
      <w:r w:rsidR="00BD28BC" w:rsidRPr="00E10A22">
        <w:rPr>
          <w:i/>
          <w:iCs/>
        </w:rPr>
        <w:t>’</w:t>
      </w:r>
      <w:r w:rsidR="003B24E5">
        <w:t xml:space="preserve">.  She </w:t>
      </w:r>
      <w:r w:rsidR="00E74D23">
        <w:t>cit</w:t>
      </w:r>
      <w:r w:rsidR="003B24E5">
        <w:t>ed</w:t>
      </w:r>
      <w:r w:rsidR="00E74D23">
        <w:t xml:space="preserve"> former Prime Minister Turnbull who regarded it as </w:t>
      </w:r>
      <w:r w:rsidR="00E74D23" w:rsidRPr="00E10A22">
        <w:rPr>
          <w:i/>
          <w:iCs/>
        </w:rPr>
        <w:t>‘sinister’</w:t>
      </w:r>
      <w:r>
        <w:t>.</w:t>
      </w:r>
      <w:r w:rsidR="00912CB1">
        <w:t xml:space="preserve">  Among her concerns</w:t>
      </w:r>
      <w:r w:rsidR="003B24E5">
        <w:t>:</w:t>
      </w:r>
      <w:r w:rsidR="00912CB1">
        <w:t xml:space="preserve"> Mr Morrison was appointed to Ministries that already had a Minister, and did not identify himself as Minister during question time:</w:t>
      </w:r>
    </w:p>
    <w:p w14:paraId="61CA90A6" w14:textId="047E4FF3" w:rsidR="002E2B98" w:rsidRPr="00411C4A" w:rsidRDefault="00912CB1" w:rsidP="00880EC6">
      <w:pPr>
        <w:spacing w:after="0"/>
        <w:ind w:left="720"/>
        <w:rPr>
          <w:rFonts w:cstheme="minorHAnsi"/>
          <w:i/>
          <w:iCs/>
        </w:rPr>
      </w:pPr>
      <w:r w:rsidRPr="00411C4A">
        <w:rPr>
          <w:rFonts w:cstheme="minorHAnsi"/>
          <w:i/>
          <w:iCs/>
          <w:shd w:val="clear" w:color="auto" w:fill="FFFFFF"/>
        </w:rPr>
        <w:t>‘If ‘responsible government’ is to mean anything at all, you cannot have a second ‘Minister’ appointed in secret, who can at any point step in and over-ride the decision of the first, and only publicly acknowledged, Minister.’</w:t>
      </w:r>
      <w:r w:rsidR="00BD28BC" w:rsidRPr="00411C4A">
        <w:rPr>
          <w:rStyle w:val="FootnoteReference"/>
          <w:rFonts w:cstheme="minorHAnsi"/>
          <w:i/>
          <w:iCs/>
        </w:rPr>
        <w:footnoteReference w:id="22"/>
      </w:r>
      <w:r w:rsidR="002E2B98" w:rsidRPr="00411C4A">
        <w:rPr>
          <w:rFonts w:cstheme="minorHAnsi"/>
          <w:i/>
          <w:iCs/>
        </w:rPr>
        <w:t xml:space="preserve">  </w:t>
      </w:r>
    </w:p>
    <w:p w14:paraId="1256C98D" w14:textId="267ED74D" w:rsidR="00813EC9" w:rsidRPr="00411C4A" w:rsidRDefault="00813EC9" w:rsidP="00880EC6">
      <w:pPr>
        <w:spacing w:after="0"/>
        <w:rPr>
          <w:rFonts w:cstheme="minorHAnsi"/>
          <w:shd w:val="clear" w:color="auto" w:fill="FFFFFF"/>
        </w:rPr>
      </w:pPr>
    </w:p>
    <w:p w14:paraId="6B167DD6" w14:textId="37064F8D" w:rsidR="00813EC9" w:rsidRPr="00411C4A" w:rsidRDefault="00813EC9" w:rsidP="00880EC6">
      <w:pPr>
        <w:spacing w:after="0"/>
        <w:rPr>
          <w:rFonts w:cstheme="minorHAnsi"/>
          <w:shd w:val="clear" w:color="auto" w:fill="FFFFFF"/>
        </w:rPr>
      </w:pPr>
      <w:r w:rsidRPr="00411C4A">
        <w:rPr>
          <w:rFonts w:cstheme="minorHAnsi"/>
          <w:shd w:val="clear" w:color="auto" w:fill="FFFFFF"/>
        </w:rPr>
        <w:t>Professor Maddox apparently considered Mr Morrison to be in breach of conventions</w:t>
      </w:r>
      <w:r w:rsidR="00D24ABA" w:rsidRPr="00411C4A">
        <w:rPr>
          <w:rFonts w:cstheme="minorHAnsi"/>
          <w:shd w:val="clear" w:color="auto" w:fill="FFFFFF"/>
        </w:rPr>
        <w:t xml:space="preserve"> of responsible government</w:t>
      </w:r>
      <w:r w:rsidRPr="00411C4A">
        <w:rPr>
          <w:rFonts w:cstheme="minorHAnsi"/>
          <w:shd w:val="clear" w:color="auto" w:fill="FFFFFF"/>
        </w:rPr>
        <w:t>.  He argued such conventions are vital and prior to the law</w:t>
      </w:r>
      <w:r w:rsidR="00E10A22">
        <w:rPr>
          <w:rFonts w:cstheme="minorHAnsi"/>
          <w:shd w:val="clear" w:color="auto" w:fill="FFFFFF"/>
        </w:rPr>
        <w:t>.  However</w:t>
      </w:r>
      <w:r w:rsidR="00D24ABA" w:rsidRPr="00411C4A">
        <w:rPr>
          <w:rFonts w:cstheme="minorHAnsi"/>
          <w:shd w:val="clear" w:color="auto" w:fill="FFFFFF"/>
        </w:rPr>
        <w:t xml:space="preserve">, </w:t>
      </w:r>
      <w:r w:rsidR="00E10A22">
        <w:rPr>
          <w:rFonts w:cstheme="minorHAnsi"/>
          <w:shd w:val="clear" w:color="auto" w:fill="FFFFFF"/>
        </w:rPr>
        <w:t>conventions</w:t>
      </w:r>
      <w:r w:rsidR="00D24ABA" w:rsidRPr="00411C4A">
        <w:rPr>
          <w:rFonts w:cstheme="minorHAnsi"/>
          <w:shd w:val="clear" w:color="auto" w:fill="FFFFFF"/>
        </w:rPr>
        <w:t xml:space="preserve"> ha</w:t>
      </w:r>
      <w:r w:rsidR="00E10A22">
        <w:rPr>
          <w:rFonts w:cstheme="minorHAnsi"/>
          <w:shd w:val="clear" w:color="auto" w:fill="FFFFFF"/>
        </w:rPr>
        <w:t>ve</w:t>
      </w:r>
      <w:r w:rsidR="00D24ABA" w:rsidRPr="00411C4A">
        <w:rPr>
          <w:rFonts w:cstheme="minorHAnsi"/>
          <w:shd w:val="clear" w:color="auto" w:fill="FFFFFF"/>
        </w:rPr>
        <w:t xml:space="preserve"> been confused in Australia by Kerr’s 1975 claim responsible government requires </w:t>
      </w:r>
      <w:r w:rsidR="003B24E5" w:rsidRPr="00411C4A">
        <w:rPr>
          <w:rFonts w:cstheme="minorHAnsi"/>
          <w:shd w:val="clear" w:color="auto" w:fill="FFFFFF"/>
        </w:rPr>
        <w:t xml:space="preserve">the </w:t>
      </w:r>
      <w:r w:rsidR="00D24ABA" w:rsidRPr="00411C4A">
        <w:rPr>
          <w:rFonts w:cstheme="minorHAnsi"/>
          <w:shd w:val="clear" w:color="auto" w:fill="FFFFFF"/>
        </w:rPr>
        <w:t xml:space="preserve">Prime Minister to secure supply </w:t>
      </w:r>
      <w:r w:rsidR="003B24E5" w:rsidRPr="00411C4A">
        <w:rPr>
          <w:rFonts w:cstheme="minorHAnsi"/>
          <w:shd w:val="clear" w:color="auto" w:fill="FFFFFF"/>
        </w:rPr>
        <w:t xml:space="preserve">or advise an election.  He </w:t>
      </w:r>
      <w:r w:rsidR="00D24ABA" w:rsidRPr="00411C4A">
        <w:rPr>
          <w:rFonts w:cstheme="minorHAnsi"/>
          <w:shd w:val="clear" w:color="auto" w:fill="FFFFFF"/>
        </w:rPr>
        <w:t>conclud</w:t>
      </w:r>
      <w:r w:rsidR="003B24E5" w:rsidRPr="00411C4A">
        <w:rPr>
          <w:rFonts w:cstheme="minorHAnsi"/>
          <w:shd w:val="clear" w:color="auto" w:fill="FFFFFF"/>
        </w:rPr>
        <w:t>ed</w:t>
      </w:r>
      <w:r w:rsidR="00D24ABA" w:rsidRPr="00411C4A">
        <w:rPr>
          <w:rFonts w:cstheme="minorHAnsi"/>
          <w:shd w:val="clear" w:color="auto" w:fill="FFFFFF"/>
        </w:rPr>
        <w:t xml:space="preserve"> with:</w:t>
      </w:r>
    </w:p>
    <w:p w14:paraId="48F28212" w14:textId="1DDDD37E" w:rsidR="00D24ABA" w:rsidRPr="00411C4A" w:rsidRDefault="00D24ABA" w:rsidP="00880EC6">
      <w:pPr>
        <w:spacing w:after="0"/>
        <w:ind w:left="720"/>
        <w:rPr>
          <w:rFonts w:cstheme="minorHAnsi"/>
          <w:i/>
          <w:iCs/>
          <w:shd w:val="clear" w:color="auto" w:fill="FFFFFF"/>
        </w:rPr>
      </w:pPr>
      <w:r w:rsidRPr="00411C4A">
        <w:rPr>
          <w:rFonts w:cstheme="minorHAnsi"/>
          <w:i/>
          <w:iCs/>
          <w:shd w:val="clear" w:color="auto" w:fill="FFFFFF"/>
        </w:rPr>
        <w:t>‘if the powerholders exercise self-restraint, the written constitution is unnecessary, and if they do not, no written constitution will check them’.</w:t>
      </w:r>
      <w:r w:rsidRPr="00411C4A">
        <w:rPr>
          <w:rStyle w:val="FootnoteReference"/>
          <w:rFonts w:cstheme="minorHAnsi"/>
          <w:i/>
          <w:iCs/>
          <w:shd w:val="clear" w:color="auto" w:fill="FFFFFF"/>
        </w:rPr>
        <w:footnoteReference w:id="23"/>
      </w:r>
    </w:p>
    <w:p w14:paraId="61C41B04" w14:textId="3B4D4211" w:rsidR="003B24E5" w:rsidRPr="00411C4A" w:rsidRDefault="003B24E5" w:rsidP="00880EC6">
      <w:pPr>
        <w:spacing w:after="0"/>
        <w:rPr>
          <w:rFonts w:cstheme="minorHAnsi"/>
          <w:i/>
          <w:iCs/>
          <w:shd w:val="clear" w:color="auto" w:fill="FFFFFF"/>
        </w:rPr>
      </w:pPr>
    </w:p>
    <w:p w14:paraId="1DEC694F" w14:textId="0FB6D651" w:rsidR="003B24E5" w:rsidRPr="00411C4A" w:rsidRDefault="003B24E5" w:rsidP="00880EC6">
      <w:pPr>
        <w:spacing w:after="0"/>
        <w:rPr>
          <w:rFonts w:cstheme="minorHAnsi"/>
          <w:shd w:val="clear" w:color="auto" w:fill="FFFFFF"/>
        </w:rPr>
      </w:pPr>
      <w:r w:rsidRPr="00411C4A">
        <w:rPr>
          <w:rFonts w:cstheme="minorHAnsi"/>
          <w:shd w:val="clear" w:color="auto" w:fill="FFFFFF"/>
        </w:rPr>
        <w:t>Ms Grattan</w:t>
      </w:r>
      <w:r w:rsidR="0084792D">
        <w:rPr>
          <w:rFonts w:cstheme="minorHAnsi"/>
          <w:shd w:val="clear" w:color="auto" w:fill="FFFFFF"/>
        </w:rPr>
        <w:t xml:space="preserve"> </w:t>
      </w:r>
      <w:r w:rsidR="00E2510E" w:rsidRPr="00411C4A">
        <w:rPr>
          <w:rFonts w:cstheme="minorHAnsi"/>
          <w:shd w:val="clear" w:color="auto" w:fill="FFFFFF"/>
        </w:rPr>
        <w:t>repeated the Solicitor General’s assertions:</w:t>
      </w:r>
    </w:p>
    <w:p w14:paraId="6AAB6846" w14:textId="6CA5AE77" w:rsidR="00E2510E" w:rsidRPr="00E2510E" w:rsidRDefault="00E2510E" w:rsidP="00880EC6">
      <w:pPr>
        <w:spacing w:after="0"/>
        <w:ind w:left="720"/>
        <w:rPr>
          <w:rFonts w:cstheme="minorHAnsi"/>
          <w:i/>
          <w:iCs/>
        </w:rPr>
      </w:pPr>
      <w:r w:rsidRPr="00E2510E">
        <w:rPr>
          <w:rFonts w:cstheme="minorHAnsi"/>
          <w:i/>
          <w:iCs/>
          <w:color w:val="000000"/>
          <w:shd w:val="clear" w:color="auto" w:fill="FFFFFF"/>
        </w:rPr>
        <w:t xml:space="preserve">“To the extent that the public and the Parliament are not informed of appointments </w:t>
      </w:r>
      <w:r w:rsidR="0017214A">
        <w:rPr>
          <w:rFonts w:cstheme="minorHAnsi"/>
          <w:i/>
          <w:iCs/>
          <w:color w:val="000000"/>
          <w:shd w:val="clear" w:color="auto" w:fill="FFFFFF"/>
        </w:rPr>
        <w:t>…..</w:t>
      </w:r>
      <w:r w:rsidRPr="00E2510E">
        <w:rPr>
          <w:rFonts w:cstheme="minorHAnsi"/>
          <w:i/>
          <w:iCs/>
          <w:color w:val="000000"/>
          <w:shd w:val="clear" w:color="auto" w:fill="FFFFFF"/>
        </w:rPr>
        <w:t xml:space="preserve"> the principles of responsible government are fundamentally undermined.”</w:t>
      </w:r>
      <w:r w:rsidR="0084792D">
        <w:rPr>
          <w:rStyle w:val="FootnoteReference"/>
          <w:rFonts w:cstheme="minorHAnsi"/>
          <w:i/>
          <w:iCs/>
          <w:color w:val="000000"/>
          <w:shd w:val="clear" w:color="auto" w:fill="FFFFFF"/>
        </w:rPr>
        <w:footnoteReference w:id="24"/>
      </w:r>
    </w:p>
    <w:p w14:paraId="331C0C9E" w14:textId="77777777" w:rsidR="002E2B98" w:rsidRPr="00D24ABA" w:rsidRDefault="002E2B98" w:rsidP="00880EC6">
      <w:pPr>
        <w:spacing w:after="0"/>
        <w:rPr>
          <w:rFonts w:cstheme="minorHAnsi"/>
        </w:rPr>
      </w:pPr>
    </w:p>
    <w:p w14:paraId="561CDAD8" w14:textId="3C5787E6" w:rsidR="002E2B98" w:rsidRDefault="002E2B98" w:rsidP="00880EC6">
      <w:pPr>
        <w:spacing w:after="0"/>
      </w:pPr>
      <w:r>
        <w:t xml:space="preserve">Mr Waterford, Canberra Times, suggested one motivation was to forestall a ‘coup’ – Mr Morrison wanted to prevent the possibility of Coalition Ministers replacing him as Prime Minister. </w:t>
      </w:r>
      <w:r w:rsidR="00251170">
        <w:t xml:space="preserve"> </w:t>
      </w:r>
      <w:r w:rsidR="00FF7791">
        <w:t>He</w:t>
      </w:r>
      <w:r w:rsidR="00912CB1">
        <w:t xml:space="preserve"> did not explain the apparent irrationality of such a motivation - t</w:t>
      </w:r>
      <w:r>
        <w:t xml:space="preserve">he changes had no effect on </w:t>
      </w:r>
      <w:r w:rsidR="00912CB1">
        <w:t>Mr Morrison’s</w:t>
      </w:r>
      <w:r>
        <w:t xml:space="preserve"> ability to advise the Governor General </w:t>
      </w:r>
      <w:r w:rsidR="00912CB1">
        <w:t xml:space="preserve">to dismiss plotting Ministers </w:t>
      </w:r>
      <w:r>
        <w:t>etc.</w:t>
      </w:r>
      <w:r>
        <w:rPr>
          <w:rStyle w:val="FootnoteReference"/>
        </w:rPr>
        <w:footnoteReference w:id="25"/>
      </w:r>
    </w:p>
    <w:p w14:paraId="5732A2B9" w14:textId="77777777" w:rsidR="000A657D" w:rsidRDefault="000A657D" w:rsidP="00880EC6">
      <w:pPr>
        <w:spacing w:after="0"/>
      </w:pPr>
    </w:p>
    <w:p w14:paraId="7B83CC38" w14:textId="318AC5F7" w:rsidR="00E123F9" w:rsidRPr="00411C4A" w:rsidRDefault="00E123F9" w:rsidP="00880EC6">
      <w:pPr>
        <w:spacing w:after="0"/>
      </w:pPr>
      <w:r w:rsidRPr="00411C4A">
        <w:t xml:space="preserve">Ms Jones of Independent Australia condemned much of the media for being </w:t>
      </w:r>
      <w:r w:rsidRPr="00E10A22">
        <w:rPr>
          <w:i/>
          <w:iCs/>
        </w:rPr>
        <w:t>‘slow out of the blocks’</w:t>
      </w:r>
      <w:r w:rsidRPr="00411C4A">
        <w:t xml:space="preserve"> on the story – and argued the authors </w:t>
      </w:r>
      <w:r w:rsidR="008C5B1C" w:rsidRPr="00411C4A">
        <w:t xml:space="preserve">of Plagued </w:t>
      </w:r>
      <w:r w:rsidRPr="00411C4A">
        <w:t>should have released the story prior to the 2022 election.  She claimed:</w:t>
      </w:r>
    </w:p>
    <w:p w14:paraId="5C1A1EE6" w14:textId="49D58739" w:rsidR="00E123F9" w:rsidRPr="00411C4A" w:rsidRDefault="00E123F9" w:rsidP="00880EC6">
      <w:pPr>
        <w:spacing w:after="0"/>
        <w:ind w:left="720"/>
        <w:rPr>
          <w:rFonts w:cstheme="minorHAnsi"/>
          <w:i/>
          <w:iCs/>
        </w:rPr>
      </w:pPr>
      <w:r w:rsidRPr="00411C4A">
        <w:rPr>
          <w:rFonts w:cstheme="minorHAnsi"/>
          <w:i/>
          <w:iCs/>
          <w:shd w:val="clear" w:color="auto" w:fill="FFFFFF"/>
        </w:rPr>
        <w:t>‘The Australian public recognised immediately the unprecedented, yet likely legal, threat Morrison’s actions potentially posed to our democracy.’</w:t>
      </w:r>
      <w:r w:rsidRPr="00411C4A">
        <w:rPr>
          <w:rStyle w:val="FootnoteReference"/>
          <w:rFonts w:cstheme="minorHAnsi"/>
          <w:i/>
          <w:iCs/>
          <w:shd w:val="clear" w:color="auto" w:fill="FFFFFF"/>
        </w:rPr>
        <w:footnoteReference w:id="26"/>
      </w:r>
    </w:p>
    <w:p w14:paraId="2C047B51" w14:textId="77777777" w:rsidR="002E2B98" w:rsidRDefault="002E2B98" w:rsidP="00880EC6">
      <w:pPr>
        <w:spacing w:after="0"/>
      </w:pPr>
    </w:p>
    <w:p w14:paraId="171D3D17" w14:textId="41646B34" w:rsidR="00880EC6" w:rsidRDefault="00880EC6" w:rsidP="00880EC6">
      <w:pPr>
        <w:spacing w:after="0"/>
      </w:pPr>
      <w:r>
        <w:t xml:space="preserve">Evidence of such recognition was not provided.  </w:t>
      </w:r>
    </w:p>
    <w:p w14:paraId="186006B2" w14:textId="77777777" w:rsidR="00880EC6" w:rsidRDefault="00880EC6" w:rsidP="00880EC6">
      <w:pPr>
        <w:spacing w:after="0"/>
      </w:pPr>
    </w:p>
    <w:p w14:paraId="42FBAD04" w14:textId="2A0EE155" w:rsidR="002E2B98" w:rsidRDefault="002E2B98" w:rsidP="00880EC6">
      <w:pPr>
        <w:spacing w:after="0"/>
      </w:pPr>
      <w:r>
        <w:t xml:space="preserve">Several </w:t>
      </w:r>
      <w:r w:rsidR="00880EC6">
        <w:t xml:space="preserve">other </w:t>
      </w:r>
      <w:r>
        <w:t xml:space="preserve">articles </w:t>
      </w:r>
      <w:r w:rsidR="00880EC6">
        <w:t>made</w:t>
      </w:r>
      <w:r w:rsidR="008C5B1C">
        <w:t xml:space="preserve"> ‘threat to democracy’ </w:t>
      </w:r>
      <w:r w:rsidR="00E10A22">
        <w:t>claims</w:t>
      </w:r>
      <w:r w:rsidR="00880EC6">
        <w:t>, also without indicating what the threat might be</w:t>
      </w:r>
      <w:r w:rsidR="00E10A22">
        <w:t>.</w:t>
      </w:r>
    </w:p>
    <w:p w14:paraId="53AC82C2" w14:textId="77777777" w:rsidR="00DB0B9C" w:rsidRDefault="00DB0B9C" w:rsidP="00880EC6">
      <w:pPr>
        <w:pStyle w:val="Heading3"/>
        <w:spacing w:before="0"/>
      </w:pPr>
    </w:p>
    <w:p w14:paraId="6E13A1DF" w14:textId="24F46F54" w:rsidR="0023343B" w:rsidRDefault="006246B9" w:rsidP="00880EC6">
      <w:pPr>
        <w:pStyle w:val="Heading3"/>
        <w:spacing w:before="0"/>
      </w:pPr>
      <w:bookmarkStart w:id="9" w:name="_Toc115358079"/>
      <w:r>
        <w:t>4.2</w:t>
      </w:r>
      <w:r>
        <w:tab/>
      </w:r>
      <w:r w:rsidR="00E2510E">
        <w:t>Further issues</w:t>
      </w:r>
      <w:bookmarkEnd w:id="9"/>
    </w:p>
    <w:p w14:paraId="43C861DA" w14:textId="087CB0A2" w:rsidR="00C25B89" w:rsidRDefault="00C25B89" w:rsidP="00880EC6">
      <w:pPr>
        <w:spacing w:after="0"/>
      </w:pPr>
      <w:r>
        <w:t xml:space="preserve">At least two commentators suggested the secret Ministries are far less serious threats to democracy than </w:t>
      </w:r>
      <w:r w:rsidR="00CE64B1">
        <w:t xml:space="preserve">Governments’ </w:t>
      </w:r>
      <w:r>
        <w:t>deliberate misrepresentation</w:t>
      </w:r>
      <w:r w:rsidR="00CE64B1">
        <w:t>s</w:t>
      </w:r>
      <w:r>
        <w:t xml:space="preserve"> of Australia’s system of government</w:t>
      </w:r>
      <w:r w:rsidR="00880EC6">
        <w:t xml:space="preserve"> – national cabinet and Health legislation being examples</w:t>
      </w:r>
      <w:r>
        <w:t>.</w:t>
      </w:r>
    </w:p>
    <w:p w14:paraId="4089447F" w14:textId="77777777" w:rsidR="00C25B89" w:rsidRDefault="00C25B89" w:rsidP="00880EC6">
      <w:pPr>
        <w:pStyle w:val="Heading4"/>
        <w:spacing w:before="0"/>
      </w:pPr>
    </w:p>
    <w:p w14:paraId="1412BBCD" w14:textId="795EAFC0" w:rsidR="0023343B" w:rsidRDefault="0023343B" w:rsidP="00880EC6">
      <w:pPr>
        <w:pStyle w:val="Heading4"/>
        <w:spacing w:before="0"/>
      </w:pPr>
      <w:r>
        <w:t>4.2.1</w:t>
      </w:r>
      <w:r>
        <w:tab/>
        <w:t>National cabinet</w:t>
      </w:r>
    </w:p>
    <w:p w14:paraId="0F4DF5D6" w14:textId="22E9E532" w:rsidR="00CE057F" w:rsidRDefault="002E2B98" w:rsidP="00880EC6">
      <w:pPr>
        <w:spacing w:after="0"/>
      </w:pPr>
      <w:r>
        <w:t xml:space="preserve">Professor </w:t>
      </w:r>
      <w:r w:rsidR="0038282C">
        <w:t xml:space="preserve">Beck </w:t>
      </w:r>
      <w:r>
        <w:t xml:space="preserve">Fenwick, ANU </w:t>
      </w:r>
      <w:r w:rsidR="0038282C">
        <w:t>Centre for Federalism</w:t>
      </w:r>
      <w:r>
        <w:t xml:space="preserve"> etc.</w:t>
      </w:r>
      <w:r w:rsidR="00E10A22">
        <w:t>,</w:t>
      </w:r>
      <w:r>
        <w:t xml:space="preserve"> implied the </w:t>
      </w:r>
      <w:r w:rsidR="00880EC6">
        <w:t xml:space="preserve">secret Ministries </w:t>
      </w:r>
      <w:r>
        <w:t xml:space="preserve">episode was triggered by ongoing abuse of </w:t>
      </w:r>
      <w:r w:rsidR="000A657D">
        <w:t>Mr</w:t>
      </w:r>
      <w:r>
        <w:t xml:space="preserve"> Morrison.  </w:t>
      </w:r>
      <w:r w:rsidR="00E10A22">
        <w:t>The abuse was m</w:t>
      </w:r>
      <w:r w:rsidR="00CE057F">
        <w:t xml:space="preserve">isplaced, because </w:t>
      </w:r>
      <w:r w:rsidR="00E10A22">
        <w:t xml:space="preserve">he </w:t>
      </w:r>
      <w:r w:rsidR="00CE057F">
        <w:t>was blamed for matters which are the responsibility of States</w:t>
      </w:r>
      <w:r w:rsidR="00E10A22">
        <w:t xml:space="preserve"> rat</w:t>
      </w:r>
      <w:r w:rsidR="00CE057F">
        <w:t xml:space="preserve">her than </w:t>
      </w:r>
      <w:r w:rsidR="00E10A22">
        <w:t>the</w:t>
      </w:r>
      <w:r w:rsidR="00CE057F">
        <w:t xml:space="preserve"> Commonwealth.  Among examples</w:t>
      </w:r>
      <w:r w:rsidR="00CE64B1">
        <w:t>,</w:t>
      </w:r>
      <w:r w:rsidR="00CE057F">
        <w:t xml:space="preserve"> the 2019-20 bushfires.</w:t>
      </w:r>
      <w:r w:rsidR="00DB0B9C">
        <w:rPr>
          <w:rStyle w:val="FootnoteReference"/>
        </w:rPr>
        <w:footnoteReference w:id="27"/>
      </w:r>
      <w:r w:rsidR="00CE057F">
        <w:t xml:space="preserve">  </w:t>
      </w:r>
    </w:p>
    <w:p w14:paraId="77DA3B2A" w14:textId="6D798BBB" w:rsidR="00CE057F" w:rsidRDefault="00CE057F" w:rsidP="00880EC6">
      <w:pPr>
        <w:spacing w:after="0"/>
      </w:pPr>
      <w:r>
        <w:t xml:space="preserve"> </w:t>
      </w:r>
    </w:p>
    <w:p w14:paraId="184DF9FA" w14:textId="298BE1F7" w:rsidR="00905D1B" w:rsidRDefault="00DB0B9C" w:rsidP="00880EC6">
      <w:pPr>
        <w:spacing w:after="0"/>
      </w:pPr>
      <w:r>
        <w:t xml:space="preserve">She raised a </w:t>
      </w:r>
      <w:r w:rsidR="0038282C">
        <w:t xml:space="preserve">concern </w:t>
      </w:r>
      <w:r>
        <w:t>about</w:t>
      </w:r>
      <w:r w:rsidR="0038282C">
        <w:t xml:space="preserve"> Executive Federalism</w:t>
      </w:r>
      <w:r w:rsidR="00B14142">
        <w:t xml:space="preserve"> - </w:t>
      </w:r>
      <w:r w:rsidR="0038282C">
        <w:t xml:space="preserve">tension between Parliamentary and Federal institutions.  </w:t>
      </w:r>
      <w:r w:rsidR="002E2B98">
        <w:t xml:space="preserve">She said </w:t>
      </w:r>
      <w:r w:rsidR="0023343B">
        <w:t>n</w:t>
      </w:r>
      <w:r w:rsidR="002E2B98">
        <w:t xml:space="preserve">ational </w:t>
      </w:r>
      <w:r w:rsidR="0023343B">
        <w:t>c</w:t>
      </w:r>
      <w:r w:rsidR="002E2B98">
        <w:t>abinet</w:t>
      </w:r>
      <w:r>
        <w:t xml:space="preserve"> -</w:t>
      </w:r>
      <w:r w:rsidR="002E2B98">
        <w:t xml:space="preserve"> a </w:t>
      </w:r>
      <w:r>
        <w:t xml:space="preserve">secret </w:t>
      </w:r>
      <w:r w:rsidR="002E2B98">
        <w:t xml:space="preserve">process by which Commonwealth and State Governments </w:t>
      </w:r>
      <w:r>
        <w:t xml:space="preserve">effectively </w:t>
      </w:r>
      <w:r w:rsidR="002E2B98">
        <w:t>by-pass their Parliaments</w:t>
      </w:r>
      <w:r>
        <w:t xml:space="preserve"> and give States national powers – undermines responsible government</w:t>
      </w:r>
      <w:r w:rsidR="002E2B98">
        <w:t xml:space="preserve">.  </w:t>
      </w:r>
    </w:p>
    <w:p w14:paraId="5F1BCFEE" w14:textId="77777777" w:rsidR="00905D1B" w:rsidRDefault="00905D1B" w:rsidP="00880EC6">
      <w:pPr>
        <w:spacing w:after="0"/>
      </w:pPr>
    </w:p>
    <w:p w14:paraId="26127139" w14:textId="6E67D7D8" w:rsidR="00ED71C7" w:rsidRDefault="002E2B98" w:rsidP="00880EC6">
      <w:pPr>
        <w:spacing w:after="0"/>
      </w:pPr>
      <w:r w:rsidRPr="00ED71C7">
        <w:t xml:space="preserve">She </w:t>
      </w:r>
      <w:r w:rsidR="001861F4" w:rsidRPr="00ED71C7">
        <w:t>is not alone in having concerns about national cabinet</w:t>
      </w:r>
      <w:r w:rsidR="00CE64B1">
        <w:t>.  Other concerns include</w:t>
      </w:r>
      <w:r w:rsidR="001861F4" w:rsidRPr="00ED71C7">
        <w:t xml:space="preserve"> how its existence engendered autocratic behaviours – including by unelected officials – during the pandemic.</w:t>
      </w:r>
      <w:r w:rsidR="00905D1B" w:rsidRPr="00ED71C7">
        <w:t xml:space="preserve">  </w:t>
      </w:r>
      <w:r w:rsidR="008E469F" w:rsidRPr="00ED71C7">
        <w:t>An October 2020 public law article presciently observed</w:t>
      </w:r>
      <w:r w:rsidR="00ED71C7">
        <w:t xml:space="preserve"> national cabinet</w:t>
      </w:r>
      <w:r w:rsidR="0023343B">
        <w:t>, rather than just being a successor to the Council of Australian Governments,</w:t>
      </w:r>
      <w:r w:rsidR="00ED71C7">
        <w:t xml:space="preserve"> led to greater personalisation of politics</w:t>
      </w:r>
      <w:r w:rsidR="0023343B">
        <w:t>:</w:t>
      </w:r>
    </w:p>
    <w:p w14:paraId="1CBAC8F6" w14:textId="7E911BFB" w:rsidR="004478CD" w:rsidRDefault="00B14142" w:rsidP="00880EC6">
      <w:pPr>
        <w:spacing w:after="0"/>
        <w:ind w:left="720"/>
      </w:pPr>
      <w:r w:rsidRPr="00B14142">
        <w:rPr>
          <w:i/>
          <w:iCs/>
        </w:rPr>
        <w:t xml:space="preserve">‘an increasing focus on politicians as individuals rather than leaders of a collective executive; a similar focus on the role of the majority leader rather than the Parliament; </w:t>
      </w:r>
      <w:r w:rsidR="004C04B5">
        <w:rPr>
          <w:i/>
          <w:iCs/>
        </w:rPr>
        <w:t>…r</w:t>
      </w:r>
      <w:r w:rsidRPr="00B14142">
        <w:rPr>
          <w:i/>
          <w:iCs/>
        </w:rPr>
        <w:t>elentless media focus on the leaders of t</w:t>
      </w:r>
      <w:r w:rsidR="00A35DFC">
        <w:rPr>
          <w:i/>
          <w:iCs/>
        </w:rPr>
        <w:t>h</w:t>
      </w:r>
      <w:r w:rsidRPr="00B14142">
        <w:rPr>
          <w:i/>
          <w:iCs/>
        </w:rPr>
        <w:t>e major parties to the exclusion of almost all others’</w:t>
      </w:r>
      <w:r w:rsidR="00A35DFC">
        <w:rPr>
          <w:i/>
          <w:iCs/>
        </w:rPr>
        <w:t>.</w:t>
      </w:r>
      <w:r w:rsidR="008E469F" w:rsidRPr="00ED71C7">
        <w:rPr>
          <w:rStyle w:val="FootnoteReference"/>
        </w:rPr>
        <w:footnoteReference w:id="28"/>
      </w:r>
      <w:r w:rsidR="006246B9">
        <w:t xml:space="preserve">  </w:t>
      </w:r>
    </w:p>
    <w:p w14:paraId="041145D1" w14:textId="75F00397" w:rsidR="004478CD" w:rsidRDefault="004478CD" w:rsidP="00880EC6">
      <w:pPr>
        <w:spacing w:after="0"/>
      </w:pPr>
    </w:p>
    <w:p w14:paraId="64659484" w14:textId="77777777" w:rsidR="000A657D" w:rsidRDefault="00ED71C7" w:rsidP="00880EC6">
      <w:pPr>
        <w:spacing w:after="0"/>
      </w:pPr>
      <w:r>
        <w:t>This was refer</w:t>
      </w:r>
      <w:r w:rsidR="002D1CE5">
        <w:t>r</w:t>
      </w:r>
      <w:r>
        <w:t xml:space="preserve">ed to as ‘presidentialisation’ - national cabinet </w:t>
      </w:r>
      <w:r w:rsidR="0023343B">
        <w:t xml:space="preserve">portrayed </w:t>
      </w:r>
      <w:r>
        <w:t>like a meeting of the United States President and State governors</w:t>
      </w:r>
      <w:r w:rsidR="0023343B">
        <w:t>.</w:t>
      </w:r>
      <w:r w:rsidR="00411C4A">
        <w:t xml:space="preserve">  </w:t>
      </w:r>
    </w:p>
    <w:p w14:paraId="13C69FEF" w14:textId="020A68DD" w:rsidR="00ED71C7" w:rsidRDefault="00411C4A" w:rsidP="00880EC6">
      <w:pPr>
        <w:spacing w:after="0"/>
      </w:pPr>
      <w:r>
        <w:lastRenderedPageBreak/>
        <w:t>Yet</w:t>
      </w:r>
      <w:r w:rsidR="00ED71C7">
        <w:t xml:space="preserve"> </w:t>
      </w:r>
      <w:r w:rsidR="002D1CE5">
        <w:t>in Australia</w:t>
      </w:r>
      <w:r w:rsidR="00CE64B1">
        <w:t>,</w:t>
      </w:r>
      <w:r w:rsidR="002D1CE5">
        <w:t xml:space="preserve"> participants </w:t>
      </w:r>
      <w:r w:rsidR="003F4B24">
        <w:t xml:space="preserve">in national cabinet </w:t>
      </w:r>
      <w:r w:rsidR="002D1CE5">
        <w:t xml:space="preserve">are </w:t>
      </w:r>
      <w:r w:rsidR="00CE64B1">
        <w:t xml:space="preserve">not </w:t>
      </w:r>
      <w:r w:rsidR="002D1CE5">
        <w:t>directly elected to office.</w:t>
      </w:r>
      <w:r w:rsidR="0023343B">
        <w:t xml:space="preserve">  Among the results are: less relevance of Parliament; </w:t>
      </w:r>
      <w:r w:rsidR="00CE64B1">
        <w:t>Government as a whole – rather than individual Ministers (other than Prime Ministers) - arrogating power</w:t>
      </w:r>
      <w:r w:rsidR="0023343B">
        <w:t xml:space="preserve">; increasing </w:t>
      </w:r>
      <w:r w:rsidR="00CE64B1">
        <w:t>gulf</w:t>
      </w:r>
      <w:r w:rsidR="0023343B">
        <w:t xml:space="preserve"> between Government and the people.</w:t>
      </w:r>
    </w:p>
    <w:p w14:paraId="3C3162BF" w14:textId="77777777" w:rsidR="00C466AE" w:rsidRDefault="00C466AE" w:rsidP="00880EC6">
      <w:pPr>
        <w:spacing w:after="0"/>
      </w:pPr>
    </w:p>
    <w:p w14:paraId="45E418CA" w14:textId="5AE248EB" w:rsidR="001861F4" w:rsidRDefault="00C466AE" w:rsidP="00880EC6">
      <w:pPr>
        <w:spacing w:after="0"/>
      </w:pPr>
      <w:r>
        <w:t xml:space="preserve">The immediate rationale for national cabinet – to deal with national crises – has long passed, if it ever existed.  </w:t>
      </w:r>
      <w:r w:rsidR="006246B9">
        <w:t xml:space="preserve">Yet the meetings continue, with all their defects not least of which are exclusion of the Commonwealth Opposition Leader – once Mr Albanese, now </w:t>
      </w:r>
      <w:r w:rsidR="00DB0B9C">
        <w:t xml:space="preserve">the </w:t>
      </w:r>
      <w:r w:rsidR="006246B9">
        <w:t>Coalition</w:t>
      </w:r>
      <w:r w:rsidR="00DB0B9C">
        <w:t>’s Mr Dutton</w:t>
      </w:r>
      <w:r w:rsidR="004478CD">
        <w:t>.  A</w:t>
      </w:r>
      <w:r w:rsidR="006246B9">
        <w:t xml:space="preserve">nd a false and </w:t>
      </w:r>
      <w:r w:rsidR="004478CD">
        <w:t xml:space="preserve">probably </w:t>
      </w:r>
      <w:r w:rsidR="006246B9">
        <w:t>illegal claim of confidentiality</w:t>
      </w:r>
      <w:r w:rsidR="004478CD">
        <w:t xml:space="preserve"> which reflects badly on the new Prime Minister</w:t>
      </w:r>
      <w:r w:rsidR="006246B9">
        <w:t>.</w:t>
      </w:r>
      <w:r w:rsidR="006246B9">
        <w:rPr>
          <w:rStyle w:val="FootnoteReference"/>
        </w:rPr>
        <w:footnoteReference w:id="29"/>
      </w:r>
    </w:p>
    <w:p w14:paraId="45B94CB5" w14:textId="77777777" w:rsidR="006246B9" w:rsidRDefault="006246B9" w:rsidP="00880EC6">
      <w:pPr>
        <w:spacing w:after="0"/>
      </w:pPr>
    </w:p>
    <w:p w14:paraId="6519252B" w14:textId="716BF68B" w:rsidR="002E2B98" w:rsidRDefault="008D6111" w:rsidP="00880EC6">
      <w:pPr>
        <w:spacing w:after="0"/>
      </w:pPr>
      <w:r>
        <w:t xml:space="preserve">It seemed </w:t>
      </w:r>
      <w:r w:rsidR="00905D1B">
        <w:t xml:space="preserve">Professor Beck Fenwick </w:t>
      </w:r>
      <w:r>
        <w:t xml:space="preserve">was criticising Mr Morrison for being a weak </w:t>
      </w:r>
      <w:r w:rsidR="000A657D">
        <w:t xml:space="preserve">yet inventive </w:t>
      </w:r>
      <w:r>
        <w:t>leader grasp</w:t>
      </w:r>
      <w:r w:rsidR="00D32B2D">
        <w:t>ing</w:t>
      </w:r>
      <w:r>
        <w:t xml:space="preserve"> at straws to remain popular.  Until</w:t>
      </w:r>
      <w:r w:rsidR="002E2B98">
        <w:t xml:space="preserve"> </w:t>
      </w:r>
      <w:r w:rsidR="000A657D">
        <w:t>an</w:t>
      </w:r>
      <w:r>
        <w:t xml:space="preserve"> </w:t>
      </w:r>
      <w:r w:rsidR="002E2B98">
        <w:t>extraordinary claim</w:t>
      </w:r>
      <w:r w:rsidR="00905D1B">
        <w:t>:</w:t>
      </w:r>
      <w:r w:rsidR="002E2B98">
        <w:t xml:space="preserve"> </w:t>
      </w:r>
      <w:r w:rsidR="00905D1B">
        <w:t xml:space="preserve">rather than </w:t>
      </w:r>
      <w:r w:rsidR="00C466AE">
        <w:t>n</w:t>
      </w:r>
      <w:r w:rsidR="00905D1B">
        <w:t xml:space="preserve">ational </w:t>
      </w:r>
      <w:r w:rsidR="00C466AE">
        <w:t>c</w:t>
      </w:r>
      <w:r w:rsidR="00905D1B">
        <w:t>abinet being the forum for collaboration between the Prime Minister and Premiers, it is a</w:t>
      </w:r>
      <w:r w:rsidR="00AE1482">
        <w:t>lmost a</w:t>
      </w:r>
      <w:r w:rsidR="00905D1B">
        <w:t xml:space="preserve"> fraud</w:t>
      </w:r>
      <w:r w:rsidR="002E2B98">
        <w:t>:</w:t>
      </w:r>
    </w:p>
    <w:p w14:paraId="10B3DAF6" w14:textId="788D2032" w:rsidR="002E2B98" w:rsidRPr="0043068B" w:rsidRDefault="002E2B98" w:rsidP="00880EC6">
      <w:pPr>
        <w:spacing w:after="0"/>
        <w:ind w:left="720"/>
        <w:rPr>
          <w:rFonts w:cstheme="minorHAnsi"/>
        </w:rPr>
      </w:pPr>
      <w:r w:rsidRPr="0043068B">
        <w:rPr>
          <w:rFonts w:cstheme="minorHAnsi"/>
          <w:i/>
          <w:iCs/>
          <w:shd w:val="clear" w:color="auto" w:fill="FFFFFF"/>
        </w:rPr>
        <w:t xml:space="preserve">‘Mr Morrison </w:t>
      </w:r>
      <w:r w:rsidR="00905D1B">
        <w:rPr>
          <w:rFonts w:cstheme="minorHAnsi"/>
          <w:i/>
          <w:iCs/>
          <w:shd w:val="clear" w:color="auto" w:fill="FFFFFF"/>
        </w:rPr>
        <w:t>…..</w:t>
      </w:r>
      <w:r w:rsidRPr="0043068B">
        <w:rPr>
          <w:rFonts w:cstheme="minorHAnsi"/>
          <w:i/>
          <w:iCs/>
          <w:shd w:val="clear" w:color="auto" w:fill="FFFFFF"/>
        </w:rPr>
        <w:t xml:space="preserve"> created the national cabinet as a mechanism to bring attention to the fact that </w:t>
      </w:r>
      <w:hyperlink r:id="rId8" w:tgtFrame="_blank" w:history="1">
        <w:r w:rsidRPr="0043068B">
          <w:rPr>
            <w:rStyle w:val="Hyperlink"/>
            <w:rFonts w:cstheme="minorHAnsi"/>
            <w:i/>
            <w:iCs/>
            <w:color w:val="auto"/>
            <w:bdr w:val="single" w:sz="2" w:space="0" w:color="E5E7EB" w:frame="1"/>
            <w:shd w:val="clear" w:color="auto" w:fill="FFFFFF"/>
          </w:rPr>
          <w:t>the Commonwealth had no power over the states</w:t>
        </w:r>
      </w:hyperlink>
      <w:r w:rsidRPr="0043068B">
        <w:rPr>
          <w:rFonts w:cstheme="minorHAnsi"/>
          <w:i/>
          <w:iCs/>
          <w:shd w:val="clear" w:color="auto" w:fill="FFFFFF"/>
        </w:rPr>
        <w:t> in terms of steering the federation's pandemic responses.’</w:t>
      </w:r>
      <w:r w:rsidRPr="0043068B">
        <w:rPr>
          <w:rStyle w:val="FootnoteReference"/>
          <w:rFonts w:cstheme="minorHAnsi"/>
          <w:shd w:val="clear" w:color="auto" w:fill="FFFFFF"/>
        </w:rPr>
        <w:footnoteReference w:id="30"/>
      </w:r>
    </w:p>
    <w:p w14:paraId="5EE3B7E7" w14:textId="56FBCAC2" w:rsidR="002E2B98" w:rsidRDefault="002E2B98" w:rsidP="00880EC6">
      <w:pPr>
        <w:spacing w:after="0"/>
      </w:pPr>
    </w:p>
    <w:p w14:paraId="178D9F63" w14:textId="04F8506D" w:rsidR="00902B78" w:rsidRDefault="00411C4A" w:rsidP="00880EC6">
      <w:pPr>
        <w:spacing w:after="0"/>
      </w:pPr>
      <w:r>
        <w:t xml:space="preserve">That claim is in direct conflict with the book </w:t>
      </w:r>
      <w:r w:rsidR="0084792D">
        <w:t>that started the controversy</w:t>
      </w:r>
      <w:r w:rsidR="00902B78">
        <w:t xml:space="preserve"> – Plagued says the motive for national cabinet was to maximise Commonwealth-State Government coordination during the pandemic, without becoming bogged down by bureaucratic agendas</w:t>
      </w:r>
      <w:r w:rsidR="0084792D">
        <w:t xml:space="preserve">.  </w:t>
      </w:r>
      <w:r w:rsidR="00902B78">
        <w:t xml:space="preserve">Further, </w:t>
      </w:r>
      <w:r w:rsidR="00AE1482">
        <w:t>it</w:t>
      </w:r>
      <w:r w:rsidR="00902B78">
        <w:t xml:space="preserve"> originated </w:t>
      </w:r>
      <w:r w:rsidR="00AE1482">
        <w:t xml:space="preserve">from an idea of </w:t>
      </w:r>
      <w:r w:rsidR="00902B78">
        <w:t>the Western Australian Premier.</w:t>
      </w:r>
      <w:r w:rsidR="00902B78">
        <w:rPr>
          <w:rStyle w:val="FootnoteReference"/>
        </w:rPr>
        <w:footnoteReference w:id="31"/>
      </w:r>
    </w:p>
    <w:p w14:paraId="382BDB2C" w14:textId="77777777" w:rsidR="00902B78" w:rsidRDefault="00902B78" w:rsidP="00880EC6">
      <w:pPr>
        <w:spacing w:after="0"/>
      </w:pPr>
    </w:p>
    <w:p w14:paraId="6112FD05" w14:textId="034042DF" w:rsidR="002E2B98" w:rsidRDefault="002E2B98" w:rsidP="00880EC6">
      <w:pPr>
        <w:spacing w:after="0"/>
      </w:pPr>
      <w:r>
        <w:t>Unfortunately, the link provided for th</w:t>
      </w:r>
      <w:r w:rsidR="0084792D">
        <w:t>e</w:t>
      </w:r>
      <w:r w:rsidR="00902B78">
        <w:t xml:space="preserve"> </w:t>
      </w:r>
      <w:r>
        <w:t xml:space="preserve">claim </w:t>
      </w:r>
      <w:r w:rsidR="00AE1482">
        <w:t xml:space="preserve">seems to </w:t>
      </w:r>
      <w:r w:rsidR="00615DCC">
        <w:t xml:space="preserve">sheds </w:t>
      </w:r>
      <w:r w:rsidR="00AE1482">
        <w:t>little</w:t>
      </w:r>
      <w:r w:rsidR="00615DCC">
        <w:t xml:space="preserve"> light on</w:t>
      </w:r>
      <w:r w:rsidR="00604792">
        <w:t xml:space="preserve"> Mr Morrison’s intentions for </w:t>
      </w:r>
      <w:r w:rsidR="00C466AE">
        <w:t>n</w:t>
      </w:r>
      <w:r w:rsidR="00604792">
        <w:t xml:space="preserve">ational </w:t>
      </w:r>
      <w:r w:rsidR="00C466AE">
        <w:t>c</w:t>
      </w:r>
      <w:r w:rsidR="00604792">
        <w:t>abinet</w:t>
      </w:r>
      <w:r w:rsidR="00615DCC">
        <w:t>.  T</w:t>
      </w:r>
      <w:r w:rsidR="00C466AE">
        <w:t xml:space="preserve">he article’s </w:t>
      </w:r>
      <w:r>
        <w:t>dog-whistl</w:t>
      </w:r>
      <w:r w:rsidR="00AE1482">
        <w:t>e</w:t>
      </w:r>
      <w:r w:rsidR="00DD09FB">
        <w:t xml:space="preserve"> </w:t>
      </w:r>
      <w:r w:rsidR="00C466AE">
        <w:t>was also unhelpful in that regard</w:t>
      </w:r>
      <w:r>
        <w:t>.</w:t>
      </w:r>
      <w:r>
        <w:rPr>
          <w:rStyle w:val="FootnoteReference"/>
        </w:rPr>
        <w:footnoteReference w:id="32"/>
      </w:r>
    </w:p>
    <w:p w14:paraId="30819C6F" w14:textId="0AE60EF8" w:rsidR="002E2B98" w:rsidRDefault="002E2B98" w:rsidP="00880EC6">
      <w:pPr>
        <w:spacing w:after="0"/>
      </w:pPr>
    </w:p>
    <w:p w14:paraId="36D902A2" w14:textId="50C38AB9" w:rsidR="00C466AE" w:rsidRDefault="00C466AE" w:rsidP="00880EC6">
      <w:pPr>
        <w:pStyle w:val="Heading4"/>
        <w:spacing w:before="0"/>
      </w:pPr>
      <w:r>
        <w:t>4.2.2</w:t>
      </w:r>
      <w:r>
        <w:tab/>
        <w:t>Health emergency legislation</w:t>
      </w:r>
    </w:p>
    <w:p w14:paraId="219A626C" w14:textId="16570D03" w:rsidR="00D32B2D" w:rsidRDefault="00C466AE" w:rsidP="00880EC6">
      <w:pPr>
        <w:spacing w:after="0"/>
      </w:pPr>
      <w:r>
        <w:t xml:space="preserve">University of NSW law </w:t>
      </w:r>
      <w:r w:rsidR="002E2B98">
        <w:t>Professor Williams’s speculat</w:t>
      </w:r>
      <w:r w:rsidR="00AE1482">
        <w:t xml:space="preserve">ed </w:t>
      </w:r>
      <w:r w:rsidR="002E2B98">
        <w:t xml:space="preserve">Mr Morrison was concerned the Health Act granted </w:t>
      </w:r>
      <w:r w:rsidR="004C04B5">
        <w:t xml:space="preserve">the </w:t>
      </w:r>
      <w:r w:rsidR="000A657D">
        <w:t xml:space="preserve">relevant </w:t>
      </w:r>
      <w:r w:rsidR="004C04B5">
        <w:t xml:space="preserve">Minister </w:t>
      </w:r>
      <w:r w:rsidR="0084792D" w:rsidRPr="0084792D">
        <w:rPr>
          <w:i/>
          <w:iCs/>
        </w:rPr>
        <w:t>‘</w:t>
      </w:r>
      <w:r w:rsidR="008D6111" w:rsidRPr="0084792D">
        <w:rPr>
          <w:i/>
          <w:iCs/>
        </w:rPr>
        <w:t>god-like</w:t>
      </w:r>
      <w:r w:rsidR="0084792D">
        <w:t>’</w:t>
      </w:r>
      <w:r w:rsidR="008D6111">
        <w:t xml:space="preserve"> </w:t>
      </w:r>
      <w:r w:rsidR="002E2B98">
        <w:t xml:space="preserve">powers which needed to be curtailed.  He pointed out </w:t>
      </w:r>
      <w:r w:rsidR="00D32B2D">
        <w:t xml:space="preserve">Morrison </w:t>
      </w:r>
      <w:r w:rsidR="002E2B98">
        <w:t xml:space="preserve">becoming a sort of secret </w:t>
      </w:r>
      <w:r w:rsidR="000A657D">
        <w:t xml:space="preserve">Health </w:t>
      </w:r>
      <w:r w:rsidR="002E2B98">
        <w:t xml:space="preserve">Minister was not the right way to address this.  </w:t>
      </w:r>
    </w:p>
    <w:p w14:paraId="387B4706" w14:textId="77777777" w:rsidR="00D32B2D" w:rsidRDefault="00D32B2D" w:rsidP="00880EC6">
      <w:pPr>
        <w:spacing w:after="0"/>
      </w:pPr>
    </w:p>
    <w:p w14:paraId="775B0C36" w14:textId="6157F2EF" w:rsidR="002E2B98" w:rsidRDefault="002E2B98" w:rsidP="00880EC6">
      <w:pPr>
        <w:spacing w:after="0"/>
      </w:pPr>
      <w:r>
        <w:t xml:space="preserve">In fact, it doesn’t address it at all – it merely makes a new god.  That is so obvious as to render a </w:t>
      </w:r>
      <w:r w:rsidR="008D6111">
        <w:t>motive</w:t>
      </w:r>
      <w:r>
        <w:t xml:space="preserve"> </w:t>
      </w:r>
      <w:r w:rsidR="00D32B2D">
        <w:t xml:space="preserve">of curtailing god-like powers </w:t>
      </w:r>
      <w:r>
        <w:t>implausible.</w:t>
      </w:r>
      <w:r>
        <w:rPr>
          <w:rStyle w:val="FootnoteReference"/>
        </w:rPr>
        <w:footnoteReference w:id="33"/>
      </w:r>
    </w:p>
    <w:p w14:paraId="7AF0752A" w14:textId="77777777" w:rsidR="002E2B98" w:rsidRDefault="002E2B98" w:rsidP="00880EC6">
      <w:pPr>
        <w:spacing w:after="0"/>
      </w:pPr>
    </w:p>
    <w:p w14:paraId="05CBBE02" w14:textId="714CB26C" w:rsidR="00D32B2D" w:rsidRDefault="002E2B98" w:rsidP="00880EC6">
      <w:pPr>
        <w:spacing w:after="0"/>
      </w:pPr>
      <w:r>
        <w:lastRenderedPageBreak/>
        <w:t xml:space="preserve">God-like powers?  </w:t>
      </w:r>
      <w:r w:rsidR="00902B78">
        <w:t xml:space="preserve">Professor </w:t>
      </w:r>
      <w:r>
        <w:t>Williams referred to the Act, passed in 2015 which</w:t>
      </w:r>
      <w:r w:rsidR="000A657D">
        <w:t>,</w:t>
      </w:r>
      <w:r>
        <w:t xml:space="preserve"> </w:t>
      </w:r>
      <w:r w:rsidR="000A657D">
        <w:t xml:space="preserve">he said, </w:t>
      </w:r>
      <w:r>
        <w:t>grants the Minister almost dictatorial powers after a public health emergency declaration by the Governor General.  While the duration of an initial declaration is limited, the Governor General can extend it as they see fit</w:t>
      </w:r>
      <w:r w:rsidR="00D32B2D">
        <w:t xml:space="preserve"> – about which it is worth remembers </w:t>
      </w:r>
      <w:r w:rsidR="00555146">
        <w:t xml:space="preserve">the Governor General </w:t>
      </w:r>
      <w:r w:rsidR="00D32B2D">
        <w:t>act</w:t>
      </w:r>
      <w:r w:rsidR="00555146">
        <w:t>s</w:t>
      </w:r>
      <w:r w:rsidR="00D32B2D">
        <w:t xml:space="preserve"> on the advice of the Prime Minister</w:t>
      </w:r>
      <w:r>
        <w:t xml:space="preserve">.  </w:t>
      </w:r>
    </w:p>
    <w:p w14:paraId="2665CBA7" w14:textId="77777777" w:rsidR="00555146" w:rsidRDefault="00555146" w:rsidP="00880EC6">
      <w:pPr>
        <w:spacing w:after="0"/>
      </w:pPr>
    </w:p>
    <w:p w14:paraId="18257DE4" w14:textId="4313DE3D" w:rsidR="00D32B2D" w:rsidRDefault="002E2B98" w:rsidP="00880EC6">
      <w:pPr>
        <w:spacing w:after="0"/>
      </w:pPr>
      <w:r>
        <w:t xml:space="preserve">Parliament is precluded from effective control over those powers because of a non-disallowance clause in the legislation.  The Senate cannot disallow – revoke – any declaration or consequent action by the Minister.  </w:t>
      </w:r>
      <w:r w:rsidR="00841390">
        <w:t>The Senate, of course, had agreed to that in passing the legislation.</w:t>
      </w:r>
    </w:p>
    <w:p w14:paraId="5871AE7C" w14:textId="77777777" w:rsidR="00D32B2D" w:rsidRDefault="00D32B2D" w:rsidP="00880EC6">
      <w:pPr>
        <w:spacing w:after="0"/>
      </w:pPr>
    </w:p>
    <w:p w14:paraId="75CBCEB4" w14:textId="20928A0D" w:rsidR="002E2B98" w:rsidRDefault="002E2B98" w:rsidP="00880EC6">
      <w:pPr>
        <w:spacing w:after="0"/>
      </w:pPr>
      <w:r>
        <w:t xml:space="preserve">Rather than Mr Morrison also </w:t>
      </w:r>
      <w:r w:rsidR="00880EC6">
        <w:t xml:space="preserve">acquiring </w:t>
      </w:r>
      <w:r>
        <w:t xml:space="preserve">those powers, Williams argued the indicated approach is to amend the legislation, </w:t>
      </w:r>
      <w:r w:rsidR="00880EC6">
        <w:t xml:space="preserve">to </w:t>
      </w:r>
      <w:r>
        <w:t xml:space="preserve">at least remove the </w:t>
      </w:r>
      <w:r w:rsidR="00841390">
        <w:t>non-disallowance provisions</w:t>
      </w:r>
      <w:r>
        <w:t>.</w:t>
      </w:r>
    </w:p>
    <w:p w14:paraId="54543FB8" w14:textId="77777777" w:rsidR="00D32B2D" w:rsidRDefault="00D32B2D" w:rsidP="00880EC6">
      <w:pPr>
        <w:spacing w:after="0"/>
      </w:pPr>
    </w:p>
    <w:p w14:paraId="468D37FE" w14:textId="5185162D" w:rsidR="00C25B89" w:rsidRDefault="00451B23" w:rsidP="00880EC6">
      <w:pPr>
        <w:spacing w:after="0"/>
      </w:pPr>
      <w:r>
        <w:t>Williams</w:t>
      </w:r>
      <w:r w:rsidR="006A6D76">
        <w:t>’</w:t>
      </w:r>
      <w:r>
        <w:t xml:space="preserve"> article did not mention more draconian and autocratic State legislation which, except in the case of NSW, had officials rather than Ministers making </w:t>
      </w:r>
      <w:r w:rsidR="00C25B89">
        <w:t xml:space="preserve">‘dictatorial’ </w:t>
      </w:r>
      <w:r>
        <w:t>decisions</w:t>
      </w:r>
      <w:r w:rsidR="00C25B89">
        <w:t>, without effective oversight by parliaments.</w:t>
      </w:r>
      <w:r w:rsidR="00D32B2D">
        <w:t xml:space="preserve"> </w:t>
      </w:r>
      <w:r w:rsidR="00841390">
        <w:t xml:space="preserve"> </w:t>
      </w:r>
      <w:r w:rsidR="00D32B2D">
        <w:t xml:space="preserve">Nor did he </w:t>
      </w:r>
      <w:r w:rsidR="00DD09FB">
        <w:t>say</w:t>
      </w:r>
      <w:r w:rsidR="00D32B2D">
        <w:t xml:space="preserve"> whether the Commonwealth</w:t>
      </w:r>
      <w:r w:rsidR="00555146">
        <w:t xml:space="preserve"> Minister</w:t>
      </w:r>
      <w:r w:rsidR="00DD09FB">
        <w:t>’s</w:t>
      </w:r>
      <w:r w:rsidR="00D32B2D">
        <w:t xml:space="preserve"> god-like powers could overrule the States </w:t>
      </w:r>
      <w:r w:rsidR="00555146">
        <w:t>and their officials</w:t>
      </w:r>
      <w:r w:rsidR="00DD09FB">
        <w:t xml:space="preserve"> – in a</w:t>
      </w:r>
      <w:r w:rsidR="00D32B2D">
        <w:t xml:space="preserve"> previous article </w:t>
      </w:r>
      <w:r w:rsidR="00DD09FB">
        <w:t xml:space="preserve">he </w:t>
      </w:r>
      <w:r w:rsidR="00AE1482">
        <w:t xml:space="preserve">implied </w:t>
      </w:r>
      <w:r w:rsidR="00D32B2D">
        <w:t>it could not</w:t>
      </w:r>
      <w:r w:rsidR="00555146">
        <w:t>.  I</w:t>
      </w:r>
      <w:r w:rsidR="00D32B2D">
        <w:t xml:space="preserve">f the Minister is a god, it </w:t>
      </w:r>
      <w:r w:rsidR="006A6D76">
        <w:t>would seem</w:t>
      </w:r>
      <w:r w:rsidR="00D32B2D">
        <w:t xml:space="preserve"> a lesser one.</w:t>
      </w:r>
      <w:r w:rsidR="00D32B2D">
        <w:rPr>
          <w:rStyle w:val="FootnoteReference"/>
        </w:rPr>
        <w:footnoteReference w:id="34"/>
      </w:r>
    </w:p>
    <w:p w14:paraId="3C6B0853" w14:textId="77777777" w:rsidR="00C25B89" w:rsidRDefault="00C25B89" w:rsidP="00880EC6">
      <w:pPr>
        <w:spacing w:after="0"/>
      </w:pPr>
    </w:p>
    <w:p w14:paraId="0F187C31" w14:textId="5ECD6B75" w:rsidR="002E2B98" w:rsidRDefault="00BA3E01" w:rsidP="00880EC6">
      <w:pPr>
        <w:spacing w:after="0"/>
      </w:pPr>
      <w:r>
        <w:t xml:space="preserve">Nor did </w:t>
      </w:r>
      <w:r w:rsidR="006A6D76">
        <w:t xml:space="preserve">Williams’ </w:t>
      </w:r>
      <w:r w:rsidR="00C25B89">
        <w:t xml:space="preserve">article </w:t>
      </w:r>
      <w:r w:rsidR="002E2B98">
        <w:t xml:space="preserve">refer to </w:t>
      </w:r>
      <w:r w:rsidR="00C25B89">
        <w:t xml:space="preserve">Commonwealth national emergency </w:t>
      </w:r>
      <w:r w:rsidR="002E2B98">
        <w:t xml:space="preserve">legislation with a similar non-disallowance clause.  It was passed unanimously </w:t>
      </w:r>
      <w:r w:rsidR="00853D7C">
        <w:t xml:space="preserve">by the Senate </w:t>
      </w:r>
      <w:r w:rsidR="002E2B98">
        <w:t>in late 2020 – despite non-disallowance clauses being severely criticised by a Senate committee just nine days earlier.</w:t>
      </w:r>
      <w:r w:rsidR="002E2B98">
        <w:rPr>
          <w:rStyle w:val="FootnoteReference"/>
        </w:rPr>
        <w:footnoteReference w:id="35"/>
      </w:r>
    </w:p>
    <w:p w14:paraId="396119C0" w14:textId="77777777" w:rsidR="002E2B98" w:rsidRDefault="002E2B98" w:rsidP="00880EC6">
      <w:pPr>
        <w:spacing w:after="0"/>
      </w:pPr>
    </w:p>
    <w:p w14:paraId="004CD728" w14:textId="1B8F164A" w:rsidR="006A6D76" w:rsidRDefault="00853D7C" w:rsidP="00880EC6">
      <w:pPr>
        <w:spacing w:after="0"/>
      </w:pPr>
      <w:r>
        <w:t>Nonetheless, the above</w:t>
      </w:r>
      <w:r w:rsidR="006A6D76">
        <w:t xml:space="preserve"> does point to a motive for Mr Morrison’s secrecy.  Making public an assertion of god-like powers</w:t>
      </w:r>
      <w:r>
        <w:t xml:space="preserve"> outside the control of Parliament</w:t>
      </w:r>
      <w:r w:rsidR="006A6D76">
        <w:t xml:space="preserve"> could give rise to questions about the merit – if not validity – of both the Health Act and the national emergency legislation.  If Australia’s political commentariat could see beyond its </w:t>
      </w:r>
      <w:r w:rsidR="00AE1482">
        <w:t>tired</w:t>
      </w:r>
      <w:r w:rsidR="006A6D76">
        <w:t xml:space="preserve"> </w:t>
      </w:r>
      <w:r w:rsidR="00555146">
        <w:t xml:space="preserve">personal </w:t>
      </w:r>
      <w:r w:rsidR="006A6D76">
        <w:t>prejudices</w:t>
      </w:r>
      <w:r>
        <w:t xml:space="preserve"> it might have noticed that</w:t>
      </w:r>
      <w:r w:rsidR="006A6D76">
        <w:t xml:space="preserve">.  </w:t>
      </w:r>
    </w:p>
    <w:p w14:paraId="198CBDCC" w14:textId="77777777" w:rsidR="006A6D76" w:rsidRDefault="006A6D76" w:rsidP="00880EC6">
      <w:pPr>
        <w:spacing w:after="0"/>
      </w:pPr>
    </w:p>
    <w:p w14:paraId="5D25AC32" w14:textId="15FB9862" w:rsidR="002E2B98" w:rsidRDefault="00853D7C" w:rsidP="00880EC6">
      <w:pPr>
        <w:spacing w:after="0"/>
      </w:pPr>
      <w:r>
        <w:t>Then the commentariat c</w:t>
      </w:r>
      <w:r w:rsidR="006A6D76">
        <w:t xml:space="preserve">ould also </w:t>
      </w:r>
      <w:r>
        <w:t xml:space="preserve">have noticed </w:t>
      </w:r>
      <w:r w:rsidR="002E2B98">
        <w:t xml:space="preserve">the lame acquiescence of other Parliamentarians in </w:t>
      </w:r>
      <w:r w:rsidR="00555146">
        <w:t>enacting</w:t>
      </w:r>
      <w:r w:rsidR="00E04643">
        <w:t xml:space="preserve"> god-like powers</w:t>
      </w:r>
      <w:r>
        <w:t xml:space="preserve"> of which they now complain</w:t>
      </w:r>
      <w:r w:rsidR="00E04643">
        <w:t>.</w:t>
      </w:r>
    </w:p>
    <w:p w14:paraId="1A4C5B85" w14:textId="396D834C" w:rsidR="002E2B98" w:rsidRDefault="002E2B98" w:rsidP="00880EC6">
      <w:pPr>
        <w:spacing w:after="0"/>
      </w:pPr>
    </w:p>
    <w:p w14:paraId="44E0D780" w14:textId="3BB442E2" w:rsidR="00E241E6" w:rsidRDefault="00ED7E97" w:rsidP="00880EC6">
      <w:pPr>
        <w:pStyle w:val="Heading2"/>
        <w:spacing w:before="0"/>
      </w:pPr>
      <w:bookmarkStart w:id="10" w:name="_Toc115358080"/>
      <w:r>
        <w:t>5</w:t>
      </w:r>
      <w:r w:rsidR="009467E3">
        <w:t>.</w:t>
      </w:r>
      <w:r w:rsidR="009467E3">
        <w:tab/>
      </w:r>
      <w:r w:rsidR="006D0F69">
        <w:t>Heres</w:t>
      </w:r>
      <w:r w:rsidR="00BA3E01">
        <w:t>ies</w:t>
      </w:r>
      <w:r w:rsidR="00B30634">
        <w:t>?</w:t>
      </w:r>
      <w:bookmarkEnd w:id="10"/>
    </w:p>
    <w:p w14:paraId="1108026D" w14:textId="0B6A2A47" w:rsidR="00BA3E01" w:rsidRDefault="00615DCC" w:rsidP="00880EC6">
      <w:pPr>
        <w:spacing w:after="0"/>
      </w:pPr>
      <w:r>
        <w:t>The</w:t>
      </w:r>
      <w:r w:rsidR="00BA3E01">
        <w:t xml:space="preserve"> orthodoxy </w:t>
      </w:r>
      <w:r w:rsidR="00911654">
        <w:t>is</w:t>
      </w:r>
      <w:r w:rsidR="00661692">
        <w:t>:</w:t>
      </w:r>
      <w:r w:rsidR="00911654">
        <w:t xml:space="preserve"> </w:t>
      </w:r>
      <w:r>
        <w:t>Mr Morrison had done something terribly wrong, but not illegal</w:t>
      </w:r>
      <w:r w:rsidR="00911654">
        <w:t>.  In my view, heresies are more plausible.</w:t>
      </w:r>
    </w:p>
    <w:p w14:paraId="3A9789B7" w14:textId="77777777" w:rsidR="00880EC6" w:rsidRDefault="00880EC6" w:rsidP="00880EC6">
      <w:pPr>
        <w:pStyle w:val="Heading3"/>
        <w:spacing w:before="0"/>
      </w:pPr>
    </w:p>
    <w:p w14:paraId="47B272B1" w14:textId="3C2A3748" w:rsidR="004F0DF2" w:rsidRDefault="00ED7E97" w:rsidP="00880EC6">
      <w:pPr>
        <w:pStyle w:val="Heading3"/>
        <w:spacing w:before="0"/>
      </w:pPr>
      <w:bookmarkStart w:id="11" w:name="_Toc115358081"/>
      <w:r>
        <w:t>5</w:t>
      </w:r>
      <w:r w:rsidR="009467E3">
        <w:t>.</w:t>
      </w:r>
      <w:r w:rsidR="00911654">
        <w:t>1</w:t>
      </w:r>
      <w:r w:rsidR="009467E3">
        <w:tab/>
      </w:r>
      <w:r w:rsidR="004F0DF2">
        <w:t>Paradox</w:t>
      </w:r>
      <w:bookmarkEnd w:id="11"/>
    </w:p>
    <w:p w14:paraId="7B82F186" w14:textId="22AB664D" w:rsidR="00E241E6" w:rsidRDefault="00CD0A9F" w:rsidP="00880EC6">
      <w:pPr>
        <w:spacing w:after="0"/>
      </w:pPr>
      <w:r>
        <w:t xml:space="preserve">When considered against a central purpose of the Constitution </w:t>
      </w:r>
      <w:r w:rsidR="00555146">
        <w:t>-</w:t>
      </w:r>
      <w:r>
        <w:t xml:space="preserve"> to establish a system of representative and responsible government</w:t>
      </w:r>
      <w:r w:rsidR="00555146">
        <w:t xml:space="preserve"> -</w:t>
      </w:r>
      <w:r>
        <w:t xml:space="preserve"> t</w:t>
      </w:r>
      <w:r w:rsidR="00E241E6">
        <w:t xml:space="preserve">he </w:t>
      </w:r>
      <w:r w:rsidR="00911654">
        <w:t xml:space="preserve">Solicitor General’s </w:t>
      </w:r>
      <w:r w:rsidR="00BA3E01">
        <w:t>o</w:t>
      </w:r>
      <w:r w:rsidR="00E241E6">
        <w:t>pinion presents a parado</w:t>
      </w:r>
      <w:r w:rsidR="00743E25">
        <w:t>x</w:t>
      </w:r>
      <w:r w:rsidR="00555146">
        <w:t>.  T</w:t>
      </w:r>
      <w:r w:rsidR="00743E25">
        <w:t xml:space="preserve">he appointments: </w:t>
      </w:r>
    </w:p>
    <w:p w14:paraId="198CB950" w14:textId="0175FA66" w:rsidR="00743E25" w:rsidRDefault="00743E25" w:rsidP="00880EC6">
      <w:pPr>
        <w:pStyle w:val="ListParagraph"/>
        <w:numPr>
          <w:ilvl w:val="0"/>
          <w:numId w:val="4"/>
        </w:numPr>
        <w:spacing w:after="0"/>
        <w:ind w:left="360"/>
      </w:pPr>
      <w:r>
        <w:t xml:space="preserve">were Constitutionally valid; yet </w:t>
      </w:r>
    </w:p>
    <w:p w14:paraId="3573F176" w14:textId="6A6F34F2" w:rsidR="00CD0A9F" w:rsidRDefault="00CD0A9F" w:rsidP="00880EC6">
      <w:pPr>
        <w:pStyle w:val="ListParagraph"/>
        <w:numPr>
          <w:ilvl w:val="0"/>
          <w:numId w:val="4"/>
        </w:numPr>
        <w:spacing w:after="0"/>
        <w:ind w:left="360"/>
      </w:pPr>
      <w:r>
        <w:t>were antithetical to the purpose of the Constitution.</w:t>
      </w:r>
    </w:p>
    <w:p w14:paraId="3A29DBC8" w14:textId="77777777" w:rsidR="005A2C1D" w:rsidRDefault="005A2C1D" w:rsidP="00880EC6">
      <w:pPr>
        <w:pStyle w:val="ListParagraph"/>
        <w:spacing w:after="0"/>
        <w:ind w:left="360"/>
      </w:pPr>
    </w:p>
    <w:p w14:paraId="36260D56" w14:textId="708FF57D" w:rsidR="004F0DF2" w:rsidRDefault="00CD0A9F" w:rsidP="00880EC6">
      <w:pPr>
        <w:spacing w:after="0"/>
      </w:pPr>
      <w:r>
        <w:t>Th</w:t>
      </w:r>
      <w:r w:rsidR="005A2C1D">
        <w:t xml:space="preserve">e </w:t>
      </w:r>
      <w:r w:rsidR="00661692">
        <w:t xml:space="preserve">Solicitor General’s </w:t>
      </w:r>
      <w:r w:rsidR="007A3985">
        <w:t>opinion</w:t>
      </w:r>
      <w:r w:rsidR="005A2C1D">
        <w:t xml:space="preserve"> holds that </w:t>
      </w:r>
      <w:r>
        <w:t>conformance with the Constitution can undermine the purpose of the Constitution.</w:t>
      </w:r>
      <w:r w:rsidR="00B30634">
        <w:t xml:space="preserve">  </w:t>
      </w:r>
      <w:r w:rsidR="007A3985">
        <w:t>That apparent</w:t>
      </w:r>
      <w:r>
        <w:t xml:space="preserve"> paradox calls into question</w:t>
      </w:r>
      <w:r w:rsidR="004F0DF2">
        <w:t xml:space="preserve"> both assertions.</w:t>
      </w:r>
      <w:r w:rsidR="00176449">
        <w:t xml:space="preserve"> </w:t>
      </w:r>
    </w:p>
    <w:p w14:paraId="73AA88B6" w14:textId="77777777" w:rsidR="00B30634" w:rsidRDefault="00B30634" w:rsidP="00880EC6">
      <w:pPr>
        <w:pStyle w:val="Heading3"/>
        <w:spacing w:before="0"/>
      </w:pPr>
    </w:p>
    <w:p w14:paraId="5EB249B9" w14:textId="7690A913" w:rsidR="004F0DF2" w:rsidRDefault="00AC2529" w:rsidP="00880EC6">
      <w:pPr>
        <w:pStyle w:val="Heading3"/>
        <w:spacing w:before="0"/>
      </w:pPr>
      <w:bookmarkStart w:id="12" w:name="_Toc115358082"/>
      <w:r>
        <w:t>5</w:t>
      </w:r>
      <w:r w:rsidR="009467E3">
        <w:t>.2</w:t>
      </w:r>
      <w:r w:rsidR="009467E3">
        <w:tab/>
      </w:r>
      <w:r w:rsidR="004F0DF2">
        <w:t>A limited question</w:t>
      </w:r>
      <w:r w:rsidR="003D5F37">
        <w:t>?</w:t>
      </w:r>
      <w:bookmarkEnd w:id="12"/>
    </w:p>
    <w:p w14:paraId="374D9867" w14:textId="00EB89DE" w:rsidR="00150F5B" w:rsidRDefault="00911654" w:rsidP="00880EC6">
      <w:pPr>
        <w:spacing w:after="0"/>
      </w:pPr>
      <w:r>
        <w:t xml:space="preserve">One attempt to resolve the paradox </w:t>
      </w:r>
      <w:r w:rsidR="00661692">
        <w:t>i</w:t>
      </w:r>
      <w:r>
        <w:t xml:space="preserve">s </w:t>
      </w:r>
      <w:r w:rsidR="00B847E0">
        <w:t>an</w:t>
      </w:r>
      <w:r>
        <w:t xml:space="preserve"> argument </w:t>
      </w:r>
      <w:r w:rsidR="003D5F37">
        <w:t>the Solicitor General</w:t>
      </w:r>
      <w:r>
        <w:t xml:space="preserve">’s opinion </w:t>
      </w:r>
      <w:r w:rsidR="003D5F37">
        <w:t xml:space="preserve">was </w:t>
      </w:r>
      <w:r>
        <w:t xml:space="preserve">narrow – </w:t>
      </w:r>
      <w:r w:rsidR="00571E70">
        <w:t>it</w:t>
      </w:r>
      <w:r>
        <w:t xml:space="preserve"> deal</w:t>
      </w:r>
      <w:r w:rsidR="00743E25">
        <w:t>t only</w:t>
      </w:r>
      <w:r>
        <w:t xml:space="preserve"> with </w:t>
      </w:r>
      <w:r w:rsidR="003D5F37">
        <w:t>the appointment to administer the Industry etc. Department</w:t>
      </w:r>
      <w:r w:rsidR="00AC2529">
        <w:t>, not all appointments</w:t>
      </w:r>
      <w:r w:rsidR="003D5F37">
        <w:t>.</w:t>
      </w:r>
      <w:r w:rsidR="005C5945">
        <w:t xml:space="preserve">  </w:t>
      </w:r>
      <w:r w:rsidR="00B847E0">
        <w:t>Yet t</w:t>
      </w:r>
      <w:r w:rsidR="003D5F37">
        <w:t xml:space="preserve">here </w:t>
      </w:r>
      <w:r w:rsidR="00150F5B">
        <w:t xml:space="preserve">is no evidence of differences </w:t>
      </w:r>
      <w:r w:rsidR="00571E70">
        <w:t>among ap</w:t>
      </w:r>
      <w:r w:rsidR="00150F5B">
        <w:t xml:space="preserve">pointments.  </w:t>
      </w:r>
      <w:r w:rsidR="007A3985">
        <w:t>P</w:t>
      </w:r>
      <w:r w:rsidR="00150F5B">
        <w:t xml:space="preserve">resumably the Solicitor General would </w:t>
      </w:r>
      <w:r w:rsidR="005A2C1D">
        <w:t>say</w:t>
      </w:r>
      <w:r w:rsidR="00150F5B">
        <w:t xml:space="preserve"> all were valid.</w:t>
      </w:r>
      <w:r w:rsidR="005C5945" w:rsidRPr="005C5945">
        <w:rPr>
          <w:rStyle w:val="FootnoteReference"/>
        </w:rPr>
        <w:t xml:space="preserve"> </w:t>
      </w:r>
      <w:r w:rsidR="005C5945">
        <w:rPr>
          <w:rStyle w:val="FootnoteReference"/>
        </w:rPr>
        <w:footnoteReference w:id="36"/>
      </w:r>
    </w:p>
    <w:p w14:paraId="0A017A92" w14:textId="77777777" w:rsidR="005A2C1D" w:rsidRDefault="005A2C1D" w:rsidP="00880EC6">
      <w:pPr>
        <w:spacing w:after="0"/>
      </w:pPr>
    </w:p>
    <w:p w14:paraId="754C7191" w14:textId="6E0249ED" w:rsidR="00DE1555" w:rsidRDefault="00B847E0" w:rsidP="00880EC6">
      <w:pPr>
        <w:spacing w:after="0"/>
      </w:pPr>
      <w:r>
        <w:t xml:space="preserve">A similar </w:t>
      </w:r>
      <w:r w:rsidR="00150F5B">
        <w:t xml:space="preserve">argument </w:t>
      </w:r>
      <w:r>
        <w:t xml:space="preserve">- </w:t>
      </w:r>
      <w:r w:rsidR="00150F5B">
        <w:t xml:space="preserve">the appointments resulted in an accumulation of </w:t>
      </w:r>
      <w:r>
        <w:t>too</w:t>
      </w:r>
      <w:r w:rsidR="00DE1555">
        <w:t xml:space="preserve"> much </w:t>
      </w:r>
      <w:r w:rsidR="00150F5B">
        <w:t xml:space="preserve">power in the hands of one person </w:t>
      </w:r>
      <w:r>
        <w:t xml:space="preserve">– is weak.  </w:t>
      </w:r>
      <w:r w:rsidR="00B1724F">
        <w:t>There is no bar on the number of appointments a Minister can hold.  Also, p</w:t>
      </w:r>
      <w:r w:rsidR="00571E70">
        <w:t>ower had accumulated before the appointments</w:t>
      </w:r>
      <w:r w:rsidR="00853D7C">
        <w:t xml:space="preserve"> - due to decisions by Parliament.</w:t>
      </w:r>
    </w:p>
    <w:p w14:paraId="28E9DB1D" w14:textId="69CF8F2E" w:rsidR="00981677" w:rsidRDefault="00981677" w:rsidP="00880EC6">
      <w:pPr>
        <w:spacing w:after="0"/>
      </w:pPr>
    </w:p>
    <w:p w14:paraId="6756B524" w14:textId="472B24B9" w:rsidR="00160C61" w:rsidRDefault="00743E25" w:rsidP="00880EC6">
      <w:pPr>
        <w:spacing w:after="0"/>
      </w:pPr>
      <w:r>
        <w:t xml:space="preserve">If the paradox is not resolvable by </w:t>
      </w:r>
      <w:r w:rsidR="00176449">
        <w:t>such</w:t>
      </w:r>
      <w:r>
        <w:t xml:space="preserve"> arguments, </w:t>
      </w:r>
      <w:r w:rsidR="00176449">
        <w:t xml:space="preserve">the Solicitor General’s opinion is questionable.  </w:t>
      </w:r>
      <w:r w:rsidR="00160C61">
        <w:t>One</w:t>
      </w:r>
      <w:r w:rsidR="00176449">
        <w:t xml:space="preserve"> </w:t>
      </w:r>
      <w:r w:rsidR="005C5945">
        <w:t>question</w:t>
      </w:r>
      <w:r w:rsidR="00176449">
        <w:t xml:space="preserve"> </w:t>
      </w:r>
      <w:r w:rsidR="00571E70">
        <w:t>is</w:t>
      </w:r>
      <w:r w:rsidR="00176449">
        <w:t xml:space="preserve"> whether the opinion was wrong in its interpretation of</w:t>
      </w:r>
      <w:r w:rsidR="00160C61">
        <w:t xml:space="preserve"> the Constitutional relevance of </w:t>
      </w:r>
      <w:r w:rsidR="00176449">
        <w:t>responsible government</w:t>
      </w:r>
      <w:r w:rsidR="00160C61">
        <w:t>.</w:t>
      </w:r>
    </w:p>
    <w:p w14:paraId="186E2B0A" w14:textId="77777777" w:rsidR="005C5945" w:rsidRDefault="005C5945" w:rsidP="00880EC6">
      <w:pPr>
        <w:pStyle w:val="Heading3"/>
        <w:spacing w:before="0"/>
      </w:pPr>
    </w:p>
    <w:p w14:paraId="77E104DB" w14:textId="3B21BD76" w:rsidR="00160C61" w:rsidRDefault="00160C61" w:rsidP="00880EC6">
      <w:pPr>
        <w:pStyle w:val="Heading3"/>
        <w:spacing w:before="0"/>
      </w:pPr>
      <w:bookmarkStart w:id="13" w:name="_Toc115358083"/>
      <w:r>
        <w:t>5.3</w:t>
      </w:r>
      <w:r>
        <w:tab/>
        <w:t>Relevance of responsible government</w:t>
      </w:r>
      <w:bookmarkEnd w:id="13"/>
    </w:p>
    <w:p w14:paraId="1EB88568" w14:textId="610F00E5" w:rsidR="00005807" w:rsidRDefault="005C5945" w:rsidP="00880EC6">
      <w:pPr>
        <w:spacing w:after="0"/>
      </w:pPr>
      <w:r>
        <w:t>I</w:t>
      </w:r>
      <w:r w:rsidR="00571E70">
        <w:t>n recent years, th</w:t>
      </w:r>
      <w:r w:rsidR="00160C61">
        <w:t xml:space="preserve">e High Court made repeated statements of the Constitutional relevance of </w:t>
      </w:r>
      <w:r w:rsidR="00BC6E2B">
        <w:t xml:space="preserve">representative </w:t>
      </w:r>
      <w:r w:rsidR="00005807">
        <w:t xml:space="preserve">and responsible </w:t>
      </w:r>
      <w:r w:rsidR="00BC6E2B">
        <w:t xml:space="preserve">government.  Some </w:t>
      </w:r>
      <w:r>
        <w:t xml:space="preserve">statements </w:t>
      </w:r>
      <w:r w:rsidR="00C01DCF">
        <w:t>we</w:t>
      </w:r>
      <w:r w:rsidR="00BC6E2B">
        <w:t>re in the context of case arguments about freedom of political communication</w:t>
      </w:r>
      <w:r w:rsidR="00B1724F">
        <w:t xml:space="preserve"> implied from a central purpose </w:t>
      </w:r>
      <w:r w:rsidR="00BD354B">
        <w:t>of the Constitution – to establish a system of representative and responsible government</w:t>
      </w:r>
      <w:r w:rsidR="00005807">
        <w:t>.</w:t>
      </w:r>
    </w:p>
    <w:p w14:paraId="3BF9BF80" w14:textId="77777777" w:rsidR="00005807" w:rsidRDefault="00005807" w:rsidP="00880EC6">
      <w:pPr>
        <w:spacing w:after="0"/>
      </w:pPr>
    </w:p>
    <w:p w14:paraId="6F6867B2" w14:textId="60E344B8" w:rsidR="00A97590" w:rsidRDefault="00BD354B" w:rsidP="00880EC6">
      <w:pPr>
        <w:spacing w:after="0"/>
      </w:pPr>
      <w:r>
        <w:t>T</w:t>
      </w:r>
      <w:r w:rsidR="00A97590">
        <w:t xml:space="preserve">he Constitution includes requirements - for at least political communication </w:t>
      </w:r>
      <w:r w:rsidR="00503F02">
        <w:t>–</w:t>
      </w:r>
      <w:r w:rsidR="00A97590">
        <w:t xml:space="preserve"> </w:t>
      </w:r>
      <w:r w:rsidR="00503F02">
        <w:t xml:space="preserve">that </w:t>
      </w:r>
      <w:r w:rsidR="00A97590">
        <w:t>are:</w:t>
      </w:r>
    </w:p>
    <w:p w14:paraId="1816B372" w14:textId="627EC87E" w:rsidR="00A64127" w:rsidRDefault="00A97590" w:rsidP="00880EC6">
      <w:pPr>
        <w:spacing w:after="0"/>
        <w:ind w:left="720"/>
      </w:pPr>
      <w:r>
        <w:rPr>
          <w:rFonts w:cstheme="minorHAnsi"/>
          <w:i/>
          <w:iCs/>
        </w:rPr>
        <w:t>‘</w:t>
      </w:r>
      <w:r w:rsidRPr="00A97590">
        <w:rPr>
          <w:rFonts w:cstheme="minorHAnsi"/>
          <w:i/>
          <w:iCs/>
        </w:rPr>
        <w:t>necessary for the effective operation of that system of representative and responsible government</w:t>
      </w:r>
      <w:r>
        <w:rPr>
          <w:rFonts w:cstheme="minorHAnsi"/>
          <w:i/>
          <w:iCs/>
        </w:rPr>
        <w:t>’</w:t>
      </w:r>
      <w:r w:rsidR="00D86854">
        <w:t>.</w:t>
      </w:r>
      <w:r w:rsidR="00AB0CAC">
        <w:rPr>
          <w:rStyle w:val="FootnoteReference"/>
        </w:rPr>
        <w:footnoteReference w:id="37"/>
      </w:r>
      <w:r w:rsidR="00D86854">
        <w:t xml:space="preserve">  </w:t>
      </w:r>
    </w:p>
    <w:p w14:paraId="1C64B014" w14:textId="77777777" w:rsidR="00A64127" w:rsidRDefault="00A64127" w:rsidP="00880EC6">
      <w:pPr>
        <w:spacing w:after="0"/>
      </w:pPr>
    </w:p>
    <w:p w14:paraId="793DBE77" w14:textId="39EEE219" w:rsidR="00D86854" w:rsidRDefault="00D86854" w:rsidP="00880EC6">
      <w:pPr>
        <w:spacing w:after="0"/>
      </w:pPr>
      <w:r>
        <w:t xml:space="preserve">Representative government means Parliament is answerable to the people at elections.  </w:t>
      </w:r>
    </w:p>
    <w:p w14:paraId="126F9A7C" w14:textId="77777777" w:rsidR="00D86854" w:rsidRDefault="00D86854" w:rsidP="00880EC6">
      <w:pPr>
        <w:spacing w:after="0"/>
      </w:pPr>
    </w:p>
    <w:p w14:paraId="4D76817E" w14:textId="72B050B6" w:rsidR="00D86854" w:rsidRDefault="00D86854" w:rsidP="00880EC6">
      <w:pPr>
        <w:spacing w:after="0"/>
      </w:pPr>
      <w:r>
        <w:t>Responsible government means the Executive – Government, Ministers – can be con</w:t>
      </w:r>
      <w:r w:rsidR="006867BD">
        <w:t>strained</w:t>
      </w:r>
      <w:r>
        <w:t xml:space="preserve"> by and </w:t>
      </w:r>
      <w:r w:rsidR="006867BD">
        <w:t>is</w:t>
      </w:r>
      <w:r>
        <w:t xml:space="preserve"> </w:t>
      </w:r>
      <w:r w:rsidR="006867BD">
        <w:t xml:space="preserve">directly </w:t>
      </w:r>
      <w:r>
        <w:t>answerable to Parliament</w:t>
      </w:r>
      <w:r w:rsidR="00AB0CAC">
        <w:t>,</w:t>
      </w:r>
      <w:r>
        <w:t xml:space="preserve"> and through it</w:t>
      </w:r>
      <w:r w:rsidR="00AB0CAC">
        <w:t>,</w:t>
      </w:r>
      <w:r>
        <w:t xml:space="preserve"> </w:t>
      </w:r>
      <w:r w:rsidR="006867BD">
        <w:t xml:space="preserve">indirectly </w:t>
      </w:r>
      <w:r>
        <w:t xml:space="preserve">to the electorate.  </w:t>
      </w:r>
      <w:r w:rsidR="00AB0CAC">
        <w:t>Parliament can legislate to constrain t</w:t>
      </w:r>
      <w:r>
        <w:t>he Government.</w:t>
      </w:r>
      <w:r>
        <w:rPr>
          <w:rStyle w:val="FootnoteReference"/>
        </w:rPr>
        <w:footnoteReference w:id="38"/>
      </w:r>
    </w:p>
    <w:p w14:paraId="4E138457" w14:textId="5DC8E95A" w:rsidR="00A64127" w:rsidRDefault="00A64127" w:rsidP="00880EC6">
      <w:pPr>
        <w:spacing w:after="0"/>
      </w:pPr>
    </w:p>
    <w:p w14:paraId="10358069" w14:textId="1AAA5015" w:rsidR="00A64127" w:rsidRDefault="005C5945" w:rsidP="00880EC6">
      <w:pPr>
        <w:spacing w:after="0"/>
      </w:pPr>
      <w:r>
        <w:t>One aspect</w:t>
      </w:r>
      <w:r w:rsidR="00A64127">
        <w:t xml:space="preserve"> of responsible government is a convention that either </w:t>
      </w:r>
      <w:r w:rsidR="00366D45">
        <w:t>Parliamentary House</w:t>
      </w:r>
      <w:r w:rsidR="00A64127">
        <w:t xml:space="preserve"> can </w:t>
      </w:r>
      <w:r w:rsidR="00366D45">
        <w:t>question</w:t>
      </w:r>
      <w:r w:rsidR="00A64127">
        <w:t xml:space="preserve"> a Minister</w:t>
      </w:r>
      <w:r w:rsidR="00366D45">
        <w:t>.</w:t>
      </w:r>
      <w:r w:rsidR="00A64127">
        <w:t xml:space="preserve">  Even if </w:t>
      </w:r>
      <w:r w:rsidR="00AB0CAC">
        <w:t xml:space="preserve">a Minister does </w:t>
      </w:r>
      <w:r w:rsidR="00A64127">
        <w:t>not (properly) answer</w:t>
      </w:r>
      <w:r w:rsidR="00AB0CAC">
        <w:t>, response</w:t>
      </w:r>
      <w:r w:rsidR="00366D45">
        <w:t>s</w:t>
      </w:r>
      <w:r w:rsidR="00A64127">
        <w:t xml:space="preserve"> inform the public in a way which can influence elections - said to be the principal constraint on lawful Executive activity.</w:t>
      </w:r>
    </w:p>
    <w:p w14:paraId="15879171" w14:textId="77777777" w:rsidR="00BD354B" w:rsidRDefault="00BD354B" w:rsidP="00880EC6">
      <w:pPr>
        <w:spacing w:after="0"/>
      </w:pPr>
    </w:p>
    <w:p w14:paraId="5B632DAC" w14:textId="09D0422E" w:rsidR="00A64127" w:rsidRDefault="00A64127" w:rsidP="00880EC6">
      <w:pPr>
        <w:spacing w:after="0"/>
      </w:pPr>
      <w:r>
        <w:lastRenderedPageBreak/>
        <w:t xml:space="preserve">Other conventions relating to responsible government include the </w:t>
      </w:r>
      <w:r w:rsidR="009A4FC2">
        <w:t xml:space="preserve">leader of the Executive – the </w:t>
      </w:r>
      <w:r>
        <w:t xml:space="preserve">Governor General </w:t>
      </w:r>
      <w:r w:rsidR="009A4FC2">
        <w:t xml:space="preserve">- </w:t>
      </w:r>
      <w:r>
        <w:t>follows the advice of the Prime Minister.  That presupposes another convention: for there to be a Prime Minister – appointed by the Governor General on cognisance of having support of the majority of the House of Representatives.</w:t>
      </w:r>
      <w:r>
        <w:rPr>
          <w:rStyle w:val="FootnoteReference"/>
        </w:rPr>
        <w:footnoteReference w:id="39"/>
      </w:r>
    </w:p>
    <w:p w14:paraId="5A6AB119" w14:textId="77777777" w:rsidR="00E04643" w:rsidRDefault="00E04643" w:rsidP="00880EC6">
      <w:pPr>
        <w:spacing w:after="0"/>
      </w:pPr>
    </w:p>
    <w:p w14:paraId="4151A74E" w14:textId="2AD66F03" w:rsidR="00A64127" w:rsidRDefault="00A64127" w:rsidP="00880EC6">
      <w:pPr>
        <w:spacing w:after="0"/>
      </w:pPr>
      <w:r>
        <w:t>Another convention</w:t>
      </w:r>
      <w:r w:rsidR="0085090B">
        <w:t xml:space="preserve"> relating to </w:t>
      </w:r>
      <w:r w:rsidR="005C5945">
        <w:t>G</w:t>
      </w:r>
      <w:r w:rsidR="0085090B">
        <w:t>overnment</w:t>
      </w:r>
      <w:r>
        <w:t>: the Prime Minister forms a Cabinet, comprising several Ministers</w:t>
      </w:r>
      <w:r w:rsidR="00A25ACB">
        <w:t>.  Cabinet is based on ‘solidarity’</w:t>
      </w:r>
      <w:r w:rsidR="00BD354B">
        <w:t>.  I</w:t>
      </w:r>
      <w:r w:rsidR="00A25ACB">
        <w:t>t</w:t>
      </w:r>
      <w:r>
        <w:t xml:space="preserve"> collectively makes and takes responsibility for decisions on some matters.  Each member of Cabinet is bound by</w:t>
      </w:r>
      <w:r w:rsidR="00BD354B">
        <w:t>,</w:t>
      </w:r>
      <w:r>
        <w:t xml:space="preserve"> and publicly supports</w:t>
      </w:r>
      <w:r w:rsidR="00BD354B">
        <w:t>,</w:t>
      </w:r>
      <w:r>
        <w:t xml:space="preserve"> the decisions.</w:t>
      </w:r>
      <w:r w:rsidR="00162165">
        <w:t xml:space="preserve">  R</w:t>
      </w:r>
      <w:r>
        <w:t xml:space="preserve">easons for </w:t>
      </w:r>
      <w:r w:rsidR="00BD354B">
        <w:t xml:space="preserve">Cabinet </w:t>
      </w:r>
      <w:r>
        <w:t>decisions, and any disagreements, are kept confidential.</w:t>
      </w:r>
      <w:r>
        <w:rPr>
          <w:rStyle w:val="FootnoteReference"/>
        </w:rPr>
        <w:footnoteReference w:id="40"/>
      </w:r>
    </w:p>
    <w:p w14:paraId="748C38EB" w14:textId="77777777" w:rsidR="00A64127" w:rsidRDefault="00A64127" w:rsidP="00880EC6">
      <w:pPr>
        <w:spacing w:after="0"/>
      </w:pPr>
    </w:p>
    <w:p w14:paraId="3718C892" w14:textId="673E0BEA" w:rsidR="00A64127" w:rsidRDefault="00A64127" w:rsidP="00880EC6">
      <w:pPr>
        <w:spacing w:after="0"/>
      </w:pPr>
      <w:r>
        <w:t xml:space="preserve">Many refer to such conventions as being ‘Westminster’ – based </w:t>
      </w:r>
      <w:r w:rsidR="0085090B">
        <w:t>o</w:t>
      </w:r>
      <w:r>
        <w:t>n practices at Westminster</w:t>
      </w:r>
      <w:r w:rsidR="00366D45">
        <w:t>,</w:t>
      </w:r>
      <w:r>
        <w:t xml:space="preserve"> the home of the United Kingdom Parliament and Government.  Some caution is warranted in simply assuming United Kingdom practices can or should apply in Australia.</w:t>
      </w:r>
      <w:r>
        <w:rPr>
          <w:rStyle w:val="FootnoteReference"/>
        </w:rPr>
        <w:footnoteReference w:id="41"/>
      </w:r>
    </w:p>
    <w:p w14:paraId="2D88AD53" w14:textId="77777777" w:rsidR="00D86854" w:rsidRDefault="00D86854" w:rsidP="00880EC6">
      <w:pPr>
        <w:spacing w:after="0"/>
      </w:pPr>
    </w:p>
    <w:p w14:paraId="0A67F6BD" w14:textId="0E4AB108" w:rsidR="004C0982" w:rsidRDefault="00005807" w:rsidP="00880EC6">
      <w:pPr>
        <w:spacing w:after="0"/>
      </w:pPr>
      <w:r>
        <w:t>The</w:t>
      </w:r>
      <w:r w:rsidR="00BC6E2B">
        <w:t xml:space="preserve"> </w:t>
      </w:r>
      <w:r w:rsidR="00D86854">
        <w:t xml:space="preserve">freedom of political communication </w:t>
      </w:r>
      <w:r w:rsidR="00BC6E2B">
        <w:t xml:space="preserve">cases </w:t>
      </w:r>
      <w:r w:rsidR="00106AA9">
        <w:t>seem</w:t>
      </w:r>
      <w:r w:rsidR="00BC6E2B">
        <w:t xml:space="preserve"> relevant to the controversy over the Morrison appointments</w:t>
      </w:r>
      <w:r>
        <w:t xml:space="preserve"> for two further reasons</w:t>
      </w:r>
      <w:r w:rsidR="00BC6E2B">
        <w:t xml:space="preserve">.  One is the essence of that controversy is an absence of political communication – the appointments were secret.  </w:t>
      </w:r>
    </w:p>
    <w:p w14:paraId="054F4D93" w14:textId="77777777" w:rsidR="004C0982" w:rsidRDefault="004C0982" w:rsidP="00880EC6">
      <w:pPr>
        <w:spacing w:after="0"/>
      </w:pPr>
    </w:p>
    <w:p w14:paraId="3664F80E" w14:textId="77777777" w:rsidR="007B40AE" w:rsidRDefault="00BC6E2B" w:rsidP="00880EC6">
      <w:pPr>
        <w:spacing w:after="0"/>
      </w:pPr>
      <w:r>
        <w:t xml:space="preserve">Another reason is the cases concern the validity of legislation </w:t>
      </w:r>
      <w:r w:rsidR="004C0982">
        <w:t xml:space="preserve">creating a burden on, or barrier to, political communication.  If legislation – Parliament’s will - can be </w:t>
      </w:r>
      <w:r w:rsidR="001632A8">
        <w:t>invalidated</w:t>
      </w:r>
      <w:r w:rsidR="004C0982">
        <w:t xml:space="preserve"> for that reason, actions of the Executive Government </w:t>
      </w:r>
      <w:r w:rsidR="001632A8">
        <w:t>should</w:t>
      </w:r>
      <w:r w:rsidR="004C0982">
        <w:t xml:space="preserve"> also be able to be </w:t>
      </w:r>
      <w:r w:rsidR="00366D45">
        <w:t>overruled</w:t>
      </w:r>
      <w:r w:rsidR="004C0982">
        <w:t xml:space="preserve"> for similar reasons.</w:t>
      </w:r>
      <w:r w:rsidR="001632A8">
        <w:t xml:space="preserve">  Indeed, Executive actions kept secret from Parliament should be particularly susceptible to being declared invalid.</w:t>
      </w:r>
      <w:r w:rsidR="005D253A">
        <w:rPr>
          <w:rStyle w:val="FootnoteReference"/>
        </w:rPr>
        <w:footnoteReference w:id="42"/>
      </w:r>
    </w:p>
    <w:p w14:paraId="64F305AB" w14:textId="1430FCF5" w:rsidR="00D86854" w:rsidRDefault="00A64127" w:rsidP="00880EC6">
      <w:pPr>
        <w:spacing w:after="0"/>
      </w:pPr>
      <w:r>
        <w:t xml:space="preserve"> </w:t>
      </w:r>
    </w:p>
    <w:p w14:paraId="268A168C" w14:textId="5A8CFBA3" w:rsidR="00F72CE6" w:rsidRDefault="00F72CE6" w:rsidP="0014076E">
      <w:pPr>
        <w:pStyle w:val="Heading3"/>
      </w:pPr>
      <w:bookmarkStart w:id="14" w:name="_Toc115358084"/>
      <w:r>
        <w:t>5.</w:t>
      </w:r>
      <w:r w:rsidR="00106AA9">
        <w:t>4</w:t>
      </w:r>
      <w:r>
        <w:tab/>
      </w:r>
      <w:r w:rsidR="001943B2">
        <w:t>Advocatus diaboli</w:t>
      </w:r>
      <w:bookmarkEnd w:id="14"/>
    </w:p>
    <w:p w14:paraId="3B44A7CF" w14:textId="77777777" w:rsidR="00E04643" w:rsidRDefault="001943B2" w:rsidP="00880EC6">
      <w:pPr>
        <w:spacing w:after="0"/>
      </w:pPr>
      <w:r>
        <w:t xml:space="preserve">The Solicitor General’s argument about the breach of responsible government </w:t>
      </w:r>
      <w:r w:rsidR="00366D45">
        <w:t>wa</w:t>
      </w:r>
      <w:r>
        <w:t>s</w:t>
      </w:r>
      <w:r w:rsidR="005C5945">
        <w:t xml:space="preserve">: </w:t>
      </w:r>
      <w:r w:rsidR="00C151E4">
        <w:t>r</w:t>
      </w:r>
      <w:r>
        <w:t>esponsible government entails Ministers being answerable to Parliament</w:t>
      </w:r>
      <w:r w:rsidR="00C151E4">
        <w:t xml:space="preserve"> for administration of Departments</w:t>
      </w:r>
      <w:r>
        <w:t xml:space="preserve">.  </w:t>
      </w:r>
    </w:p>
    <w:p w14:paraId="1BC7AAC4" w14:textId="1002174D" w:rsidR="00C151E4" w:rsidRDefault="001943B2" w:rsidP="00880EC6">
      <w:pPr>
        <w:spacing w:after="0"/>
      </w:pPr>
      <w:r>
        <w:lastRenderedPageBreak/>
        <w:t xml:space="preserve">A Minister </w:t>
      </w:r>
      <w:r w:rsidR="00106AA9">
        <w:t xml:space="preserve">must be </w:t>
      </w:r>
      <w:r>
        <w:t xml:space="preserve">known to Parliament </w:t>
      </w:r>
      <w:r w:rsidR="00106AA9">
        <w:t>to</w:t>
      </w:r>
      <w:r>
        <w:t xml:space="preserve"> answer to it.  Parliament would </w:t>
      </w:r>
      <w:r w:rsidR="00C151E4">
        <w:t xml:space="preserve">not know to pose questions to, or as a last resort pass a motion of no-confidence in, </w:t>
      </w:r>
      <w:r w:rsidR="00366D45">
        <w:t>an unknown</w:t>
      </w:r>
      <w:r w:rsidR="00C151E4">
        <w:t xml:space="preserve"> Minister.</w:t>
      </w:r>
    </w:p>
    <w:p w14:paraId="4AD7158A" w14:textId="77777777" w:rsidR="00C151E4" w:rsidRDefault="00C151E4" w:rsidP="00880EC6">
      <w:pPr>
        <w:spacing w:after="0"/>
      </w:pPr>
    </w:p>
    <w:p w14:paraId="0B4BBC50" w14:textId="2141D46B" w:rsidR="00C151E4" w:rsidRDefault="00C151E4" w:rsidP="00880EC6">
      <w:pPr>
        <w:spacing w:after="0"/>
      </w:pPr>
      <w:r>
        <w:t xml:space="preserve">However, that </w:t>
      </w:r>
      <w:r w:rsidR="00366D45">
        <w:t>argument</w:t>
      </w:r>
      <w:r>
        <w:t xml:space="preserve"> is simplistic when considered in light of conventions and Parliamentary practice.</w:t>
      </w:r>
      <w:r w:rsidR="00D03C4E">
        <w:t xml:space="preserve">  There are at least four problems with </w:t>
      </w:r>
      <w:r w:rsidR="00853B39">
        <w:t xml:space="preserve">its </w:t>
      </w:r>
      <w:r w:rsidR="00D03C4E">
        <w:t>representation of Mr Morrison</w:t>
      </w:r>
      <w:r w:rsidR="0085090B">
        <w:t xml:space="preserve"> as breaching responsible government:</w:t>
      </w:r>
    </w:p>
    <w:p w14:paraId="05BFAAE3" w14:textId="618676F0" w:rsidR="0014076E" w:rsidRDefault="0014076E" w:rsidP="0014076E">
      <w:pPr>
        <w:pStyle w:val="ListParagraph"/>
        <w:numPr>
          <w:ilvl w:val="0"/>
          <w:numId w:val="8"/>
        </w:numPr>
        <w:spacing w:after="0"/>
        <w:ind w:left="360"/>
      </w:pPr>
      <w:r>
        <w:t>the source of Parliament’s power over the Government – ability to legislate – was unaffected;</w:t>
      </w:r>
    </w:p>
    <w:p w14:paraId="2CAAD719" w14:textId="6D9E9226" w:rsidR="00D03C4E" w:rsidRDefault="0014076E" w:rsidP="00880EC6">
      <w:pPr>
        <w:pStyle w:val="ListParagraph"/>
        <w:numPr>
          <w:ilvl w:val="0"/>
          <w:numId w:val="8"/>
        </w:numPr>
        <w:spacing w:after="0"/>
        <w:ind w:left="360"/>
      </w:pPr>
      <w:r>
        <w:t>t</w:t>
      </w:r>
      <w:r w:rsidR="005B014D">
        <w:t xml:space="preserve">here was no </w:t>
      </w:r>
      <w:r>
        <w:t>gap in</w:t>
      </w:r>
      <w:r w:rsidR="00D03C4E">
        <w:t xml:space="preserve"> Parliament</w:t>
      </w:r>
      <w:r w:rsidR="005B014D">
        <w:t xml:space="preserve">’s </w:t>
      </w:r>
      <w:r>
        <w:t xml:space="preserve">ability to </w:t>
      </w:r>
      <w:r w:rsidR="005B014D">
        <w:t>overs</w:t>
      </w:r>
      <w:r>
        <w:t>ee</w:t>
      </w:r>
      <w:r w:rsidR="005B014D">
        <w:t xml:space="preserve"> the </w:t>
      </w:r>
      <w:r w:rsidR="00D03C4E">
        <w:t>Government</w:t>
      </w:r>
      <w:r>
        <w:t>.  At all times, the identity of a Minister administering each Department was known</w:t>
      </w:r>
      <w:r w:rsidR="00366D45">
        <w:t>;</w:t>
      </w:r>
    </w:p>
    <w:p w14:paraId="730D37CC" w14:textId="1892AB89" w:rsidR="00D03C4E" w:rsidRDefault="00173004" w:rsidP="00880EC6">
      <w:pPr>
        <w:pStyle w:val="ListParagraph"/>
        <w:numPr>
          <w:ilvl w:val="0"/>
          <w:numId w:val="8"/>
        </w:numPr>
        <w:spacing w:after="0"/>
        <w:ind w:left="360"/>
      </w:pPr>
      <w:r>
        <w:t>t</w:t>
      </w:r>
      <w:r w:rsidR="00D03C4E">
        <w:t xml:space="preserve">here </w:t>
      </w:r>
      <w:r w:rsidR="003A42AB">
        <w:t>are</w:t>
      </w:r>
      <w:r w:rsidR="00D03C4E">
        <w:t xml:space="preserve"> </w:t>
      </w:r>
      <w:r w:rsidR="003A42AB">
        <w:t>very</w:t>
      </w:r>
      <w:r w:rsidR="00D03C4E">
        <w:t xml:space="preserve"> strong perceptions of Prime Ministerial responsibility for every Ministry</w:t>
      </w:r>
      <w:r w:rsidR="00366D45">
        <w:t>;</w:t>
      </w:r>
    </w:p>
    <w:p w14:paraId="76B95576" w14:textId="77777777" w:rsidR="0014076E" w:rsidRDefault="00173004" w:rsidP="00880EC6">
      <w:pPr>
        <w:pStyle w:val="ListParagraph"/>
        <w:numPr>
          <w:ilvl w:val="0"/>
          <w:numId w:val="8"/>
        </w:numPr>
        <w:spacing w:after="0"/>
        <w:ind w:left="360"/>
      </w:pPr>
      <w:r>
        <w:t>t</w:t>
      </w:r>
      <w:r w:rsidR="003A42AB">
        <w:t>he identity of a person who holds power will become known, at the latest, immediately there is any attempt to exercise that power</w:t>
      </w:r>
      <w:r w:rsidR="0014076E">
        <w:t>.</w:t>
      </w:r>
    </w:p>
    <w:p w14:paraId="5588C5BC" w14:textId="42489CEF" w:rsidR="003A42AB" w:rsidRDefault="003A42AB" w:rsidP="0014076E">
      <w:pPr>
        <w:pStyle w:val="ListParagraph"/>
        <w:spacing w:after="0"/>
        <w:ind w:left="360"/>
      </w:pPr>
      <w:r>
        <w:t xml:space="preserve">   </w:t>
      </w:r>
    </w:p>
    <w:p w14:paraId="06DAE7FC" w14:textId="53E68AF0" w:rsidR="00D03C4E" w:rsidRDefault="005B014D" w:rsidP="00880EC6">
      <w:pPr>
        <w:spacing w:after="0"/>
      </w:pPr>
      <w:r>
        <w:t>Some issues arising from each are outlined in the next sections.</w:t>
      </w:r>
    </w:p>
    <w:p w14:paraId="4E6CF1C1" w14:textId="65898D41" w:rsidR="00E04643" w:rsidRDefault="00E04643" w:rsidP="00880EC6">
      <w:pPr>
        <w:spacing w:after="0"/>
      </w:pPr>
    </w:p>
    <w:p w14:paraId="71E421C5" w14:textId="5576CCB7" w:rsidR="0014076E" w:rsidRDefault="0014076E" w:rsidP="0014076E">
      <w:pPr>
        <w:pStyle w:val="Heading3"/>
        <w:spacing w:before="0"/>
      </w:pPr>
      <w:bookmarkStart w:id="15" w:name="_Toc115358085"/>
      <w:r>
        <w:t>5.5</w:t>
      </w:r>
      <w:r>
        <w:tab/>
        <w:t xml:space="preserve">Parliament’s power over </w:t>
      </w:r>
      <w:r w:rsidR="00B0496A">
        <w:t>Executive</w:t>
      </w:r>
      <w:r>
        <w:t xml:space="preserve"> Government</w:t>
      </w:r>
      <w:bookmarkEnd w:id="15"/>
    </w:p>
    <w:p w14:paraId="57F087DD" w14:textId="3F2432BC" w:rsidR="0014076E" w:rsidRDefault="0014076E" w:rsidP="0014076E">
      <w:pPr>
        <w:spacing w:after="0"/>
      </w:pPr>
      <w:r>
        <w:t xml:space="preserve">Among the reasons for Parliament to be able to control the </w:t>
      </w:r>
      <w:r w:rsidR="00B0496A">
        <w:t xml:space="preserve">Executive </w:t>
      </w:r>
      <w:r>
        <w:t>Government is prevention of centralisation of power.  The issue is not centralisation of power within the Executive Government – how much power a particular Minister, or Prime Minister, might hold – but constraint</w:t>
      </w:r>
      <w:r w:rsidR="00B8171A">
        <w:t>s</w:t>
      </w:r>
      <w:r>
        <w:t xml:space="preserve"> on the Executive as a whole.  </w:t>
      </w:r>
    </w:p>
    <w:p w14:paraId="41990885" w14:textId="77777777" w:rsidR="0014076E" w:rsidRDefault="0014076E" w:rsidP="0014076E">
      <w:pPr>
        <w:spacing w:after="0"/>
      </w:pPr>
    </w:p>
    <w:p w14:paraId="26E8AAFD" w14:textId="25C719B1" w:rsidR="0014076E" w:rsidRDefault="0014076E" w:rsidP="0014076E">
      <w:pPr>
        <w:spacing w:after="0"/>
      </w:pPr>
      <w:r>
        <w:t>Mr Morrison’s argument about concern with the power held by the Health Minister is, at best, a red herring.  Such an argument does not lead to a conclusion that power should be shared among Ministers</w:t>
      </w:r>
      <w:r w:rsidR="00B0496A">
        <w:t xml:space="preserve">.  Rather the argument is for greater </w:t>
      </w:r>
      <w:r>
        <w:t xml:space="preserve"> Parliamentary control of that power – and of Ministers.</w:t>
      </w:r>
    </w:p>
    <w:p w14:paraId="46F46920" w14:textId="77777777" w:rsidR="0014076E" w:rsidRDefault="0014076E" w:rsidP="0014076E">
      <w:pPr>
        <w:spacing w:after="0"/>
      </w:pPr>
    </w:p>
    <w:p w14:paraId="2971D9D3" w14:textId="77E7B4D2" w:rsidR="0014076E" w:rsidRDefault="0014076E" w:rsidP="0014076E">
      <w:pPr>
        <w:spacing w:after="0"/>
      </w:pPr>
      <w:r>
        <w:t xml:space="preserve">While the ability of Parliament to ask questions of a Minister is seen as a control mechanism, the source of that power is not merely convention.  It arises from the ability of Parliament to legislate.  Legislation – supply and Appropriation  - is necessary for the Government to function.  </w:t>
      </w:r>
      <w:r w:rsidR="00B0496A">
        <w:t>O</w:t>
      </w:r>
      <w:r>
        <w:t>ther legislation can constrain Executive activity whether arising from powers granted by Parliament or prerogatives.</w:t>
      </w:r>
      <w:r>
        <w:rPr>
          <w:rStyle w:val="FootnoteReference"/>
        </w:rPr>
        <w:footnoteReference w:id="43"/>
      </w:r>
    </w:p>
    <w:p w14:paraId="0FBE4E65" w14:textId="77777777" w:rsidR="0014076E" w:rsidRDefault="0014076E" w:rsidP="0014076E">
      <w:pPr>
        <w:spacing w:after="0"/>
      </w:pPr>
    </w:p>
    <w:p w14:paraId="12D22AE5" w14:textId="601FC079" w:rsidR="0014076E" w:rsidRDefault="00B0496A" w:rsidP="0014076E">
      <w:pPr>
        <w:spacing w:after="0"/>
      </w:pPr>
      <w:r>
        <w:t>F</w:t>
      </w:r>
      <w:r w:rsidR="0014076E">
        <w:t xml:space="preserve">ailure to advise Parliament of Mr Morrison holding a number of Ministries did not alter the legal </w:t>
      </w:r>
      <w:r w:rsidR="00B8171A">
        <w:t xml:space="preserve">or </w:t>
      </w:r>
      <w:r w:rsidR="0014076E">
        <w:t>practical ability of Parliament to control the Executive, and specifically Mr Morrison.</w:t>
      </w:r>
    </w:p>
    <w:p w14:paraId="23C4617E" w14:textId="77777777" w:rsidR="0014076E" w:rsidRDefault="0014076E" w:rsidP="0014076E">
      <w:pPr>
        <w:spacing w:after="0"/>
      </w:pPr>
    </w:p>
    <w:p w14:paraId="3E46F6D0" w14:textId="311F9F31" w:rsidR="0014076E" w:rsidRDefault="0014076E" w:rsidP="0014076E">
      <w:pPr>
        <w:spacing w:after="0"/>
      </w:pPr>
      <w:r>
        <w:t xml:space="preserve">Indeed, some legislation signalled Parliament’s </w:t>
      </w:r>
      <w:r w:rsidR="0011718F">
        <w:t xml:space="preserve">apathy towards </w:t>
      </w:r>
      <w:r>
        <w:t xml:space="preserve">control over the </w:t>
      </w:r>
      <w:r w:rsidR="00B0496A">
        <w:t>Government</w:t>
      </w:r>
      <w:r>
        <w:t xml:space="preserve"> in relation to the pandemic.  For example, the Health Act noted by Professor Williams in section 4.2.2 (above) shows a lack of interest of Parliament in the exercise of emergency – ‘god-like’ – powers.</w:t>
      </w:r>
    </w:p>
    <w:p w14:paraId="5178E7DB" w14:textId="53ECCB7A" w:rsidR="0014076E" w:rsidRDefault="0014076E" w:rsidP="0014076E">
      <w:pPr>
        <w:spacing w:after="0"/>
      </w:pPr>
      <w:r>
        <w:t xml:space="preserve">  </w:t>
      </w:r>
    </w:p>
    <w:p w14:paraId="3FDCF17F" w14:textId="0B82C7BB" w:rsidR="0014076E" w:rsidRDefault="0014076E" w:rsidP="0014076E">
      <w:pPr>
        <w:spacing w:after="0"/>
      </w:pPr>
      <w:r>
        <w:t xml:space="preserve">That cavalier attitude </w:t>
      </w:r>
      <w:r w:rsidR="00162165">
        <w:t>of</w:t>
      </w:r>
      <w:r w:rsidR="00B8171A">
        <w:t xml:space="preserve"> Parliament abdicating its responsibility to oversee Government use of extraordinary emergency powers </w:t>
      </w:r>
      <w:r>
        <w:t>was reinforced in late 2020 by Parliament allowing Prime Ministers – then Mr Morrison, now Mr Albanese - to effectively declare a national emergency</w:t>
      </w:r>
      <w:r w:rsidR="00B8171A">
        <w:t>.</w:t>
      </w:r>
      <w:r w:rsidR="007B40AE">
        <w:t xml:space="preserve"> </w:t>
      </w:r>
      <w:r w:rsidR="00B8171A">
        <w:t xml:space="preserve">Like the Health Act, that legislation precludes </w:t>
      </w:r>
      <w:r>
        <w:t xml:space="preserve">the Senate </w:t>
      </w:r>
      <w:r w:rsidR="00B8171A">
        <w:t xml:space="preserve">from disallowing </w:t>
      </w:r>
      <w:r>
        <w:t>such a declaration</w:t>
      </w:r>
      <w:r w:rsidR="00B8171A">
        <w:t xml:space="preserve"> – merely allowing a Senate Committee to prepare a report on the emergency within a year of the declaration – with no consequence of such report</w:t>
      </w:r>
      <w:r>
        <w:t>.</w:t>
      </w:r>
      <w:r>
        <w:rPr>
          <w:rStyle w:val="FootnoteReference"/>
        </w:rPr>
        <w:footnoteReference w:id="44"/>
      </w:r>
    </w:p>
    <w:p w14:paraId="4E0CD9A1" w14:textId="38FEB342" w:rsidR="00C151E4" w:rsidRDefault="00D03C4E" w:rsidP="00880EC6">
      <w:pPr>
        <w:pStyle w:val="Heading3"/>
        <w:spacing w:before="0"/>
      </w:pPr>
      <w:bookmarkStart w:id="16" w:name="_Toc115358086"/>
      <w:r>
        <w:lastRenderedPageBreak/>
        <w:t>5.</w:t>
      </w:r>
      <w:r w:rsidR="00B8171A">
        <w:t>6</w:t>
      </w:r>
      <w:r>
        <w:tab/>
      </w:r>
      <w:r w:rsidR="005B014D">
        <w:t xml:space="preserve">Identification of </w:t>
      </w:r>
      <w:r w:rsidR="00A83415">
        <w:t>every</w:t>
      </w:r>
      <w:r w:rsidR="005B014D">
        <w:t xml:space="preserve"> Minister</w:t>
      </w:r>
      <w:r w:rsidR="00A83415">
        <w:t>?</w:t>
      </w:r>
      <w:bookmarkEnd w:id="16"/>
    </w:p>
    <w:p w14:paraId="70916B1D" w14:textId="2BD6F6A7" w:rsidR="00BF0F3D" w:rsidRDefault="00BF0F3D" w:rsidP="00880EC6">
      <w:pPr>
        <w:spacing w:after="0"/>
      </w:pPr>
      <w:r>
        <w:t>Cabinet and other Ministers collectively are referred to as the Government.  There is no</w:t>
      </w:r>
      <w:r w:rsidR="007375B3">
        <w:t xml:space="preserve"> </w:t>
      </w:r>
      <w:r>
        <w:t>convention for a Government to include specific Ministries, except perhaps Treasury and Attorney General.</w:t>
      </w:r>
      <w:r>
        <w:rPr>
          <w:rStyle w:val="FootnoteReference"/>
        </w:rPr>
        <w:footnoteReference w:id="45"/>
      </w:r>
    </w:p>
    <w:p w14:paraId="15C71E44" w14:textId="77777777" w:rsidR="00BF0F3D" w:rsidRDefault="00BF0F3D" w:rsidP="00880EC6">
      <w:pPr>
        <w:spacing w:after="0"/>
      </w:pPr>
    </w:p>
    <w:p w14:paraId="12E0CB61" w14:textId="767EA1CD" w:rsidR="00BF0F3D" w:rsidRDefault="00BF0F3D" w:rsidP="00880EC6">
      <w:pPr>
        <w:spacing w:after="0"/>
      </w:pPr>
      <w:r>
        <w:t xml:space="preserve">Nor is there a convention requiring dispersal of Executive power among a minimum number of different people.  Nor </w:t>
      </w:r>
      <w:r w:rsidR="00F00443">
        <w:t>are</w:t>
      </w:r>
      <w:r>
        <w:t xml:space="preserve"> there convention</w:t>
      </w:r>
      <w:r w:rsidR="00F00443">
        <w:t>s</w:t>
      </w:r>
      <w:r>
        <w:t xml:space="preserve"> of a person being limited to a maximum number of Ministries</w:t>
      </w:r>
      <w:r w:rsidR="00F00443">
        <w:t>, or a Department having only one Minister</w:t>
      </w:r>
      <w:r>
        <w:t>.</w:t>
      </w:r>
      <w:r>
        <w:rPr>
          <w:rStyle w:val="FootnoteReference"/>
        </w:rPr>
        <w:footnoteReference w:id="46"/>
      </w:r>
    </w:p>
    <w:p w14:paraId="5BAC08B3" w14:textId="71D6AE7D" w:rsidR="00B54C25" w:rsidRDefault="00B54C25" w:rsidP="00880EC6">
      <w:pPr>
        <w:spacing w:after="0"/>
      </w:pPr>
    </w:p>
    <w:p w14:paraId="53F0EE17" w14:textId="6C804D13" w:rsidR="00B54C25" w:rsidRDefault="00F00443" w:rsidP="00880EC6">
      <w:pPr>
        <w:spacing w:after="0"/>
      </w:pPr>
      <w:r>
        <w:t>Indeed,</w:t>
      </w:r>
      <w:r w:rsidR="00B54C25">
        <w:t xml:space="preserve"> there is a practice – held to be Constitutionally valid – of more than one Minister being responsible for administering a Department.</w:t>
      </w:r>
      <w:r w:rsidR="005F3F97">
        <w:t xml:space="preserve">  At present there are six Ministers administering the Department of the Prime Minister and Cabinet</w:t>
      </w:r>
      <w:r w:rsidR="001D7642">
        <w:t>.  Two of those Ministers</w:t>
      </w:r>
      <w:r w:rsidR="005F3F97">
        <w:t xml:space="preserve"> also administer other Departments.</w:t>
      </w:r>
      <w:r w:rsidR="00B54C25">
        <w:rPr>
          <w:rStyle w:val="FootnoteReference"/>
        </w:rPr>
        <w:footnoteReference w:id="47"/>
      </w:r>
    </w:p>
    <w:p w14:paraId="6480F8DC" w14:textId="77777777" w:rsidR="00BF0F3D" w:rsidRDefault="00BF0F3D" w:rsidP="00880EC6">
      <w:pPr>
        <w:spacing w:after="0"/>
      </w:pPr>
    </w:p>
    <w:p w14:paraId="7456719C" w14:textId="2DF61769" w:rsidR="00A83415" w:rsidRDefault="0011718F" w:rsidP="00880EC6">
      <w:pPr>
        <w:spacing w:after="0"/>
      </w:pPr>
      <w:r>
        <w:t>A</w:t>
      </w:r>
      <w:r w:rsidR="00A83415">
        <w:t xml:space="preserve"> 1997 article</w:t>
      </w:r>
      <w:r>
        <w:t xml:space="preserve"> by</w:t>
      </w:r>
      <w:r w:rsidR="00A83415">
        <w:t xml:space="preserve"> Lipton referred to two types of Ministerial responsibility: of the Government as a whole</w:t>
      </w:r>
      <w:r w:rsidR="00556872">
        <w:t>;</w:t>
      </w:r>
      <w:r w:rsidR="00A83415">
        <w:t xml:space="preserve"> of Ministers </w:t>
      </w:r>
      <w:r w:rsidR="001F7194">
        <w:t>individually.</w:t>
      </w:r>
      <w:r w:rsidR="001F7194">
        <w:rPr>
          <w:rStyle w:val="FootnoteReference"/>
        </w:rPr>
        <w:footnoteReference w:id="48"/>
      </w:r>
    </w:p>
    <w:p w14:paraId="27197A76" w14:textId="177BCC06" w:rsidR="008D2145" w:rsidRDefault="008D2145" w:rsidP="00880EC6">
      <w:pPr>
        <w:spacing w:after="0"/>
      </w:pPr>
    </w:p>
    <w:p w14:paraId="034EBCC7" w14:textId="21DA610F" w:rsidR="008D2145" w:rsidRDefault="008D2145" w:rsidP="00880EC6">
      <w:pPr>
        <w:spacing w:after="0"/>
      </w:pPr>
      <w:r>
        <w:t xml:space="preserve">The former </w:t>
      </w:r>
      <w:r w:rsidR="003A4472">
        <w:t>relates to Cabinet responsibility.</w:t>
      </w:r>
      <w:r w:rsidR="00A32681">
        <w:t xml:space="preserve">  The logic of Cabinet conventions </w:t>
      </w:r>
      <w:r w:rsidR="000308C4">
        <w:t>e.g.,</w:t>
      </w:r>
      <w:r w:rsidR="00A32681">
        <w:t xml:space="preserve"> solidarity</w:t>
      </w:r>
      <w:r w:rsidR="0011718F">
        <w:t>,</w:t>
      </w:r>
      <w:r w:rsidR="00A32681">
        <w:t xml:space="preserve"> implies the Prime Minister </w:t>
      </w:r>
      <w:r w:rsidR="00AC7274">
        <w:t xml:space="preserve">is answerable to </w:t>
      </w:r>
      <w:r w:rsidR="00E053F4">
        <w:t>Parliament</w:t>
      </w:r>
      <w:r w:rsidR="00A32681">
        <w:t xml:space="preserve"> for decisions</w:t>
      </w:r>
      <w:r w:rsidR="00AC7274">
        <w:t xml:space="preserve"> by Cabinet</w:t>
      </w:r>
      <w:r w:rsidR="00E053F4">
        <w:t xml:space="preserve">, even if formal legal </w:t>
      </w:r>
      <w:r w:rsidR="00853B39">
        <w:t>power lies with</w:t>
      </w:r>
      <w:r w:rsidR="00E053F4">
        <w:t xml:space="preserve"> a particular Minister</w:t>
      </w:r>
      <w:r w:rsidR="00A32681">
        <w:t>.</w:t>
      </w:r>
      <w:r w:rsidR="00E053F4">
        <w:rPr>
          <w:rStyle w:val="FootnoteReference"/>
        </w:rPr>
        <w:footnoteReference w:id="49"/>
      </w:r>
      <w:r w:rsidR="00A32681">
        <w:t xml:space="preserve"> </w:t>
      </w:r>
      <w:r w:rsidR="00E053F4">
        <w:t xml:space="preserve"> </w:t>
      </w:r>
      <w:r w:rsidR="00A32681">
        <w:t xml:space="preserve">  </w:t>
      </w:r>
    </w:p>
    <w:p w14:paraId="6D8570BC" w14:textId="0CA2CEA1" w:rsidR="001F7194" w:rsidRDefault="001F7194" w:rsidP="00880EC6">
      <w:pPr>
        <w:spacing w:after="0"/>
      </w:pPr>
    </w:p>
    <w:p w14:paraId="4ED76CCE" w14:textId="1C0426E3" w:rsidR="00556872" w:rsidRDefault="001F7194" w:rsidP="00880EC6">
      <w:pPr>
        <w:spacing w:after="0"/>
      </w:pPr>
      <w:r w:rsidRPr="00714936">
        <w:t xml:space="preserve">A House of Representatives practice document put </w:t>
      </w:r>
      <w:r w:rsidR="003A4472">
        <w:t xml:space="preserve">the latter - </w:t>
      </w:r>
      <w:r w:rsidRPr="00714936">
        <w:t xml:space="preserve">individual Ministerial responsibility to Parliament </w:t>
      </w:r>
      <w:r w:rsidR="003A4472">
        <w:t xml:space="preserve">- </w:t>
      </w:r>
      <w:r w:rsidRPr="00714936">
        <w:t>as not being merely ‘fictional’.</w:t>
      </w:r>
      <w:r w:rsidR="005F3F97">
        <w:t xml:space="preserve">  </w:t>
      </w:r>
      <w:r w:rsidR="00556872">
        <w:t xml:space="preserve">Examples of responsibilities imposed on Ministers, other than administration of Departments, </w:t>
      </w:r>
      <w:r w:rsidR="00E053F4">
        <w:t>include</w:t>
      </w:r>
      <w:r w:rsidR="00556872">
        <w:t xml:space="preserve"> codes of conduct.</w:t>
      </w:r>
      <w:r w:rsidR="009B3DFA" w:rsidRPr="00714936">
        <w:rPr>
          <w:rStyle w:val="FootnoteReference"/>
        </w:rPr>
        <w:footnoteReference w:id="50"/>
      </w:r>
      <w:r w:rsidR="00556872">
        <w:t xml:space="preserve">  </w:t>
      </w:r>
    </w:p>
    <w:p w14:paraId="174F9B48" w14:textId="77777777" w:rsidR="00162165" w:rsidRDefault="00162165" w:rsidP="00880EC6">
      <w:pPr>
        <w:spacing w:after="0"/>
      </w:pPr>
    </w:p>
    <w:p w14:paraId="41DC0A68" w14:textId="33351ABD" w:rsidR="00853B39" w:rsidRDefault="0020450C" w:rsidP="00880EC6">
      <w:pPr>
        <w:spacing w:after="0"/>
      </w:pPr>
      <w:r>
        <w:t>Th</w:t>
      </w:r>
      <w:r w:rsidR="00556872">
        <w:t xml:space="preserve">e </w:t>
      </w:r>
      <w:r w:rsidR="00A25ACB">
        <w:t xml:space="preserve">practice </w:t>
      </w:r>
      <w:r w:rsidR="00556872">
        <w:t>document</w:t>
      </w:r>
      <w:r w:rsidR="00BF0F3D" w:rsidRPr="00714936">
        <w:t xml:space="preserve"> </w:t>
      </w:r>
      <w:r>
        <w:t>has</w:t>
      </w:r>
      <w:r w:rsidR="00BF0F3D" w:rsidRPr="00714936">
        <w:t xml:space="preserve"> Parliament’s role </w:t>
      </w:r>
      <w:r>
        <w:t>being</w:t>
      </w:r>
      <w:r w:rsidR="00BF0F3D" w:rsidRPr="00714936">
        <w:t xml:space="preserve"> to </w:t>
      </w:r>
      <w:r w:rsidR="00714936">
        <w:t>‘</w:t>
      </w:r>
      <w:r w:rsidR="00BF0F3D" w:rsidRPr="00714936">
        <w:rPr>
          <w:rFonts w:cstheme="minorHAnsi"/>
          <w:i/>
          <w:iCs/>
          <w:shd w:val="clear" w:color="auto" w:fill="FFFFFF"/>
        </w:rPr>
        <w:t>expose and demean</w:t>
      </w:r>
      <w:r w:rsidR="00714936">
        <w:rPr>
          <w:rFonts w:cstheme="minorHAnsi"/>
          <w:i/>
          <w:iCs/>
          <w:shd w:val="clear" w:color="auto" w:fill="FFFFFF"/>
        </w:rPr>
        <w:t>’</w:t>
      </w:r>
      <w:r w:rsidR="00BF0F3D" w:rsidRPr="00714936">
        <w:rPr>
          <w:rStyle w:val="FootnoteReference"/>
        </w:rPr>
        <w:t xml:space="preserve"> </w:t>
      </w:r>
      <w:r>
        <w:t>.  T</w:t>
      </w:r>
      <w:r w:rsidR="00BF0F3D" w:rsidRPr="00714936">
        <w:t>he Prime Minister decid</w:t>
      </w:r>
      <w:r>
        <w:t>es</w:t>
      </w:r>
      <w:r w:rsidR="00BF0F3D" w:rsidRPr="00714936">
        <w:t xml:space="preserve"> </w:t>
      </w:r>
      <w:r w:rsidR="00A25ACB">
        <w:t>on sanctions</w:t>
      </w:r>
      <w:r w:rsidR="00BF0F3D" w:rsidRPr="00714936">
        <w:t>.</w:t>
      </w:r>
      <w:r w:rsidR="00853B39">
        <w:rPr>
          <w:rStyle w:val="FootnoteReference"/>
        </w:rPr>
        <w:footnoteReference w:id="51"/>
      </w:r>
      <w:r w:rsidR="00556872">
        <w:t xml:space="preserve">  </w:t>
      </w:r>
    </w:p>
    <w:p w14:paraId="24CE3384" w14:textId="1846F791" w:rsidR="00714936" w:rsidRDefault="00714936" w:rsidP="00880EC6">
      <w:pPr>
        <w:spacing w:after="0"/>
      </w:pPr>
      <w:r>
        <w:lastRenderedPageBreak/>
        <w:t xml:space="preserve">The </w:t>
      </w:r>
      <w:r w:rsidR="00F82ADF">
        <w:t>basis</w:t>
      </w:r>
      <w:r>
        <w:t xml:space="preserve"> for Prime Minister </w:t>
      </w:r>
      <w:r w:rsidR="00B75750">
        <w:t>enforcement of</w:t>
      </w:r>
      <w:r w:rsidR="00F00443">
        <w:t xml:space="preserve"> Ministerial responsibility </w:t>
      </w:r>
      <w:r w:rsidR="00B75750">
        <w:t>is</w:t>
      </w:r>
      <w:r>
        <w:t xml:space="preserve"> </w:t>
      </w:r>
      <w:r w:rsidR="00A25ACB">
        <w:t>the</w:t>
      </w:r>
      <w:r w:rsidR="00F82ADF">
        <w:t xml:space="preserve"> power to </w:t>
      </w:r>
      <w:r w:rsidR="001D7642">
        <w:t>effectively a</w:t>
      </w:r>
      <w:r w:rsidR="00F82ADF">
        <w:t>ppoint and dismiss</w:t>
      </w:r>
      <w:r>
        <w:t xml:space="preserve"> Ministers.  As the Prime Minister </w:t>
      </w:r>
      <w:r w:rsidR="00F82ADF">
        <w:t>holds that position only on</w:t>
      </w:r>
      <w:r>
        <w:t xml:space="preserve"> support of the House of Representatives, the source of </w:t>
      </w:r>
      <w:r w:rsidR="00E053F4">
        <w:t xml:space="preserve">authority </w:t>
      </w:r>
      <w:r>
        <w:t>is that House rather than Parliament as a whole.</w:t>
      </w:r>
    </w:p>
    <w:p w14:paraId="4748FED6" w14:textId="77777777" w:rsidR="00753BB1" w:rsidRDefault="00753BB1" w:rsidP="00880EC6">
      <w:pPr>
        <w:spacing w:after="0"/>
      </w:pPr>
    </w:p>
    <w:p w14:paraId="651EB576" w14:textId="62C2ED09" w:rsidR="00225B44" w:rsidRDefault="00E053F4" w:rsidP="00880EC6">
      <w:pPr>
        <w:spacing w:after="0"/>
      </w:pPr>
      <w:r>
        <w:t>Cabinet solidarity</w:t>
      </w:r>
      <w:r w:rsidR="00A25ACB">
        <w:t>,</w:t>
      </w:r>
      <w:r>
        <w:t xml:space="preserve"> an</w:t>
      </w:r>
      <w:r w:rsidR="00A25ACB">
        <w:t>d</w:t>
      </w:r>
      <w:r>
        <w:t xml:space="preserve"> p</w:t>
      </w:r>
      <w:r w:rsidR="00225B44">
        <w:t xml:space="preserve">ractices such as a Minister with a seat in one </w:t>
      </w:r>
      <w:r w:rsidR="00A25ACB">
        <w:t>H</w:t>
      </w:r>
      <w:r w:rsidR="007E4C87">
        <w:t>ouse</w:t>
      </w:r>
      <w:r w:rsidR="00225B44">
        <w:t xml:space="preserve"> being represented by another member of the Government in the other </w:t>
      </w:r>
      <w:r w:rsidR="00A25ACB">
        <w:t>H</w:t>
      </w:r>
      <w:r w:rsidR="007E4C87">
        <w:t>ouse</w:t>
      </w:r>
      <w:r w:rsidR="00A25ACB">
        <w:t>,</w:t>
      </w:r>
      <w:r w:rsidR="00225B44">
        <w:t xml:space="preserve"> call into question arguments that every person with administrative powers must </w:t>
      </w:r>
      <w:r w:rsidR="003A66CA">
        <w:t xml:space="preserve">directly </w:t>
      </w:r>
      <w:r w:rsidR="00225B44">
        <w:t xml:space="preserve">answer to </w:t>
      </w:r>
      <w:r w:rsidR="00F00443">
        <w:t xml:space="preserve">the House of Representatives </w:t>
      </w:r>
      <w:r w:rsidR="00225B44">
        <w:t>for all their administrati</w:t>
      </w:r>
      <w:r w:rsidR="00F00443">
        <w:t>on</w:t>
      </w:r>
      <w:r w:rsidR="00225B44">
        <w:t>.</w:t>
      </w:r>
      <w:r w:rsidR="00F82ADF">
        <w:t xml:space="preserve">  As against this, many Ministerial powers arise from legislation </w:t>
      </w:r>
      <w:r w:rsidR="00AC7274">
        <w:t>-</w:t>
      </w:r>
      <w:r w:rsidR="00F82ADF">
        <w:t xml:space="preserve"> in those respects </w:t>
      </w:r>
      <w:r w:rsidR="0020450C">
        <w:t>answering</w:t>
      </w:r>
      <w:r w:rsidR="00F82ADF">
        <w:t xml:space="preserve"> to </w:t>
      </w:r>
      <w:r w:rsidR="007E4C87">
        <w:t xml:space="preserve">both </w:t>
      </w:r>
      <w:r w:rsidR="00A25ACB">
        <w:t>H</w:t>
      </w:r>
      <w:r w:rsidR="007E4C87">
        <w:t>ouses</w:t>
      </w:r>
      <w:r w:rsidR="00F82ADF">
        <w:t xml:space="preserve"> is </w:t>
      </w:r>
      <w:r w:rsidR="007E4C87">
        <w:t>necessary</w:t>
      </w:r>
      <w:r w:rsidR="00F82ADF">
        <w:t>.</w:t>
      </w:r>
      <w:r w:rsidR="00F82ADF">
        <w:rPr>
          <w:rStyle w:val="FootnoteReference"/>
        </w:rPr>
        <w:footnoteReference w:id="52"/>
      </w:r>
    </w:p>
    <w:p w14:paraId="504F15AB" w14:textId="77777777" w:rsidR="00A83415" w:rsidRDefault="00A83415" w:rsidP="00880EC6">
      <w:pPr>
        <w:spacing w:after="0"/>
      </w:pPr>
    </w:p>
    <w:p w14:paraId="78B03A4D" w14:textId="7E7CBCF5" w:rsidR="00225B44" w:rsidRDefault="008D2145" w:rsidP="00880EC6">
      <w:pPr>
        <w:spacing w:after="0"/>
      </w:pPr>
      <w:r>
        <w:t xml:space="preserve">Comments by High Court </w:t>
      </w:r>
      <w:r w:rsidR="00225B44">
        <w:t xml:space="preserve">Chief Justice Gleeson </w:t>
      </w:r>
      <w:r>
        <w:t xml:space="preserve">in 2001 </w:t>
      </w:r>
      <w:r w:rsidR="00225B44">
        <w:t>suggest</w:t>
      </w:r>
      <w:r>
        <w:t>ed</w:t>
      </w:r>
      <w:r w:rsidR="00225B44">
        <w:t xml:space="preserve"> Parliament needs to know all Ministers </w:t>
      </w:r>
      <w:r w:rsidR="001D7642">
        <w:t>and all their</w:t>
      </w:r>
      <w:r w:rsidR="00225B44">
        <w:t xml:space="preserve"> administrative powers.  That is consistent with </w:t>
      </w:r>
      <w:r w:rsidR="007E4C87">
        <w:t xml:space="preserve">the </w:t>
      </w:r>
      <w:r w:rsidR="00225B44">
        <w:t>practice document.</w:t>
      </w:r>
      <w:r w:rsidR="00225B44">
        <w:rPr>
          <w:rStyle w:val="FootnoteReference"/>
        </w:rPr>
        <w:footnoteReference w:id="53"/>
      </w:r>
      <w:r w:rsidR="00225B44">
        <w:t xml:space="preserve">  </w:t>
      </w:r>
    </w:p>
    <w:p w14:paraId="1BB99609" w14:textId="77777777" w:rsidR="00225B44" w:rsidRDefault="00225B44" w:rsidP="00880EC6">
      <w:pPr>
        <w:spacing w:after="0"/>
      </w:pPr>
    </w:p>
    <w:p w14:paraId="39BD86B3" w14:textId="471BFC27" w:rsidR="00225B44" w:rsidRDefault="00225B44" w:rsidP="00880EC6">
      <w:pPr>
        <w:spacing w:after="0"/>
      </w:pPr>
      <w:r>
        <w:t xml:space="preserve">However, </w:t>
      </w:r>
      <w:r w:rsidR="00A25ACB">
        <w:t xml:space="preserve">at that time </w:t>
      </w:r>
      <w:r>
        <w:t>Justices Hayne and Gummow said responsible government is secured by the requirement of Ministers to be members of Parliament.</w:t>
      </w:r>
      <w:r>
        <w:rPr>
          <w:rStyle w:val="FootnoteReference"/>
        </w:rPr>
        <w:footnoteReference w:id="54"/>
      </w:r>
    </w:p>
    <w:p w14:paraId="36394AB4" w14:textId="77777777" w:rsidR="00A83415" w:rsidRDefault="00A83415" w:rsidP="00880EC6">
      <w:pPr>
        <w:spacing w:after="0"/>
      </w:pPr>
    </w:p>
    <w:p w14:paraId="4EF3AEA3" w14:textId="72E34F5D" w:rsidR="00A83415" w:rsidRDefault="00A83415" w:rsidP="00880EC6">
      <w:pPr>
        <w:spacing w:after="0"/>
      </w:pPr>
      <w:r>
        <w:t>Whether there is a convention of formally publishing all details of every appointment and assignation under Constitution sections 62, 64 and 65 is debatable.  There is a practice of the Prime Minister’s Department publishing a list of Ministers and a list of Departments.  There is a practice of the Department publishing a list matching Ministers and offices.  All lists need to be consulted by those seeking to ascertain who is responsible for what – there is no single document for that.</w:t>
      </w:r>
      <w:r>
        <w:rPr>
          <w:rStyle w:val="FootnoteReference"/>
        </w:rPr>
        <w:footnoteReference w:id="55"/>
      </w:r>
    </w:p>
    <w:p w14:paraId="2BBA0078" w14:textId="74232ECA" w:rsidR="00225B44" w:rsidRDefault="00225B44" w:rsidP="00880EC6">
      <w:pPr>
        <w:spacing w:after="0"/>
      </w:pPr>
    </w:p>
    <w:p w14:paraId="5E8C53CF" w14:textId="77777777" w:rsidR="00225B44" w:rsidRDefault="00225B44" w:rsidP="00880EC6">
      <w:pPr>
        <w:spacing w:after="0"/>
      </w:pPr>
      <w:r>
        <w:t>One issue with the Morrison appointments is some of his matches with Departments were not listed.  That is presumed, rather than proven, unique.</w:t>
      </w:r>
    </w:p>
    <w:p w14:paraId="1B13F390" w14:textId="77777777" w:rsidR="00227A39" w:rsidRDefault="00227A39" w:rsidP="00880EC6">
      <w:pPr>
        <w:spacing w:after="0"/>
      </w:pPr>
    </w:p>
    <w:p w14:paraId="22C8FC8B" w14:textId="6E9ED000" w:rsidR="00B6187C" w:rsidRDefault="00B6187C" w:rsidP="00880EC6">
      <w:pPr>
        <w:pStyle w:val="Heading3"/>
        <w:spacing w:before="0"/>
      </w:pPr>
      <w:bookmarkStart w:id="17" w:name="_Toc115358087"/>
      <w:r>
        <w:t>5.</w:t>
      </w:r>
      <w:r w:rsidR="001D7642">
        <w:t>7</w:t>
      </w:r>
      <w:r>
        <w:tab/>
        <w:t>Prime Ministerial responsibility</w:t>
      </w:r>
      <w:bookmarkEnd w:id="17"/>
    </w:p>
    <w:p w14:paraId="66F55141" w14:textId="686CC6B8" w:rsidR="008934A6" w:rsidRDefault="00B54C25" w:rsidP="00880EC6">
      <w:pPr>
        <w:spacing w:after="0"/>
      </w:pPr>
      <w:r>
        <w:t>Among the reasons for the perception of Prime Minister</w:t>
      </w:r>
      <w:r w:rsidR="007E4C87">
        <w:t>ial</w:t>
      </w:r>
      <w:r>
        <w:t xml:space="preserve"> responsib</w:t>
      </w:r>
      <w:r w:rsidR="007E4C87">
        <w:t>ility</w:t>
      </w:r>
      <w:r>
        <w:t xml:space="preserve"> </w:t>
      </w:r>
      <w:r w:rsidR="007E4C87">
        <w:t xml:space="preserve">for Government decisions and behaviour </w:t>
      </w:r>
      <w:r>
        <w:t>is they can effectively remove powers from any Minister</w:t>
      </w:r>
      <w:r w:rsidR="002D3009">
        <w:t>.</w:t>
      </w:r>
      <w:r w:rsidR="007E4C87">
        <w:t xml:space="preserve">  </w:t>
      </w:r>
      <w:r w:rsidR="002D3009">
        <w:t>This can be done</w:t>
      </w:r>
      <w:r>
        <w:t xml:space="preserve"> by recommending</w:t>
      </w:r>
      <w:r w:rsidR="007375B3">
        <w:t xml:space="preserve"> to the Governor General </w:t>
      </w:r>
      <w:r>
        <w:t xml:space="preserve">: dismissal from the Executive Council; reassignment to another Department; reassignment of part of the Minister’s Department to another Department.  </w:t>
      </w:r>
      <w:r w:rsidR="008D7EAB">
        <w:t xml:space="preserve">Such </w:t>
      </w:r>
      <w:r w:rsidR="002D3009">
        <w:t xml:space="preserve">responsibility is </w:t>
      </w:r>
      <w:r w:rsidR="00F25B49">
        <w:t>e</w:t>
      </w:r>
      <w:r w:rsidR="002D3009">
        <w:t>nforced by question</w:t>
      </w:r>
      <w:r w:rsidR="007E4C87">
        <w:t>ing</w:t>
      </w:r>
      <w:r w:rsidR="002D3009">
        <w:t xml:space="preserve"> in Parliament </w:t>
      </w:r>
      <w:r w:rsidR="008934A6">
        <w:t xml:space="preserve">about </w:t>
      </w:r>
      <w:r w:rsidR="00F25B49">
        <w:t>any</w:t>
      </w:r>
      <w:r w:rsidR="008934A6">
        <w:t xml:space="preserve"> portfolio.</w:t>
      </w:r>
      <w:r w:rsidR="008934A6">
        <w:rPr>
          <w:rStyle w:val="FootnoteReference"/>
        </w:rPr>
        <w:footnoteReference w:id="56"/>
      </w:r>
    </w:p>
    <w:p w14:paraId="57A9BAE6" w14:textId="691F662D" w:rsidR="002D166F" w:rsidRDefault="00C151E4" w:rsidP="00880EC6">
      <w:pPr>
        <w:spacing w:after="0"/>
      </w:pPr>
      <w:r>
        <w:lastRenderedPageBreak/>
        <w:t xml:space="preserve">In the case of </w:t>
      </w:r>
      <w:r w:rsidR="000E794A">
        <w:t>Mr</w:t>
      </w:r>
      <w:r>
        <w:t xml:space="preserve"> Morrison, the public perception </w:t>
      </w:r>
      <w:r w:rsidR="00B6187C">
        <w:t xml:space="preserve">of Prime Ministerial responsibility </w:t>
      </w:r>
      <w:r>
        <w:t xml:space="preserve">was particularly strong.  </w:t>
      </w:r>
      <w:r w:rsidR="001D7642">
        <w:t>After</w:t>
      </w:r>
      <w:r w:rsidR="007E4C87">
        <w:t xml:space="preserve"> the 2019 election, t</w:t>
      </w:r>
      <w:r w:rsidR="002D166F">
        <w:t xml:space="preserve">here </w:t>
      </w:r>
      <w:r w:rsidR="001D7642">
        <w:t xml:space="preserve">was a </w:t>
      </w:r>
      <w:r w:rsidR="002D166F">
        <w:t xml:space="preserve">tinpot misrepresentation of </w:t>
      </w:r>
      <w:r w:rsidR="007375B3">
        <w:t>h</w:t>
      </w:r>
      <w:r w:rsidR="002D3009">
        <w:t xml:space="preserve">is responsibilities </w:t>
      </w:r>
      <w:r w:rsidR="002D166F">
        <w:t>by political partisans and parts of the media.</w:t>
      </w:r>
      <w:r w:rsidR="002D166F">
        <w:rPr>
          <w:rStyle w:val="FootnoteReference"/>
        </w:rPr>
        <w:footnoteReference w:id="57"/>
      </w:r>
    </w:p>
    <w:p w14:paraId="427EA8D0" w14:textId="77777777" w:rsidR="00B54C25" w:rsidRDefault="00B54C25" w:rsidP="00880EC6">
      <w:pPr>
        <w:spacing w:after="0"/>
      </w:pPr>
    </w:p>
    <w:p w14:paraId="4EE2AD08" w14:textId="227814FA" w:rsidR="00FD20DB" w:rsidRDefault="00C151E4" w:rsidP="00880EC6">
      <w:pPr>
        <w:spacing w:after="0"/>
      </w:pPr>
      <w:r>
        <w:t xml:space="preserve">Non-Government members of Parliament and parts of the media consistently and loudly portrayed Morrison as being </w:t>
      </w:r>
      <w:r w:rsidR="00021496">
        <w:t>to blame</w:t>
      </w:r>
      <w:r>
        <w:t xml:space="preserve"> for the (in)actions of </w:t>
      </w:r>
      <w:r w:rsidR="002D3009">
        <w:t xml:space="preserve">other </w:t>
      </w:r>
      <w:r>
        <w:t xml:space="preserve">Ministers - and even for State and local governments on matters </w:t>
      </w:r>
      <w:r w:rsidR="002D3009">
        <w:t>for which</w:t>
      </w:r>
      <w:r>
        <w:t xml:space="preserve"> the Commonwealth lacks authority</w:t>
      </w:r>
      <w:r w:rsidR="000E794A">
        <w:t xml:space="preserve">.  </w:t>
      </w:r>
      <w:r>
        <w:t xml:space="preserve">So </w:t>
      </w:r>
      <w:r w:rsidR="00C154CF">
        <w:t>ubiquitous</w:t>
      </w:r>
      <w:r>
        <w:t xml:space="preserve"> was the practice</w:t>
      </w:r>
      <w:r w:rsidR="004C2B35">
        <w:t xml:space="preserve"> of blaming Mr Morrison</w:t>
      </w:r>
      <w:r>
        <w:t xml:space="preserve">, the part of </w:t>
      </w:r>
      <w:r w:rsidR="004C2B35">
        <w:t>his</w:t>
      </w:r>
      <w:r>
        <w:t xml:space="preserve"> explanation for accumulati</w:t>
      </w:r>
      <w:r w:rsidR="00FD20DB">
        <w:t>ng M</w:t>
      </w:r>
      <w:r>
        <w:t xml:space="preserve">inistries – he was being </w:t>
      </w:r>
      <w:r w:rsidR="00615CA4">
        <w:t xml:space="preserve">blamed </w:t>
      </w:r>
      <w:r>
        <w:t>for every</w:t>
      </w:r>
      <w:r w:rsidR="00615CA4">
        <w:t xml:space="preserve"> problem</w:t>
      </w:r>
      <w:r>
        <w:t xml:space="preserve"> – attracted some sympathy and no demur.</w:t>
      </w:r>
      <w:r w:rsidR="000E794A">
        <w:rPr>
          <w:rStyle w:val="FootnoteReference"/>
        </w:rPr>
        <w:footnoteReference w:id="58"/>
      </w:r>
      <w:r w:rsidR="000E794A">
        <w:t xml:space="preserve">  </w:t>
      </w:r>
      <w:r w:rsidR="002D3009">
        <w:t xml:space="preserve"> </w:t>
      </w:r>
    </w:p>
    <w:p w14:paraId="616B45CF" w14:textId="77777777" w:rsidR="00FD20DB" w:rsidRDefault="00FD20DB" w:rsidP="00880EC6">
      <w:pPr>
        <w:spacing w:after="0"/>
      </w:pPr>
    </w:p>
    <w:p w14:paraId="66AB35C8" w14:textId="24131762" w:rsidR="00AC7274" w:rsidRDefault="002D3009" w:rsidP="00880EC6">
      <w:pPr>
        <w:spacing w:after="0"/>
      </w:pPr>
      <w:r>
        <w:t xml:space="preserve">The lack of demur – in fact clamouring for Mr Morrison to </w:t>
      </w:r>
      <w:r w:rsidR="00A31511">
        <w:t xml:space="preserve">have limitless responsibility </w:t>
      </w:r>
      <w:r w:rsidR="00A31511" w:rsidRPr="00A31511">
        <w:rPr>
          <w:i/>
          <w:iCs/>
        </w:rPr>
        <w:t xml:space="preserve">and therefore to </w:t>
      </w:r>
      <w:r w:rsidR="003168DB">
        <w:rPr>
          <w:i/>
          <w:iCs/>
        </w:rPr>
        <w:t xml:space="preserve">exercise </w:t>
      </w:r>
      <w:r w:rsidRPr="00A31511">
        <w:rPr>
          <w:i/>
          <w:iCs/>
        </w:rPr>
        <w:t>more powe</w:t>
      </w:r>
      <w:r w:rsidR="003168DB">
        <w:rPr>
          <w:i/>
          <w:iCs/>
        </w:rPr>
        <w:t xml:space="preserve">r whether </w:t>
      </w:r>
      <w:r w:rsidR="007375B3">
        <w:rPr>
          <w:i/>
          <w:iCs/>
        </w:rPr>
        <w:t xml:space="preserve">or not he was </w:t>
      </w:r>
      <w:r w:rsidR="003168DB">
        <w:rPr>
          <w:i/>
          <w:iCs/>
        </w:rPr>
        <w:t>legal</w:t>
      </w:r>
      <w:r w:rsidR="007375B3">
        <w:rPr>
          <w:i/>
          <w:iCs/>
        </w:rPr>
        <w:t>ly able to</w:t>
      </w:r>
      <w:r w:rsidR="003168DB">
        <w:rPr>
          <w:i/>
          <w:iCs/>
        </w:rPr>
        <w:t xml:space="preserve"> </w:t>
      </w:r>
      <w:r>
        <w:t xml:space="preserve">- was most apparent in commentary and ‘debates’ about national emergency legislation </w:t>
      </w:r>
      <w:r w:rsidR="00FD20DB">
        <w:t xml:space="preserve">that was his response to being blamed for the 2019-20 bushfires.  </w:t>
      </w:r>
    </w:p>
    <w:p w14:paraId="28B8E72C" w14:textId="77777777" w:rsidR="003168DB" w:rsidRDefault="003168DB" w:rsidP="00880EC6">
      <w:pPr>
        <w:spacing w:after="0"/>
      </w:pPr>
    </w:p>
    <w:p w14:paraId="0A1F98DB" w14:textId="49BBAD7C" w:rsidR="00C151E4" w:rsidRDefault="00FD20DB" w:rsidP="00880EC6">
      <w:pPr>
        <w:spacing w:after="0"/>
      </w:pPr>
      <w:r>
        <w:t>The danger of such clamour, and that legislation, is a Prime Minister can effectively arrogate power by bluffing</w:t>
      </w:r>
      <w:r w:rsidR="008D7EAB">
        <w:t xml:space="preserve">.  That </w:t>
      </w:r>
      <w:r>
        <w:t xml:space="preserve">appeared to be the case in </w:t>
      </w:r>
      <w:r w:rsidR="007375B3">
        <w:t xml:space="preserve">military </w:t>
      </w:r>
      <w:r>
        <w:t>deployments</w:t>
      </w:r>
      <w:r w:rsidR="007375B3">
        <w:t xml:space="preserve"> – which many called for </w:t>
      </w:r>
      <w:r w:rsidR="008D7EAB">
        <w:t xml:space="preserve">‘boots on the ground’ </w:t>
      </w:r>
      <w:r w:rsidR="007375B3">
        <w:t xml:space="preserve">to deal with </w:t>
      </w:r>
      <w:r w:rsidR="00701E74">
        <w:t xml:space="preserve">civil </w:t>
      </w:r>
      <w:r w:rsidR="008D7EAB">
        <w:t xml:space="preserve">matters like repairs to infrastructure and moving livestock </w:t>
      </w:r>
      <w:r w:rsidR="007375B3">
        <w:t>although lacking apparent legal basis</w:t>
      </w:r>
      <w:r>
        <w:t>.</w:t>
      </w:r>
      <w:r w:rsidR="00C151E4">
        <w:rPr>
          <w:rStyle w:val="FootnoteReference"/>
        </w:rPr>
        <w:footnoteReference w:id="59"/>
      </w:r>
    </w:p>
    <w:p w14:paraId="15C67B2D" w14:textId="77777777" w:rsidR="00C154CF" w:rsidRDefault="00C154CF" w:rsidP="00880EC6">
      <w:pPr>
        <w:spacing w:after="0"/>
      </w:pPr>
    </w:p>
    <w:p w14:paraId="63D1BA30" w14:textId="77777777" w:rsidR="008D7EAB" w:rsidRDefault="00C151E4" w:rsidP="00880EC6">
      <w:pPr>
        <w:spacing w:after="0"/>
      </w:pPr>
      <w:r>
        <w:t xml:space="preserve">That </w:t>
      </w:r>
      <w:r w:rsidR="00615CA4">
        <w:t xml:space="preserve">incidentally </w:t>
      </w:r>
      <w:r>
        <w:t xml:space="preserve">rebuts the </w:t>
      </w:r>
      <w:r w:rsidR="00A31511">
        <w:t xml:space="preserve">current </w:t>
      </w:r>
      <w:r>
        <w:t xml:space="preserve">claim Mr Morrison’s accumulation of Ministries centralised </w:t>
      </w:r>
      <w:r w:rsidR="00DC0643">
        <w:t xml:space="preserve">legal </w:t>
      </w:r>
      <w:r>
        <w:t xml:space="preserve">power.  </w:t>
      </w:r>
      <w:r w:rsidR="00DC0643">
        <w:t>Such p</w:t>
      </w:r>
      <w:r>
        <w:t xml:space="preserve">ower was already centralised by </w:t>
      </w:r>
      <w:r w:rsidR="009A73A4">
        <w:t>the convention of being able</w:t>
      </w:r>
      <w:r>
        <w:t xml:space="preserve"> to effectively summon and dismiss Ministers.  </w:t>
      </w:r>
    </w:p>
    <w:p w14:paraId="67299C86" w14:textId="77777777" w:rsidR="008D7EAB" w:rsidRDefault="008D7EAB" w:rsidP="00880EC6">
      <w:pPr>
        <w:spacing w:after="0"/>
      </w:pPr>
    </w:p>
    <w:p w14:paraId="0E27D5FF" w14:textId="7FE09E66" w:rsidR="00C151E4" w:rsidRDefault="00C151E4" w:rsidP="00880EC6">
      <w:pPr>
        <w:spacing w:after="0"/>
      </w:pPr>
      <w:r>
        <w:t>A Prime Minister who wants a certain decision does not need to have administrative power over the relevant Department.  Rather, the</w:t>
      </w:r>
      <w:r w:rsidR="00753BB1">
        <w:t>y</w:t>
      </w:r>
      <w:r>
        <w:t xml:space="preserve"> can (threaten to) instal </w:t>
      </w:r>
      <w:r w:rsidR="00753BB1">
        <w:t xml:space="preserve">a </w:t>
      </w:r>
      <w:r>
        <w:t>Parliamentarian who will exercise power in the requisite way.  Such a process</w:t>
      </w:r>
      <w:r w:rsidR="007C4CEB">
        <w:t>, and Prime Ministerial influence,</w:t>
      </w:r>
      <w:r>
        <w:t xml:space="preserve"> will be at least as secret as the </w:t>
      </w:r>
      <w:r w:rsidR="00753BB1">
        <w:t>present controversy</w:t>
      </w:r>
      <w:r>
        <w:t xml:space="preserve">. </w:t>
      </w:r>
    </w:p>
    <w:p w14:paraId="29494E69" w14:textId="77777777" w:rsidR="00C151E4" w:rsidRDefault="00C151E4" w:rsidP="00880EC6">
      <w:pPr>
        <w:spacing w:after="0"/>
      </w:pPr>
    </w:p>
    <w:p w14:paraId="7C51E383" w14:textId="45D927C4" w:rsidR="00C151E4" w:rsidRDefault="00C151E4" w:rsidP="00880EC6">
      <w:pPr>
        <w:spacing w:after="0"/>
      </w:pPr>
      <w:r>
        <w:lastRenderedPageBreak/>
        <w:t>To the extent power ha</w:t>
      </w:r>
      <w:r w:rsidR="00DC0643">
        <w:t>s</w:t>
      </w:r>
      <w:r>
        <w:t xml:space="preserve"> been </w:t>
      </w:r>
      <w:r w:rsidR="00701E74">
        <w:t>unduly</w:t>
      </w:r>
      <w:r>
        <w:t xml:space="preserve"> centralised in practice, </w:t>
      </w:r>
      <w:r w:rsidR="00701E74">
        <w:t xml:space="preserve">significant </w:t>
      </w:r>
      <w:r w:rsidR="00615CA4">
        <w:t>blame</w:t>
      </w:r>
      <w:r>
        <w:t xml:space="preserve"> rests with th</w:t>
      </w:r>
      <w:r w:rsidR="00A31511">
        <w:t>ose</w:t>
      </w:r>
      <w:r>
        <w:t xml:space="preserve"> who continuously </w:t>
      </w:r>
      <w:r w:rsidR="00701E74">
        <w:t xml:space="preserve">castigated </w:t>
      </w:r>
      <w:r w:rsidR="00615CA4">
        <w:t>Mr</w:t>
      </w:r>
      <w:r>
        <w:t xml:space="preserve"> Morrison for matters he was legally unable to influence</w:t>
      </w:r>
      <w:r w:rsidR="00615CA4">
        <w:t>.</w:t>
      </w:r>
      <w:r w:rsidR="00DC0643">
        <w:t xml:space="preserve">  </w:t>
      </w:r>
      <w:r w:rsidR="00701E74">
        <w:t>T</w:t>
      </w:r>
      <w:r w:rsidR="00DC0643">
        <w:t xml:space="preserve">he 2022 election campaign made evident such </w:t>
      </w:r>
      <w:r w:rsidR="00701E74">
        <w:t>calls for Prime Ministers to disregard the law</w:t>
      </w:r>
      <w:r w:rsidR="00AC7274">
        <w:t xml:space="preserve"> </w:t>
      </w:r>
      <w:r w:rsidR="00DC0643">
        <w:t xml:space="preserve">were not limited to Mr Morrison.  The principal criticism of Opposition leader </w:t>
      </w:r>
      <w:r w:rsidR="00A31511">
        <w:t xml:space="preserve">Mr </w:t>
      </w:r>
      <w:r w:rsidR="00DC0643">
        <w:t>Albanese was he did not give sufficient confidence of being able to personally ‘run the country’.</w:t>
      </w:r>
      <w:r w:rsidR="00615CA4">
        <w:rPr>
          <w:rStyle w:val="FootnoteReference"/>
        </w:rPr>
        <w:footnoteReference w:id="60"/>
      </w:r>
    </w:p>
    <w:p w14:paraId="6C9222D5" w14:textId="77777777" w:rsidR="00C151E4" w:rsidRDefault="00C151E4" w:rsidP="00880EC6">
      <w:pPr>
        <w:spacing w:after="0"/>
      </w:pPr>
    </w:p>
    <w:p w14:paraId="6DDB9D7F" w14:textId="2692F528" w:rsidR="000F349C" w:rsidRDefault="000F349C" w:rsidP="00880EC6">
      <w:pPr>
        <w:pStyle w:val="Heading3"/>
        <w:spacing w:before="0"/>
      </w:pPr>
      <w:bookmarkStart w:id="18" w:name="_Toc115358088"/>
      <w:r>
        <w:t>5.</w:t>
      </w:r>
      <w:r w:rsidR="003168DB">
        <w:t>8</w:t>
      </w:r>
      <w:r>
        <w:tab/>
        <w:t>Exercise of power</w:t>
      </w:r>
      <w:bookmarkEnd w:id="18"/>
    </w:p>
    <w:p w14:paraId="6FB7CBFD" w14:textId="0E1BBCED" w:rsidR="00347B2A" w:rsidRDefault="00347B2A" w:rsidP="00880EC6">
      <w:pPr>
        <w:spacing w:after="0"/>
      </w:pPr>
      <w:r>
        <w:t>The identity of a person who holds a power will become known – at the latest - on any attempt to positively exercise that power.   The (supposed) single instance of Mr Morrison exercising authority in the Industry etc. Department led to his hitherto secret power - arising from the position of administering the Department - becoming known.</w:t>
      </w:r>
    </w:p>
    <w:p w14:paraId="76D14987" w14:textId="55FEAFC3" w:rsidR="00B32528" w:rsidRDefault="00B32528" w:rsidP="00880EC6">
      <w:pPr>
        <w:spacing w:after="0"/>
      </w:pPr>
    </w:p>
    <w:p w14:paraId="26A99F16" w14:textId="32C47943" w:rsidR="00B32528" w:rsidRDefault="00B32528" w:rsidP="00880EC6">
      <w:pPr>
        <w:spacing w:after="0"/>
      </w:pPr>
      <w:r>
        <w:t xml:space="preserve">The Solicitor General’s argument of </w:t>
      </w:r>
      <w:r w:rsidR="00701E74">
        <w:t xml:space="preserve">the Prime Minister bearing </w:t>
      </w:r>
      <w:r>
        <w:t xml:space="preserve">responsibility for inaction </w:t>
      </w:r>
      <w:r w:rsidR="00701E74">
        <w:t>as a secret  Minister</w:t>
      </w:r>
      <w:r>
        <w:t xml:space="preserve"> </w:t>
      </w:r>
      <w:r w:rsidR="007C4CEB">
        <w:t>misplaced</w:t>
      </w:r>
      <w:r>
        <w:t xml:space="preserve">.  </w:t>
      </w:r>
      <w:r w:rsidR="00A31511">
        <w:t xml:space="preserve">At all times, </w:t>
      </w:r>
      <w:r w:rsidR="00CD730E">
        <w:t xml:space="preserve">including while appointments remained unknown, </w:t>
      </w:r>
      <w:r w:rsidR="00A31511">
        <w:t>a Minister – and through them Prime Minister Morrison</w:t>
      </w:r>
      <w:r w:rsidR="00CD730E">
        <w:t xml:space="preserve"> – could have been held to political account for failure to perform duties.  There also is the possibility of legal accountability through administrative law.</w:t>
      </w:r>
    </w:p>
    <w:p w14:paraId="1B8ED42E" w14:textId="77777777" w:rsidR="00347B2A" w:rsidRDefault="00347B2A" w:rsidP="00880EC6">
      <w:pPr>
        <w:spacing w:after="0"/>
      </w:pPr>
    </w:p>
    <w:p w14:paraId="39F03ED5" w14:textId="2FC29864" w:rsidR="00C86CA3" w:rsidRDefault="00CD730E" w:rsidP="00880EC6">
      <w:pPr>
        <w:spacing w:after="0"/>
      </w:pPr>
      <w:r>
        <w:t xml:space="preserve">The Solicitor General’s argument </w:t>
      </w:r>
      <w:r w:rsidR="000554DF">
        <w:t>assumes th</w:t>
      </w:r>
      <w:r w:rsidR="003C138C">
        <w:t xml:space="preserve">e appointments were valid from when made.  </w:t>
      </w:r>
      <w:r w:rsidR="000E794A">
        <w:t>Unfortunately</w:t>
      </w:r>
      <w:r w:rsidR="003C138C">
        <w:t>, that is both trivial and circular.  It is trivial because the</w:t>
      </w:r>
      <w:r w:rsidR="00701E74">
        <w:t xml:space="preserve"> appointments</w:t>
      </w:r>
      <w:r w:rsidR="003C138C">
        <w:t xml:space="preserve"> </w:t>
      </w:r>
      <w:r w:rsidR="000554DF">
        <w:t>had</w:t>
      </w:r>
      <w:r w:rsidR="003C138C">
        <w:t xml:space="preserve"> no effect, </w:t>
      </w:r>
      <w:r>
        <w:t>i</w:t>
      </w:r>
      <w:r w:rsidR="003C138C">
        <w:t xml:space="preserve">n the circumstances, unless and until Mr Morrison made a decision as a Minister </w:t>
      </w:r>
      <w:r w:rsidR="000E794A">
        <w:t>(</w:t>
      </w:r>
      <w:r w:rsidR="003C138C">
        <w:t>outside Cabinet</w:t>
      </w:r>
      <w:r w:rsidR="000E794A">
        <w:t>)</w:t>
      </w:r>
      <w:r w:rsidR="003C138C">
        <w:t xml:space="preserve">.  It is circular because it presumes appointments can be made that undermine responsible government – with that undermining ceasing immediately </w:t>
      </w:r>
      <w:r w:rsidR="000554DF">
        <w:t>when</w:t>
      </w:r>
      <w:r w:rsidR="003C138C">
        <w:t xml:space="preserve"> </w:t>
      </w:r>
      <w:r w:rsidR="00701E74">
        <w:t xml:space="preserve">Mr Morrison, as a </w:t>
      </w:r>
      <w:r w:rsidR="003C138C">
        <w:t>Minister</w:t>
      </w:r>
      <w:r w:rsidR="00701E74">
        <w:t>,</w:t>
      </w:r>
      <w:r w:rsidR="000554DF">
        <w:t xml:space="preserve"> </w:t>
      </w:r>
      <w:r w:rsidR="003C138C">
        <w:t>ma</w:t>
      </w:r>
      <w:r w:rsidR="000554DF">
        <w:t>de</w:t>
      </w:r>
      <w:r w:rsidR="003C138C">
        <w:t xml:space="preserve"> a decision.</w:t>
      </w:r>
      <w:r w:rsidR="00917E81">
        <w:t xml:space="preserve">  </w:t>
      </w:r>
    </w:p>
    <w:p w14:paraId="3B4888AC" w14:textId="77777777" w:rsidR="00C86CA3" w:rsidRDefault="00C86CA3" w:rsidP="00880EC6">
      <w:pPr>
        <w:spacing w:after="0"/>
      </w:pPr>
    </w:p>
    <w:p w14:paraId="110F8A51" w14:textId="575CF5F7" w:rsidR="003C138C" w:rsidRDefault="00917E81" w:rsidP="00880EC6">
      <w:pPr>
        <w:spacing w:after="0"/>
      </w:pPr>
      <w:r>
        <w:t xml:space="preserve">The argument appears to be an artefact to preserve the status quo – the validity of the appointments and of any decisions Mr Morrison made consequent to them. </w:t>
      </w:r>
    </w:p>
    <w:p w14:paraId="2454FA12" w14:textId="77777777" w:rsidR="00701E74" w:rsidRDefault="00701E74" w:rsidP="00880EC6">
      <w:pPr>
        <w:spacing w:after="0"/>
      </w:pPr>
    </w:p>
    <w:p w14:paraId="24624940" w14:textId="10ACBDE0" w:rsidR="00701E74" w:rsidRDefault="00701E74" w:rsidP="00701E74">
      <w:pPr>
        <w:pStyle w:val="Heading3"/>
      </w:pPr>
      <w:bookmarkStart w:id="19" w:name="_Toc115358089"/>
      <w:r>
        <w:t>5.9</w:t>
      </w:r>
      <w:r>
        <w:tab/>
        <w:t>Summary of arguments</w:t>
      </w:r>
      <w:bookmarkEnd w:id="19"/>
    </w:p>
    <w:p w14:paraId="154E3FEA" w14:textId="77777777" w:rsidR="00E42BA5" w:rsidRDefault="008D7EAB" w:rsidP="00B8171A">
      <w:pPr>
        <w:spacing w:after="0"/>
      </w:pPr>
      <w:r>
        <w:t>Given the above</w:t>
      </w:r>
      <w:r w:rsidR="00B8171A">
        <w:t xml:space="preserve">, the Solicitor General’s views on the need for Parliament to know the identity of particular Ministers are underdeveloped.  </w:t>
      </w:r>
    </w:p>
    <w:p w14:paraId="150DB47E" w14:textId="77777777" w:rsidR="00E42BA5" w:rsidRDefault="00E42BA5" w:rsidP="00B8171A">
      <w:pPr>
        <w:spacing w:after="0"/>
      </w:pPr>
    </w:p>
    <w:p w14:paraId="1E2FBD1A" w14:textId="75F6B86A" w:rsidR="00B8171A" w:rsidRDefault="00B8171A" w:rsidP="00B8171A">
      <w:pPr>
        <w:spacing w:after="0"/>
      </w:pPr>
      <w:r>
        <w:t xml:space="preserve">Parliament eschewed its responsibility for control over the matters most likely to give rise to threats to democracy – ‘emergencies’.  </w:t>
      </w:r>
    </w:p>
    <w:p w14:paraId="287644EC" w14:textId="77777777" w:rsidR="00B8171A" w:rsidRDefault="00B8171A" w:rsidP="00B8171A">
      <w:pPr>
        <w:spacing w:after="0"/>
      </w:pPr>
    </w:p>
    <w:p w14:paraId="22CBC50C" w14:textId="6671A9CC" w:rsidR="00245F36" w:rsidRDefault="00E42BA5" w:rsidP="00B8171A">
      <w:pPr>
        <w:spacing w:after="0"/>
      </w:pPr>
      <w:r>
        <w:t>T</w:t>
      </w:r>
      <w:r w:rsidR="00B8171A">
        <w:t>o hold the Government and Ministers to account, Parliament has at least an equal need to know of the</w:t>
      </w:r>
      <w:r>
        <w:t xml:space="preserve"> </w:t>
      </w:r>
      <w:r w:rsidR="00B8171A">
        <w:t xml:space="preserve">activities as </w:t>
      </w:r>
      <w:r w:rsidR="00245F36">
        <w:t xml:space="preserve">the </w:t>
      </w:r>
      <w:r w:rsidR="00B8171A">
        <w:t xml:space="preserve">identities of every Minister for every Department and legislative function.  </w:t>
      </w:r>
    </w:p>
    <w:p w14:paraId="53FEB04F" w14:textId="77777777" w:rsidR="00245F36" w:rsidRDefault="00245F36" w:rsidP="00B8171A">
      <w:pPr>
        <w:spacing w:after="0"/>
      </w:pPr>
    </w:p>
    <w:p w14:paraId="5C3EC73B" w14:textId="2F22169D" w:rsidR="00B8171A" w:rsidRDefault="00E42BA5" w:rsidP="00B8171A">
      <w:pPr>
        <w:spacing w:after="0"/>
      </w:pPr>
      <w:r>
        <w:t>Of</w:t>
      </w:r>
      <w:r w:rsidR="00B8171A">
        <w:t xml:space="preserve"> paramount importance is to avoid a practice of Ministers bluffing about their powers – making decisions they are not lawfully allowed to make, particularly in the expectation they will not be challenged.</w:t>
      </w:r>
      <w:r>
        <w:t xml:space="preserve">  This practice – of Ministers pretending to have powers they lack – is the opposite to Mr Morrison’s situation of not disclosing powers he had.</w:t>
      </w:r>
    </w:p>
    <w:p w14:paraId="6F6E16CB" w14:textId="77777777" w:rsidR="00B8171A" w:rsidRDefault="00B8171A" w:rsidP="00B8171A">
      <w:pPr>
        <w:spacing w:after="0"/>
      </w:pPr>
    </w:p>
    <w:p w14:paraId="6D6D6D51" w14:textId="73AB0752" w:rsidR="00B8171A" w:rsidRDefault="00B8171A" w:rsidP="00B8171A">
      <w:pPr>
        <w:spacing w:after="0"/>
      </w:pPr>
      <w:r>
        <w:t>Whether or not Parliament needs to know the identity of every Minister, it has a compelling need to know the legal advice on which those Ministers rely to make/not make decisions.  Yet the commentators do not mention that</w:t>
      </w:r>
      <w:r w:rsidR="00E42BA5">
        <w:t xml:space="preserve"> or </w:t>
      </w:r>
      <w:r>
        <w:t>Governments deny</w:t>
      </w:r>
      <w:r w:rsidR="00E42BA5">
        <w:t>ing</w:t>
      </w:r>
      <w:r>
        <w:t xml:space="preserve"> Parliament that essential information.</w:t>
      </w:r>
    </w:p>
    <w:p w14:paraId="7A1940D7" w14:textId="5710F356" w:rsidR="001110AD" w:rsidRDefault="001110AD" w:rsidP="00880EC6">
      <w:pPr>
        <w:pStyle w:val="Heading3"/>
        <w:spacing w:before="0"/>
      </w:pPr>
      <w:bookmarkStart w:id="20" w:name="_Toc115358090"/>
      <w:r>
        <w:lastRenderedPageBreak/>
        <w:t>5.</w:t>
      </w:r>
      <w:r w:rsidR="00E42BA5">
        <w:t>10</w:t>
      </w:r>
      <w:r>
        <w:tab/>
        <w:t>Split in the High Court – implications</w:t>
      </w:r>
      <w:bookmarkEnd w:id="20"/>
    </w:p>
    <w:p w14:paraId="0BABBB68" w14:textId="29325F99" w:rsidR="00567688" w:rsidRDefault="00331B82" w:rsidP="00880EC6">
      <w:pPr>
        <w:spacing w:after="0"/>
      </w:pPr>
      <w:r>
        <w:t xml:space="preserve">There is a divergence of opinions about the implied freedom of political communication in the High Court.  </w:t>
      </w:r>
      <w:r w:rsidR="00567688">
        <w:t>J</w:t>
      </w:r>
      <w:r>
        <w:t xml:space="preserve">ustices take </w:t>
      </w:r>
      <w:r w:rsidR="00567688">
        <w:t>different</w:t>
      </w:r>
      <w:r>
        <w:t xml:space="preserve"> view</w:t>
      </w:r>
      <w:r w:rsidR="00567688">
        <w:t>s</w:t>
      </w:r>
      <w:r>
        <w:t xml:space="preserve"> of what </w:t>
      </w:r>
      <w:r w:rsidR="00611373">
        <w:t>information can be denied to the electorate by legislation</w:t>
      </w:r>
      <w:r w:rsidR="00567688">
        <w:t xml:space="preserve">.  </w:t>
      </w:r>
      <w:r w:rsidR="0044355D">
        <w:t>The divergence has implications for information that needs to be publicly available – of which the identity of all persons administering Departments is one possibility.</w:t>
      </w:r>
    </w:p>
    <w:p w14:paraId="32C7643A" w14:textId="3D0CC0BF" w:rsidR="00D8303C" w:rsidRDefault="00D8303C" w:rsidP="00880EC6">
      <w:pPr>
        <w:spacing w:after="0"/>
      </w:pPr>
    </w:p>
    <w:p w14:paraId="638D343C" w14:textId="0B6373E8" w:rsidR="0044355D" w:rsidRDefault="00D8303C" w:rsidP="00880EC6">
      <w:pPr>
        <w:spacing w:after="0"/>
      </w:pPr>
      <w:r>
        <w:t xml:space="preserve">The leading case </w:t>
      </w:r>
      <w:r w:rsidR="00E724B1">
        <w:t>i</w:t>
      </w:r>
      <w:r>
        <w:t xml:space="preserve">s </w:t>
      </w:r>
      <w:r w:rsidR="004E374F">
        <w:t>Lange v. ABC (1997) in which a unanimous decision</w:t>
      </w:r>
      <w:r>
        <w:t xml:space="preserve"> posed two tests: does l</w:t>
      </w:r>
      <w:r w:rsidR="004E374F">
        <w:t>egislation</w:t>
      </w:r>
      <w:r>
        <w:t xml:space="preserve"> burden freedo</w:t>
      </w:r>
      <w:r w:rsidR="004E374F">
        <w:t>m</w:t>
      </w:r>
      <w:r>
        <w:t xml:space="preserve"> of political </w:t>
      </w:r>
      <w:r w:rsidR="000308C4">
        <w:t>communication;</w:t>
      </w:r>
      <w:r>
        <w:t xml:space="preserve"> if so</w:t>
      </w:r>
      <w:r w:rsidR="00E724B1">
        <w:t>,</w:t>
      </w:r>
      <w:r>
        <w:t xml:space="preserve"> is </w:t>
      </w:r>
      <w:r w:rsidR="004E374F">
        <w:t>it</w:t>
      </w:r>
      <w:r>
        <w:t xml:space="preserve"> </w:t>
      </w:r>
      <w:r w:rsidR="004E374F">
        <w:t>r</w:t>
      </w:r>
      <w:r>
        <w:t>easonably appropriate to serve a legitimate end in a manner compa</w:t>
      </w:r>
      <w:r w:rsidR="004E374F">
        <w:t>tible</w:t>
      </w:r>
      <w:r>
        <w:t xml:space="preserve"> with representative and responsible government</w:t>
      </w:r>
      <w:r w:rsidR="004E374F">
        <w:t xml:space="preserve">?  </w:t>
      </w:r>
    </w:p>
    <w:p w14:paraId="66C15C8E" w14:textId="77777777" w:rsidR="0044355D" w:rsidRDefault="0044355D" w:rsidP="00880EC6">
      <w:pPr>
        <w:spacing w:after="0"/>
      </w:pPr>
    </w:p>
    <w:p w14:paraId="4F7C0BC7" w14:textId="4B5D5CB4" w:rsidR="004E374F" w:rsidRDefault="00D8303C" w:rsidP="00880EC6">
      <w:pPr>
        <w:spacing w:after="0"/>
        <w:rPr>
          <w:rFonts w:cstheme="minorHAnsi"/>
        </w:rPr>
      </w:pPr>
      <w:r>
        <w:t xml:space="preserve">At present, a majority </w:t>
      </w:r>
      <w:r w:rsidR="00E724B1">
        <w:t xml:space="preserve">of the Court </w:t>
      </w:r>
      <w:r w:rsidR="004E374F">
        <w:t>reformulates the latter test into t</w:t>
      </w:r>
      <w:r w:rsidR="002D7EC2">
        <w:t>wo</w:t>
      </w:r>
      <w:r w:rsidR="004E374F">
        <w:t xml:space="preserve"> parts: </w:t>
      </w:r>
      <w:r w:rsidR="00E724B1">
        <w:t>i</w:t>
      </w:r>
      <w:r w:rsidR="004E374F">
        <w:rPr>
          <w:rFonts w:cstheme="minorHAnsi"/>
        </w:rPr>
        <w:t>s the purpose of the legislation legitimate</w:t>
      </w:r>
      <w:r w:rsidR="005C6FC8">
        <w:rPr>
          <w:rFonts w:cstheme="minorHAnsi"/>
        </w:rPr>
        <w:t>;</w:t>
      </w:r>
      <w:r w:rsidR="004E374F">
        <w:rPr>
          <w:rFonts w:cstheme="minorHAnsi"/>
        </w:rPr>
        <w:t xml:space="preserve"> </w:t>
      </w:r>
      <w:r w:rsidR="005C6FC8">
        <w:rPr>
          <w:rFonts w:cstheme="minorHAnsi"/>
        </w:rPr>
        <w:t>i</w:t>
      </w:r>
      <w:r w:rsidR="004E374F">
        <w:rPr>
          <w:rFonts w:cstheme="minorHAnsi"/>
        </w:rPr>
        <w:t>f so, is the legislation reasonably suitable, necessary and adequate for that purpose?</w:t>
      </w:r>
      <w:r w:rsidR="004E374F">
        <w:rPr>
          <w:rStyle w:val="FootnoteReference"/>
          <w:rFonts w:cstheme="minorHAnsi"/>
        </w:rPr>
        <w:footnoteReference w:id="61"/>
      </w:r>
    </w:p>
    <w:p w14:paraId="255D3FF7" w14:textId="57BA6880" w:rsidR="004E374F" w:rsidRDefault="004E374F" w:rsidP="00880EC6">
      <w:pPr>
        <w:spacing w:after="0"/>
        <w:rPr>
          <w:rFonts w:cstheme="minorHAnsi"/>
        </w:rPr>
      </w:pPr>
    </w:p>
    <w:p w14:paraId="3472EEE2" w14:textId="54ADEDB1" w:rsidR="00D8303C" w:rsidRDefault="004E374F" w:rsidP="00880EC6">
      <w:pPr>
        <w:spacing w:after="0"/>
      </w:pPr>
      <w:r>
        <w:rPr>
          <w:rFonts w:cstheme="minorHAnsi"/>
        </w:rPr>
        <w:t xml:space="preserve">While this </w:t>
      </w:r>
      <w:r w:rsidR="0044355D">
        <w:rPr>
          <w:rFonts w:cstheme="minorHAnsi"/>
        </w:rPr>
        <w:t xml:space="preserve">reformulation </w:t>
      </w:r>
      <w:r>
        <w:rPr>
          <w:rFonts w:cstheme="minorHAnsi"/>
        </w:rPr>
        <w:t>may seem arcane</w:t>
      </w:r>
      <w:r w:rsidR="002D7EC2">
        <w:rPr>
          <w:rFonts w:cstheme="minorHAnsi"/>
        </w:rPr>
        <w:t xml:space="preserve">, it has resulted in different interpretations – ‘minimalist’ and ‘maximalist’ – of </w:t>
      </w:r>
      <w:r w:rsidR="0044355D">
        <w:rPr>
          <w:rFonts w:cstheme="minorHAnsi"/>
        </w:rPr>
        <w:t>what needs to be available to the public to support representative and responsible government</w:t>
      </w:r>
      <w:r w:rsidR="002D7EC2">
        <w:rPr>
          <w:rFonts w:cstheme="minorHAnsi"/>
        </w:rPr>
        <w:t xml:space="preserve">.  </w:t>
      </w:r>
      <w:r w:rsidR="00D8303C">
        <w:t>This is illustrated in t</w:t>
      </w:r>
      <w:r w:rsidR="002D7EC2">
        <w:t>wo</w:t>
      </w:r>
      <w:r w:rsidR="00D8303C">
        <w:t xml:space="preserve"> recent cases.</w:t>
      </w:r>
    </w:p>
    <w:p w14:paraId="1BB0B366" w14:textId="77777777" w:rsidR="00DB0C58" w:rsidRDefault="00DB0C58" w:rsidP="00880EC6">
      <w:pPr>
        <w:spacing w:after="0"/>
      </w:pPr>
    </w:p>
    <w:p w14:paraId="1F4AEAE9" w14:textId="3B9EB109" w:rsidR="000B626E" w:rsidRDefault="00DB0C58" w:rsidP="00880EC6">
      <w:pPr>
        <w:spacing w:after="0"/>
      </w:pPr>
      <w:r>
        <w:t>Libertyworks (2020) concerned Commonwealth legislation supposedly aimed at exposing foreign influence</w:t>
      </w:r>
      <w:r w:rsidR="000B626E">
        <w:t xml:space="preserve"> – Foreign Influence Transparency </w:t>
      </w:r>
      <w:r w:rsidR="002D7EC2">
        <w:t>s</w:t>
      </w:r>
      <w:r w:rsidR="000B626E">
        <w:t>cheme</w:t>
      </w:r>
      <w:r>
        <w:t xml:space="preserve">.  </w:t>
      </w:r>
      <w:r w:rsidR="000B626E" w:rsidRPr="00494F64">
        <w:t>T</w:t>
      </w:r>
      <w:r w:rsidR="000B626E" w:rsidRPr="00494F64">
        <w:rPr>
          <w:rFonts w:cstheme="minorHAnsi"/>
          <w:shd w:val="clear" w:color="auto" w:fill="FFFFFF"/>
        </w:rPr>
        <w:t xml:space="preserve">he stated purpose of the scheme is: </w:t>
      </w:r>
      <w:r w:rsidR="000B626E" w:rsidRPr="00494F64">
        <w:rPr>
          <w:rFonts w:cstheme="minorHAnsi"/>
          <w:i/>
          <w:iCs/>
          <w:shd w:val="clear" w:color="auto" w:fill="FFFFFF"/>
        </w:rPr>
        <w:t>‘to provide the public with visibility of the nature, level and extent of foreign influence on Australia's government and politics’</w:t>
      </w:r>
      <w:r w:rsidR="000B626E" w:rsidRPr="00494F64">
        <w:rPr>
          <w:rFonts w:cstheme="minorHAnsi"/>
          <w:shd w:val="clear" w:color="auto" w:fill="FFFFFF"/>
        </w:rPr>
        <w:t xml:space="preserve">.  </w:t>
      </w:r>
      <w:r w:rsidRPr="00494F64">
        <w:rPr>
          <w:rFonts w:cstheme="minorHAnsi"/>
        </w:rPr>
        <w:t>It require</w:t>
      </w:r>
      <w:r w:rsidR="000B626E" w:rsidRPr="00494F64">
        <w:rPr>
          <w:rFonts w:cstheme="minorHAnsi"/>
        </w:rPr>
        <w:t>s</w:t>
      </w:r>
      <w:r w:rsidRPr="00494F64">
        <w:rPr>
          <w:rFonts w:cstheme="minorHAnsi"/>
        </w:rPr>
        <w:t xml:space="preserve"> registration of</w:t>
      </w:r>
      <w:r>
        <w:t xml:space="preserve"> foreign political organisations</w:t>
      </w:r>
      <w:r w:rsidR="00125796">
        <w:t xml:space="preserve"> conducting communications activities – such as conferences - in Australia.  A publicly available</w:t>
      </w:r>
      <w:r w:rsidR="00B54610">
        <w:t xml:space="preserve"> list is available on a website.  </w:t>
      </w:r>
      <w:r w:rsidR="00C1115A">
        <w:t>Yet t</w:t>
      </w:r>
      <w:r w:rsidR="00611373">
        <w:t>h</w:t>
      </w:r>
      <w:r w:rsidR="00B54610">
        <w:t>e website does not disclose all r</w:t>
      </w:r>
      <w:r w:rsidR="00125796">
        <w:t>egistration information</w:t>
      </w:r>
      <w:r w:rsidR="00C1115A">
        <w:t>.  R</w:t>
      </w:r>
      <w:r w:rsidR="00B54610">
        <w:t xml:space="preserve">ather </w:t>
      </w:r>
      <w:r w:rsidR="00DD4591">
        <w:t xml:space="preserve">the legislation has </w:t>
      </w:r>
      <w:r w:rsidR="00B54610">
        <w:t>some</w:t>
      </w:r>
      <w:r w:rsidR="00C1115A">
        <w:t xml:space="preserve"> information in </w:t>
      </w:r>
      <w:r w:rsidR="00DD4591">
        <w:t>another</w:t>
      </w:r>
      <w:r w:rsidR="00C1115A">
        <w:t>,</w:t>
      </w:r>
      <w:r w:rsidR="00DD4591">
        <w:t xml:space="preserve"> secret</w:t>
      </w:r>
      <w:r w:rsidR="00C1115A">
        <w:t>,</w:t>
      </w:r>
      <w:r w:rsidR="00DD4591">
        <w:t xml:space="preserve"> register</w:t>
      </w:r>
      <w:r w:rsidR="00B54610">
        <w:t xml:space="preserve"> </w:t>
      </w:r>
      <w:r w:rsidR="00125796">
        <w:t xml:space="preserve">held by the Secretary </w:t>
      </w:r>
      <w:r w:rsidR="000B626E">
        <w:t>of the Attorney General’s Department</w:t>
      </w:r>
      <w:r w:rsidR="00125796">
        <w:t>.</w:t>
      </w:r>
      <w:r w:rsidR="000B626E">
        <w:rPr>
          <w:rStyle w:val="FootnoteReference"/>
        </w:rPr>
        <w:footnoteReference w:id="62"/>
      </w:r>
      <w:r w:rsidR="00125796">
        <w:t xml:space="preserve">  </w:t>
      </w:r>
    </w:p>
    <w:p w14:paraId="08DAC9DE" w14:textId="4C7F0DD5" w:rsidR="005C322D" w:rsidRDefault="005C322D" w:rsidP="00880EC6">
      <w:pPr>
        <w:spacing w:after="0"/>
        <w:rPr>
          <w:rFonts w:cstheme="minorHAnsi"/>
        </w:rPr>
      </w:pPr>
    </w:p>
    <w:p w14:paraId="4F6DC218" w14:textId="01A15235" w:rsidR="00B54610" w:rsidRDefault="005C322D" w:rsidP="00880EC6">
      <w:pPr>
        <w:spacing w:after="0"/>
        <w:rPr>
          <w:rFonts w:cstheme="minorHAnsi"/>
        </w:rPr>
      </w:pPr>
      <w:r>
        <w:rPr>
          <w:rFonts w:cstheme="minorHAnsi"/>
        </w:rPr>
        <w:t xml:space="preserve">All members of the </w:t>
      </w:r>
      <w:r w:rsidR="002D7EC2">
        <w:rPr>
          <w:rFonts w:cstheme="minorHAnsi"/>
        </w:rPr>
        <w:t>C</w:t>
      </w:r>
      <w:r>
        <w:rPr>
          <w:rFonts w:cstheme="minorHAnsi"/>
        </w:rPr>
        <w:t xml:space="preserve">ourt </w:t>
      </w:r>
      <w:r w:rsidR="00DD4591">
        <w:rPr>
          <w:rFonts w:cstheme="minorHAnsi"/>
        </w:rPr>
        <w:t>agreed</w:t>
      </w:r>
      <w:r w:rsidR="002D7EC2">
        <w:rPr>
          <w:rFonts w:cstheme="minorHAnsi"/>
        </w:rPr>
        <w:t>:</w:t>
      </w:r>
      <w:r>
        <w:rPr>
          <w:rFonts w:cstheme="minorHAnsi"/>
        </w:rPr>
        <w:t xml:space="preserve"> the </w:t>
      </w:r>
      <w:r w:rsidR="002D7EC2">
        <w:rPr>
          <w:rFonts w:cstheme="minorHAnsi"/>
        </w:rPr>
        <w:t>scheme</w:t>
      </w:r>
      <w:r>
        <w:rPr>
          <w:rFonts w:cstheme="minorHAnsi"/>
        </w:rPr>
        <w:t xml:space="preserve"> burden</w:t>
      </w:r>
      <w:r w:rsidR="002D7EC2">
        <w:rPr>
          <w:rFonts w:cstheme="minorHAnsi"/>
        </w:rPr>
        <w:t>s</w:t>
      </w:r>
      <w:r>
        <w:rPr>
          <w:rFonts w:cstheme="minorHAnsi"/>
        </w:rPr>
        <w:t xml:space="preserve"> freedom</w:t>
      </w:r>
      <w:r w:rsidR="00C214B7">
        <w:rPr>
          <w:rFonts w:cstheme="minorHAnsi"/>
        </w:rPr>
        <w:t xml:space="preserve"> </w:t>
      </w:r>
      <w:r w:rsidR="002D7EC2">
        <w:rPr>
          <w:rFonts w:cstheme="minorHAnsi"/>
        </w:rPr>
        <w:t xml:space="preserve">of communication; </w:t>
      </w:r>
      <w:r w:rsidR="00C214B7">
        <w:rPr>
          <w:rFonts w:cstheme="minorHAnsi"/>
        </w:rPr>
        <w:t xml:space="preserve">the </w:t>
      </w:r>
      <w:r w:rsidR="002D7EC2">
        <w:rPr>
          <w:rFonts w:cstheme="minorHAnsi"/>
        </w:rPr>
        <w:t>claimed</w:t>
      </w:r>
      <w:r w:rsidR="00C214B7">
        <w:rPr>
          <w:rFonts w:cstheme="minorHAnsi"/>
        </w:rPr>
        <w:t xml:space="preserve"> purpose</w:t>
      </w:r>
      <w:r>
        <w:rPr>
          <w:rFonts w:cstheme="minorHAnsi"/>
        </w:rPr>
        <w:t xml:space="preserve"> – to allow the public to recognise foreign influence</w:t>
      </w:r>
      <w:r w:rsidR="00B54610">
        <w:rPr>
          <w:rFonts w:cstheme="minorHAnsi"/>
        </w:rPr>
        <w:t>rs</w:t>
      </w:r>
      <w:r w:rsidR="00C214B7">
        <w:rPr>
          <w:rFonts w:cstheme="minorHAnsi"/>
        </w:rPr>
        <w:t xml:space="preserve"> – is legitimate</w:t>
      </w:r>
      <w:r>
        <w:rPr>
          <w:rFonts w:cstheme="minorHAnsi"/>
        </w:rPr>
        <w:t xml:space="preserve">.  </w:t>
      </w:r>
      <w:r w:rsidR="00C1115A">
        <w:rPr>
          <w:rFonts w:cstheme="minorHAnsi"/>
        </w:rPr>
        <w:t>A</w:t>
      </w:r>
      <w:r>
        <w:rPr>
          <w:rFonts w:cstheme="minorHAnsi"/>
        </w:rPr>
        <w:t xml:space="preserve"> majority </w:t>
      </w:r>
      <w:r w:rsidR="00D400A4">
        <w:rPr>
          <w:rFonts w:cstheme="minorHAnsi"/>
        </w:rPr>
        <w:t xml:space="preserve">– five </w:t>
      </w:r>
      <w:r w:rsidR="00C1115A">
        <w:rPr>
          <w:rFonts w:cstheme="minorHAnsi"/>
        </w:rPr>
        <w:t xml:space="preserve">of seven justices </w:t>
      </w:r>
      <w:r w:rsidR="00D400A4">
        <w:rPr>
          <w:rFonts w:cstheme="minorHAnsi"/>
        </w:rPr>
        <w:t xml:space="preserve">- </w:t>
      </w:r>
      <w:r w:rsidR="00B54610">
        <w:rPr>
          <w:rFonts w:cstheme="minorHAnsi"/>
        </w:rPr>
        <w:t xml:space="preserve">found </w:t>
      </w:r>
      <w:r w:rsidR="002D7EC2">
        <w:rPr>
          <w:rFonts w:cstheme="minorHAnsi"/>
        </w:rPr>
        <w:t>the registers</w:t>
      </w:r>
      <w:r w:rsidR="00B54610">
        <w:rPr>
          <w:rFonts w:cstheme="minorHAnsi"/>
        </w:rPr>
        <w:t xml:space="preserve"> to be suitable, necessary and adequate.</w:t>
      </w:r>
    </w:p>
    <w:p w14:paraId="0737DB8D" w14:textId="77777777" w:rsidR="00B54610" w:rsidRDefault="00B54610" w:rsidP="00880EC6">
      <w:pPr>
        <w:spacing w:after="0"/>
        <w:rPr>
          <w:rFonts w:cstheme="minorHAnsi"/>
        </w:rPr>
      </w:pPr>
    </w:p>
    <w:p w14:paraId="7ABBE8F0" w14:textId="486245F9" w:rsidR="001110AD" w:rsidRDefault="00B54610" w:rsidP="00880EC6">
      <w:pPr>
        <w:spacing w:after="0"/>
      </w:pPr>
      <w:r>
        <w:rPr>
          <w:rFonts w:cstheme="minorHAnsi"/>
        </w:rPr>
        <w:t>However, justices G</w:t>
      </w:r>
      <w:r w:rsidR="00D400A4">
        <w:rPr>
          <w:rFonts w:cstheme="minorHAnsi"/>
        </w:rPr>
        <w:t>ordon and G</w:t>
      </w:r>
      <w:r>
        <w:rPr>
          <w:rFonts w:cstheme="minorHAnsi"/>
        </w:rPr>
        <w:t>agelar dis</w:t>
      </w:r>
      <w:r w:rsidR="00C1115A">
        <w:rPr>
          <w:rFonts w:cstheme="minorHAnsi"/>
        </w:rPr>
        <w:t>sented</w:t>
      </w:r>
      <w:r w:rsidR="00A17AC0">
        <w:rPr>
          <w:rFonts w:cstheme="minorHAnsi"/>
        </w:rPr>
        <w:t>, taking issue with the</w:t>
      </w:r>
      <w:r w:rsidR="00DD4591">
        <w:rPr>
          <w:rFonts w:cstheme="minorHAnsi"/>
        </w:rPr>
        <w:t xml:space="preserve"> secret register</w:t>
      </w:r>
      <w:r>
        <w:rPr>
          <w:rFonts w:cstheme="minorHAnsi"/>
        </w:rPr>
        <w:t xml:space="preserve">.  </w:t>
      </w:r>
      <w:r w:rsidR="00873BC2">
        <w:rPr>
          <w:rFonts w:cstheme="minorHAnsi"/>
        </w:rPr>
        <w:t>L</w:t>
      </w:r>
      <w:r w:rsidR="00C214B7">
        <w:rPr>
          <w:rFonts w:cstheme="minorHAnsi"/>
        </w:rPr>
        <w:t xml:space="preserve">egislation allowing </w:t>
      </w:r>
      <w:r>
        <w:rPr>
          <w:rFonts w:cstheme="minorHAnsi"/>
        </w:rPr>
        <w:t xml:space="preserve">information </w:t>
      </w:r>
      <w:r w:rsidR="00C214B7">
        <w:rPr>
          <w:rFonts w:cstheme="minorHAnsi"/>
        </w:rPr>
        <w:t xml:space="preserve">to be </w:t>
      </w:r>
      <w:r>
        <w:rPr>
          <w:rFonts w:cstheme="minorHAnsi"/>
        </w:rPr>
        <w:t>held only by the Secretary</w:t>
      </w:r>
      <w:r w:rsidR="00873BC2">
        <w:rPr>
          <w:rFonts w:cstheme="minorHAnsi"/>
        </w:rPr>
        <w:t xml:space="preserve"> </w:t>
      </w:r>
      <w:r w:rsidR="0042239B">
        <w:rPr>
          <w:rFonts w:cstheme="minorHAnsi"/>
        </w:rPr>
        <w:t>pointed to an illegitimate purpose</w:t>
      </w:r>
      <w:r>
        <w:rPr>
          <w:rFonts w:cstheme="minorHAnsi"/>
        </w:rPr>
        <w:t>.   The secret</w:t>
      </w:r>
      <w:r w:rsidR="00C214B7">
        <w:rPr>
          <w:rFonts w:cstheme="minorHAnsi"/>
        </w:rPr>
        <w:t xml:space="preserve"> information/register </w:t>
      </w:r>
      <w:r w:rsidR="00C214B7" w:rsidRPr="0042239B">
        <w:rPr>
          <w:rFonts w:cstheme="minorHAnsi"/>
          <w:i/>
          <w:iCs/>
        </w:rPr>
        <w:t>‘does nothing to reduce the risk of undisclosed influence, in fact it can only do the opposite.</w:t>
      </w:r>
      <w:r w:rsidR="00B56929">
        <w:rPr>
          <w:rFonts w:cstheme="minorHAnsi"/>
          <w:i/>
          <w:iCs/>
        </w:rPr>
        <w:t>’</w:t>
      </w:r>
      <w:r w:rsidR="000868EA">
        <w:rPr>
          <w:rStyle w:val="FootnoteReference"/>
          <w:rFonts w:cstheme="minorHAnsi"/>
        </w:rPr>
        <w:footnoteReference w:id="63"/>
      </w:r>
    </w:p>
    <w:p w14:paraId="667CAB10" w14:textId="77777777" w:rsidR="00163B65" w:rsidRDefault="00163B65" w:rsidP="00880EC6">
      <w:pPr>
        <w:spacing w:after="0"/>
      </w:pPr>
    </w:p>
    <w:p w14:paraId="597CB761" w14:textId="77777777" w:rsidR="00B56929" w:rsidRDefault="00391140" w:rsidP="00880EC6">
      <w:pPr>
        <w:spacing w:after="0"/>
      </w:pPr>
      <w:r>
        <w:t xml:space="preserve">FarmTransparency (2022) concerned NSW legislation </w:t>
      </w:r>
      <w:r w:rsidR="00656F97">
        <w:t xml:space="preserve">making it a criminal offence to </w:t>
      </w:r>
      <w:r>
        <w:t>possess or publi</w:t>
      </w:r>
      <w:r w:rsidR="00656F97">
        <w:t>sh</w:t>
      </w:r>
      <w:r>
        <w:t xml:space="preserve"> a record o</w:t>
      </w:r>
      <w:r w:rsidR="00873BC2">
        <w:t>f</w:t>
      </w:r>
      <w:r>
        <w:t xml:space="preserve"> </w:t>
      </w:r>
      <w:r w:rsidR="00873BC2">
        <w:t xml:space="preserve">an </w:t>
      </w:r>
      <w:r>
        <w:t xml:space="preserve">activity </w:t>
      </w:r>
      <w:r w:rsidR="00873BC2">
        <w:t xml:space="preserve">acquired </w:t>
      </w:r>
      <w:r>
        <w:t>from a device</w:t>
      </w:r>
      <w:r w:rsidR="00656F97">
        <w:t xml:space="preserve"> knowingly</w:t>
      </w:r>
      <w:r>
        <w:t xml:space="preserve"> installed in premises </w:t>
      </w:r>
      <w:r w:rsidR="00146347">
        <w:t>without permission of the premises’ owner</w:t>
      </w:r>
      <w:r w:rsidR="00A17AC0">
        <w:t xml:space="preserve"> – like a secret surveillance camera</w:t>
      </w:r>
      <w:r w:rsidR="00B56929">
        <w:t xml:space="preserve"> from which footage led to this case</w:t>
      </w:r>
      <w:r w:rsidR="00146347">
        <w:t>.</w:t>
      </w:r>
    </w:p>
    <w:p w14:paraId="4B337271" w14:textId="5E03F938" w:rsidR="00163B65" w:rsidRDefault="00146347" w:rsidP="00880EC6">
      <w:pPr>
        <w:spacing w:after="0"/>
      </w:pPr>
      <w:r>
        <w:t xml:space="preserve">  </w:t>
      </w:r>
    </w:p>
    <w:p w14:paraId="22267C02" w14:textId="7F01DE74" w:rsidR="009E18E7" w:rsidRDefault="00D400A4" w:rsidP="00880EC6">
      <w:pPr>
        <w:spacing w:after="0"/>
      </w:pPr>
      <w:r>
        <w:lastRenderedPageBreak/>
        <w:t>Unlike similar legislation, a public interest exemption</w:t>
      </w:r>
      <w:r w:rsidR="00656F97">
        <w:t xml:space="preserve"> is not available.  </w:t>
      </w:r>
      <w:r w:rsidR="009E18E7">
        <w:t>All members of the court agreed the legislation burden</w:t>
      </w:r>
      <w:r w:rsidR="00873BC2">
        <w:t>s</w:t>
      </w:r>
      <w:r w:rsidR="009E18E7">
        <w:t xml:space="preserve"> freedom of political communication – animal cruelty being a matter of political interest.  </w:t>
      </w:r>
      <w:r w:rsidR="00873BC2">
        <w:t>The majority</w:t>
      </w:r>
      <w:r w:rsidR="003D034C">
        <w:t>,</w:t>
      </w:r>
      <w:r>
        <w:t xml:space="preserve"> four </w:t>
      </w:r>
      <w:r w:rsidR="003D034C">
        <w:t xml:space="preserve">of seven justices, </w:t>
      </w:r>
      <w:r w:rsidR="009E18E7">
        <w:t xml:space="preserve">held the </w:t>
      </w:r>
      <w:r w:rsidR="0042239B">
        <w:t>purpose of the legislation</w:t>
      </w:r>
      <w:r w:rsidR="00873BC2">
        <w:t xml:space="preserve"> - </w:t>
      </w:r>
      <w:r w:rsidR="00D8303C">
        <w:t>protection of certain private property from unlawful interference</w:t>
      </w:r>
      <w:r>
        <w:t xml:space="preserve">, </w:t>
      </w:r>
      <w:r w:rsidR="000308C4">
        <w:t>e.g.,</w:t>
      </w:r>
      <w:r>
        <w:t xml:space="preserve"> trespass</w:t>
      </w:r>
      <w:r w:rsidR="0042239B">
        <w:t xml:space="preserve"> – was legitimate and the way in which this was sought was suitable, necessary and adequate.</w:t>
      </w:r>
    </w:p>
    <w:p w14:paraId="0F5D8F26" w14:textId="134969BE" w:rsidR="0042239B" w:rsidRDefault="0042239B" w:rsidP="00880EC6">
      <w:pPr>
        <w:spacing w:after="0"/>
      </w:pPr>
    </w:p>
    <w:p w14:paraId="2031046C" w14:textId="53D4387F" w:rsidR="00444F33" w:rsidRDefault="0042239B" w:rsidP="00880EC6">
      <w:pPr>
        <w:spacing w:after="0"/>
      </w:pPr>
      <w:r>
        <w:t>Again</w:t>
      </w:r>
      <w:r w:rsidR="00656F97">
        <w:t>,</w:t>
      </w:r>
      <w:r>
        <w:t xml:space="preserve"> justices G</w:t>
      </w:r>
      <w:r w:rsidR="00D400A4">
        <w:t>ordon and G</w:t>
      </w:r>
      <w:r>
        <w:t>agelar disagreed</w:t>
      </w:r>
      <w:r w:rsidR="00D400A4">
        <w:t>.  They</w:t>
      </w:r>
      <w:r>
        <w:t xml:space="preserve"> were joined by new justice Gleeson.</w:t>
      </w:r>
      <w:r w:rsidR="00D400A4">
        <w:t xml:space="preserve">  Justice Gordon ‘read down’ the legislation to </w:t>
      </w:r>
      <w:r w:rsidR="004002D8">
        <w:t xml:space="preserve">be inapplicable </w:t>
      </w:r>
      <w:r w:rsidR="00D400A4">
        <w:t xml:space="preserve">to </w:t>
      </w:r>
      <w:r w:rsidR="00D400A4" w:rsidRPr="004058EC">
        <w:rPr>
          <w:i/>
          <w:iCs/>
        </w:rPr>
        <w:t>‘innocent third parties’</w:t>
      </w:r>
      <w:r w:rsidR="00D400A4">
        <w:t xml:space="preserve"> not involved in trespass.  Justice</w:t>
      </w:r>
      <w:r w:rsidR="004058EC">
        <w:t>s</w:t>
      </w:r>
      <w:r w:rsidR="00D400A4">
        <w:t xml:space="preserve"> Gagelar </w:t>
      </w:r>
      <w:r w:rsidR="004058EC">
        <w:t xml:space="preserve">(and Gleeson) </w:t>
      </w:r>
      <w:r w:rsidR="00D400A4">
        <w:t>took a more expansive view</w:t>
      </w:r>
      <w:r w:rsidR="00656F97">
        <w:t xml:space="preserve"> rejecting the provisions entirely.  He noted the absence of a public interest exemption</w:t>
      </w:r>
      <w:r w:rsidR="00DD4591">
        <w:t>.  In his view</w:t>
      </w:r>
      <w:r w:rsidR="00656F97">
        <w:t xml:space="preserve"> Constitutional freedom of political communication curtail</w:t>
      </w:r>
      <w:r w:rsidR="004058EC">
        <w:t>s</w:t>
      </w:r>
      <w:r w:rsidR="00656F97">
        <w:t xml:space="preserve"> </w:t>
      </w:r>
      <w:r w:rsidR="00444F33">
        <w:t>legislative objectives and the common law.  The information in question was ‘true’ – a video record of events:</w:t>
      </w:r>
    </w:p>
    <w:p w14:paraId="23F12930" w14:textId="522ED5B8" w:rsidR="00444F33" w:rsidRPr="00444F33" w:rsidRDefault="00444F33" w:rsidP="00444F33">
      <w:pPr>
        <w:spacing w:after="0"/>
        <w:ind w:left="720"/>
        <w:rPr>
          <w:i/>
          <w:iCs/>
        </w:rPr>
      </w:pPr>
      <w:r w:rsidRPr="00444F33">
        <w:rPr>
          <w:i/>
          <w:iCs/>
        </w:rPr>
        <w:t xml:space="preserve">‘ the cost </w:t>
      </w:r>
      <w:r w:rsidR="00DD4591">
        <w:rPr>
          <w:i/>
          <w:iCs/>
        </w:rPr>
        <w:t>…</w:t>
      </w:r>
      <w:r w:rsidRPr="00444F33">
        <w:rPr>
          <w:i/>
          <w:iCs/>
        </w:rPr>
        <w:t xml:space="preserve"> on the communication and receipt of information about political and governmental concern is more than can be warranted for every activity which might be shown by  visual record to have occurred on private property’</w:t>
      </w:r>
      <w:r>
        <w:rPr>
          <w:i/>
          <w:iCs/>
        </w:rPr>
        <w:t>.</w:t>
      </w:r>
    </w:p>
    <w:p w14:paraId="04BFDBE7" w14:textId="77777777" w:rsidR="00633D4F" w:rsidRDefault="00633D4F" w:rsidP="00880EC6">
      <w:pPr>
        <w:spacing w:after="0"/>
      </w:pPr>
    </w:p>
    <w:p w14:paraId="4FE56E84" w14:textId="5D2F904E" w:rsidR="00E354F6" w:rsidRDefault="00444F33" w:rsidP="00880EC6">
      <w:pPr>
        <w:spacing w:after="0"/>
      </w:pPr>
      <w:r>
        <w:t xml:space="preserve">To summarise, at least in relation to the implied Constitutional freedom of political communication to support representative and responsible government, there is a divergence of opinion on the present High Court about </w:t>
      </w:r>
      <w:r w:rsidR="00E354F6">
        <w:t xml:space="preserve">the extent to which the public’s right to information can be reduced by Parliament.  </w:t>
      </w:r>
      <w:r w:rsidR="001D0D25">
        <w:t xml:space="preserve">The minority view is </w:t>
      </w:r>
      <w:r w:rsidR="00337669">
        <w:t>compelling</w:t>
      </w:r>
      <w:r w:rsidR="001D0D25">
        <w:t xml:space="preserve"> – </w:t>
      </w:r>
      <w:r w:rsidR="000308C4">
        <w:t>e.g.,</w:t>
      </w:r>
      <w:r w:rsidR="001D0D25">
        <w:t xml:space="preserve"> secrecy is inconsistent with making information available to the public</w:t>
      </w:r>
      <w:r w:rsidR="004058EC">
        <w:t>, it can impede freedom of political communication and representative and responsible government</w:t>
      </w:r>
      <w:r w:rsidR="00E354F6">
        <w:t>.</w:t>
      </w:r>
      <w:r w:rsidR="00E354F6">
        <w:rPr>
          <w:rStyle w:val="FootnoteReference"/>
        </w:rPr>
        <w:footnoteReference w:id="64"/>
      </w:r>
    </w:p>
    <w:p w14:paraId="7EFA04C2" w14:textId="77777777" w:rsidR="00E354F6" w:rsidRDefault="00E354F6" w:rsidP="00880EC6">
      <w:pPr>
        <w:spacing w:after="0"/>
      </w:pPr>
    </w:p>
    <w:p w14:paraId="04BFF399" w14:textId="129B7CE8" w:rsidR="00391140" w:rsidRDefault="00E354F6" w:rsidP="00880EC6">
      <w:pPr>
        <w:spacing w:after="0"/>
      </w:pPr>
      <w:r>
        <w:t>An implication is a</w:t>
      </w:r>
      <w:r w:rsidR="00444F33">
        <w:t xml:space="preserve"> minority </w:t>
      </w:r>
      <w:r w:rsidR="00DF700E">
        <w:t xml:space="preserve">on the Court </w:t>
      </w:r>
      <w:r w:rsidR="00337669">
        <w:t xml:space="preserve">- correctly - </w:t>
      </w:r>
      <w:r>
        <w:t xml:space="preserve">values the public’s right to information significantly more highly than the majority.  That suggests at least the minority would take a substantially sterner view </w:t>
      </w:r>
      <w:r w:rsidR="00337669">
        <w:t xml:space="preserve">than the Solicitor General </w:t>
      </w:r>
      <w:r>
        <w:t xml:space="preserve">of Mr Morrison’s </w:t>
      </w:r>
      <w:r w:rsidR="004058EC">
        <w:t>secret Ministries</w:t>
      </w:r>
      <w:r>
        <w:t>.</w:t>
      </w:r>
      <w:r w:rsidR="00633D4F">
        <w:t xml:space="preserve"> </w:t>
      </w:r>
      <w:r w:rsidR="00D8310E">
        <w:t xml:space="preserve"> </w:t>
      </w:r>
      <w:r w:rsidR="00391140">
        <w:t xml:space="preserve"> </w:t>
      </w:r>
      <w:r w:rsidR="00337669">
        <w:t>It is possible, maybe probable, they would find any practice that diminished responsible government by restricting the flow of information about Ministerial responsibilities illegal.</w:t>
      </w:r>
    </w:p>
    <w:p w14:paraId="2A6FA6F1" w14:textId="77777777" w:rsidR="00337669" w:rsidRDefault="00337669" w:rsidP="00880EC6">
      <w:pPr>
        <w:spacing w:after="0"/>
      </w:pPr>
    </w:p>
    <w:p w14:paraId="4AD11DC0" w14:textId="2FC55136" w:rsidR="001110AD" w:rsidRDefault="001110AD" w:rsidP="00880EC6">
      <w:pPr>
        <w:pStyle w:val="Heading2"/>
        <w:spacing w:before="0"/>
      </w:pPr>
      <w:bookmarkStart w:id="21" w:name="_Toc115358091"/>
      <w:r>
        <w:t>6</w:t>
      </w:r>
      <w:r w:rsidR="009467E3">
        <w:t>.</w:t>
      </w:r>
      <w:r>
        <w:tab/>
        <w:t>Conclusions</w:t>
      </w:r>
      <w:bookmarkEnd w:id="21"/>
    </w:p>
    <w:p w14:paraId="72E42FFE" w14:textId="4A2B42D0" w:rsidR="00B445E2" w:rsidRDefault="00347B2A" w:rsidP="00880EC6">
      <w:pPr>
        <w:pStyle w:val="Heading3"/>
        <w:spacing w:before="0"/>
      </w:pPr>
      <w:bookmarkStart w:id="22" w:name="_Toc115358092"/>
      <w:r>
        <w:t>6.1</w:t>
      </w:r>
      <w:r w:rsidR="00B445E2">
        <w:tab/>
        <w:t>Validity of appointments</w:t>
      </w:r>
      <w:bookmarkEnd w:id="22"/>
    </w:p>
    <w:p w14:paraId="4E74327C" w14:textId="21A36ED4" w:rsidR="00B445E2" w:rsidRDefault="00B445E2" w:rsidP="00880EC6">
      <w:pPr>
        <w:spacing w:after="0"/>
      </w:pPr>
      <w:r>
        <w:t>The Solicitor General’s opin</w:t>
      </w:r>
      <w:r w:rsidR="00866528">
        <w:t>ed</w:t>
      </w:r>
      <w:r>
        <w:t xml:space="preserve"> the appointments were valid from the time they were made.  The reason </w:t>
      </w:r>
      <w:r w:rsidR="00D8310E">
        <w:t>given was:</w:t>
      </w:r>
      <w:r>
        <w:t xml:space="preserve"> explicit Constitutional processes for appointments were followed.</w:t>
      </w:r>
    </w:p>
    <w:p w14:paraId="4432201B" w14:textId="77777777" w:rsidR="003906E4" w:rsidRDefault="003906E4" w:rsidP="00880EC6">
      <w:pPr>
        <w:spacing w:after="0"/>
      </w:pPr>
    </w:p>
    <w:p w14:paraId="3D93A7DF" w14:textId="78FCD72F" w:rsidR="00B445E2" w:rsidRDefault="00B445E2" w:rsidP="00880EC6">
      <w:pPr>
        <w:spacing w:after="0"/>
      </w:pPr>
      <w:r>
        <w:t xml:space="preserve">In my view that is not reconcilable with </w:t>
      </w:r>
      <w:r w:rsidR="00595017">
        <w:t>a view</w:t>
      </w:r>
      <w:r>
        <w:t xml:space="preserve"> the arrangements undermined responsible government.</w:t>
      </w:r>
    </w:p>
    <w:p w14:paraId="5F86FFDF" w14:textId="77777777" w:rsidR="003906E4" w:rsidRDefault="003906E4" w:rsidP="00880EC6">
      <w:pPr>
        <w:spacing w:after="0"/>
      </w:pPr>
    </w:p>
    <w:p w14:paraId="78BD23F7" w14:textId="15DF8CC4" w:rsidR="00347B2A" w:rsidRDefault="00347B2A" w:rsidP="00880EC6">
      <w:pPr>
        <w:spacing w:after="0"/>
      </w:pPr>
      <w:r>
        <w:t xml:space="preserve">In my view, </w:t>
      </w:r>
      <w:r w:rsidR="00B445E2">
        <w:t xml:space="preserve">responsible government requires Parliament to know the identity of every Minister matched with </w:t>
      </w:r>
      <w:r w:rsidR="00415A17">
        <w:t xml:space="preserve">their </w:t>
      </w:r>
      <w:r w:rsidR="00B445E2">
        <w:t xml:space="preserve">powers </w:t>
      </w:r>
      <w:r w:rsidR="00415A17">
        <w:t xml:space="preserve">including the power </w:t>
      </w:r>
      <w:r w:rsidR="00B445E2">
        <w:t>to administer Departments</w:t>
      </w:r>
      <w:r>
        <w:t>.  That did not occur</w:t>
      </w:r>
      <w:r w:rsidR="001D0D25">
        <w:t>.</w:t>
      </w:r>
      <w:r w:rsidR="00866528">
        <w:t xml:space="preserve">  Until those identities and powers were publicly matched, the Constitution was breached.</w:t>
      </w:r>
    </w:p>
    <w:p w14:paraId="3C27F533" w14:textId="77777777" w:rsidR="00D8310E" w:rsidRDefault="00D8310E" w:rsidP="00880EC6">
      <w:pPr>
        <w:spacing w:after="0"/>
      </w:pPr>
    </w:p>
    <w:p w14:paraId="26EBB843" w14:textId="6135F1B7" w:rsidR="008A54CF" w:rsidRDefault="008A54CF" w:rsidP="008A54CF">
      <w:pPr>
        <w:pStyle w:val="Heading3"/>
      </w:pPr>
      <w:bookmarkStart w:id="23" w:name="_Toc115358093"/>
      <w:r>
        <w:t>6.2</w:t>
      </w:r>
      <w:r>
        <w:tab/>
      </w:r>
      <w:r w:rsidR="002C3D6E">
        <w:t>A problem?</w:t>
      </w:r>
      <w:bookmarkEnd w:id="23"/>
    </w:p>
    <w:p w14:paraId="2750F9E9" w14:textId="0FBC84B2" w:rsidR="00337669" w:rsidRDefault="00AB6403" w:rsidP="00880EC6">
      <w:pPr>
        <w:spacing w:after="0"/>
      </w:pPr>
      <w:r>
        <w:t>Yet</w:t>
      </w:r>
      <w:r w:rsidR="00415A17">
        <w:t xml:space="preserve"> the problem</w:t>
      </w:r>
      <w:r w:rsidR="00337669">
        <w:t>s</w:t>
      </w:r>
      <w:r w:rsidR="00415A17">
        <w:t xml:space="preserve"> identified by Mr Albanese and most commentators</w:t>
      </w:r>
      <w:r w:rsidR="00415A17" w:rsidRPr="00415A17">
        <w:t xml:space="preserve"> </w:t>
      </w:r>
      <w:r w:rsidR="00415A17">
        <w:t xml:space="preserve">with Mr Morrison’s appointment </w:t>
      </w:r>
      <w:r w:rsidR="009C0425">
        <w:t>a</w:t>
      </w:r>
      <w:r w:rsidR="00337669">
        <w:t xml:space="preserve">re </w:t>
      </w:r>
      <w:r w:rsidR="00D8310E">
        <w:t xml:space="preserve">at best </w:t>
      </w:r>
      <w:r w:rsidR="00415A17">
        <w:t>hypothetical</w:t>
      </w:r>
      <w:r w:rsidR="00337669">
        <w:t>.  The</w:t>
      </w:r>
      <w:r w:rsidR="004058EC">
        <w:t>ir claims</w:t>
      </w:r>
      <w:r w:rsidR="00337669">
        <w:t xml:space="preserve"> lack</w:t>
      </w:r>
      <w:r w:rsidR="00415A17">
        <w:t xml:space="preserve"> practical relevance</w:t>
      </w:r>
      <w:r w:rsidR="00337669">
        <w:t xml:space="preserve"> and </w:t>
      </w:r>
      <w:r w:rsidR="009C0425">
        <w:t>a</w:t>
      </w:r>
      <w:r w:rsidR="00337669">
        <w:t>re fatuous</w:t>
      </w:r>
      <w:r w:rsidR="00415A17">
        <w:t xml:space="preserve">.  </w:t>
      </w:r>
    </w:p>
    <w:p w14:paraId="7913DFEA" w14:textId="0B3184E3" w:rsidR="002C3D6E" w:rsidRDefault="00415A17" w:rsidP="00880EC6">
      <w:pPr>
        <w:spacing w:after="0"/>
      </w:pPr>
      <w:r>
        <w:lastRenderedPageBreak/>
        <w:t>The c</w:t>
      </w:r>
      <w:r w:rsidR="00D8310E">
        <w:t xml:space="preserve">laims involve </w:t>
      </w:r>
      <w:r>
        <w:t xml:space="preserve">a hysterical beat-up, </w:t>
      </w:r>
      <w:r w:rsidR="00AB6403">
        <w:t xml:space="preserve">full of inconsistencies and misapprehensions </w:t>
      </w:r>
      <w:r>
        <w:t xml:space="preserve">of the tinpot kind </w:t>
      </w:r>
      <w:r w:rsidR="00D8310E">
        <w:t>commentator</w:t>
      </w:r>
      <w:r w:rsidR="00C72452">
        <w:t>s</w:t>
      </w:r>
      <w:r>
        <w:t xml:space="preserve"> pretend to admonish.  </w:t>
      </w:r>
    </w:p>
    <w:p w14:paraId="3AF23181" w14:textId="77777777" w:rsidR="002C3D6E" w:rsidRDefault="002C3D6E" w:rsidP="00880EC6">
      <w:pPr>
        <w:spacing w:after="0"/>
      </w:pPr>
    </w:p>
    <w:p w14:paraId="6C37167D" w14:textId="46313C20" w:rsidR="002C3D6E" w:rsidRDefault="002C3D6E" w:rsidP="002C3D6E">
      <w:pPr>
        <w:pStyle w:val="Heading3"/>
      </w:pPr>
      <w:bookmarkStart w:id="24" w:name="_Toc115358094"/>
      <w:r>
        <w:t>6.3</w:t>
      </w:r>
      <w:r>
        <w:tab/>
        <w:t>Real problems</w:t>
      </w:r>
      <w:bookmarkEnd w:id="24"/>
    </w:p>
    <w:p w14:paraId="4A6A4CD1" w14:textId="666871C3" w:rsidR="002C3D6E" w:rsidRDefault="00AB6403" w:rsidP="00880EC6">
      <w:pPr>
        <w:spacing w:after="0"/>
      </w:pPr>
      <w:r>
        <w:t xml:space="preserve">Worse, the shrieks about Mr Morrison hide the real and present threat to democracy.  That </w:t>
      </w:r>
      <w:r w:rsidR="00595017">
        <w:t xml:space="preserve">threat </w:t>
      </w:r>
      <w:r>
        <w:t xml:space="preserve">is the unauthorised – illegal – exercise of power by Commonwealth Ministers.  </w:t>
      </w:r>
    </w:p>
    <w:p w14:paraId="260F4605" w14:textId="77777777" w:rsidR="002C3D6E" w:rsidRDefault="002C3D6E" w:rsidP="00880EC6">
      <w:pPr>
        <w:spacing w:after="0"/>
      </w:pPr>
    </w:p>
    <w:p w14:paraId="46B757E3" w14:textId="1074F8E9" w:rsidR="0097131B" w:rsidRDefault="00AB6403" w:rsidP="00880EC6">
      <w:pPr>
        <w:spacing w:after="0"/>
      </w:pPr>
      <w:r>
        <w:t xml:space="preserve">The </w:t>
      </w:r>
      <w:r w:rsidR="00595017">
        <w:t>real problem</w:t>
      </w:r>
      <w:r>
        <w:t xml:space="preserve"> arising from uncertainty as to who has </w:t>
      </w:r>
      <w:r w:rsidR="00ED47B1">
        <w:t xml:space="preserve">particular </w:t>
      </w:r>
      <w:r>
        <w:t xml:space="preserve">Ministerial powers is that a </w:t>
      </w:r>
      <w:r w:rsidR="00ED47B1">
        <w:t xml:space="preserve">Minister may bluff – falsely and publicly claim - they have </w:t>
      </w:r>
      <w:r w:rsidR="002C3D6E">
        <w:t xml:space="preserve">legal </w:t>
      </w:r>
      <w:r w:rsidR="00ED47B1">
        <w:t>powers.</w:t>
      </w:r>
      <w:r w:rsidR="002C3D6E">
        <w:t xml:space="preserve">  </w:t>
      </w:r>
    </w:p>
    <w:p w14:paraId="38BA8899" w14:textId="77777777" w:rsidR="0097131B" w:rsidRDefault="0097131B" w:rsidP="00880EC6">
      <w:pPr>
        <w:spacing w:after="0"/>
      </w:pPr>
    </w:p>
    <w:p w14:paraId="61CF7FD9" w14:textId="48E8CCF9" w:rsidR="00ED47B1" w:rsidRDefault="0097131B" w:rsidP="00880EC6">
      <w:pPr>
        <w:spacing w:after="0"/>
      </w:pPr>
      <w:r>
        <w:t xml:space="preserve">The threat </w:t>
      </w:r>
      <w:r w:rsidR="00140987">
        <w:t xml:space="preserve">is not, as claimed, </w:t>
      </w:r>
      <w:r w:rsidR="009C0425">
        <w:t>a</w:t>
      </w:r>
      <w:r w:rsidR="00140987">
        <w:t xml:space="preserve"> secret shar</w:t>
      </w:r>
      <w:r w:rsidR="009C0425">
        <w:t>ing</w:t>
      </w:r>
      <w:r w:rsidR="00140987">
        <w:t xml:space="preserve"> </w:t>
      </w:r>
      <w:r w:rsidR="009C0425">
        <w:t>of non-exercised</w:t>
      </w:r>
      <w:r w:rsidR="00140987">
        <w:t xml:space="preserve"> powers.</w:t>
      </w:r>
      <w:r w:rsidR="009C0425">
        <w:t xml:space="preserve">  Nor is it that one Minister can reverse the decision of another – the fact of conventions about the Prime Minster and about Cabinet show</w:t>
      </w:r>
      <w:r>
        <w:t xml:space="preserve">s </w:t>
      </w:r>
      <w:r w:rsidR="009C0425">
        <w:t xml:space="preserve">such an argument </w:t>
      </w:r>
      <w:r>
        <w:t>to be stupid</w:t>
      </w:r>
      <w:r w:rsidR="009C0425">
        <w:t>.</w:t>
      </w:r>
      <w:r>
        <w:t xml:space="preserve">  Just as pointless a</w:t>
      </w:r>
      <w:r w:rsidR="00595017">
        <w:t>re</w:t>
      </w:r>
      <w:r>
        <w:t xml:space="preserve"> claims conventions are more important than the Constitution – implying the latter is merely symbolic and can be dispensed with.</w:t>
      </w:r>
      <w:r w:rsidR="009C0425">
        <w:t xml:space="preserve"> </w:t>
      </w:r>
      <w:r>
        <w:t>Such arguments suggest an underlying jealousy of the former Prime Minister – that he ‘outsmarted’ others in processes of government.</w:t>
      </w:r>
    </w:p>
    <w:p w14:paraId="4D7D791F" w14:textId="00D22E39" w:rsidR="00140987" w:rsidRDefault="00140987" w:rsidP="00880EC6">
      <w:pPr>
        <w:spacing w:after="0"/>
      </w:pPr>
    </w:p>
    <w:p w14:paraId="4C7D5FD4" w14:textId="54C96990" w:rsidR="00140987" w:rsidRDefault="004002D8" w:rsidP="00880EC6">
      <w:pPr>
        <w:spacing w:after="0"/>
      </w:pPr>
      <w:r>
        <w:t>H</w:t>
      </w:r>
      <w:r w:rsidR="00140987">
        <w:t>istory demonstrates bluffing to be the principal threat to democracy – with examples of Governments and institutions overthrown</w:t>
      </w:r>
      <w:r w:rsidR="0097131B">
        <w:t xml:space="preserve"> by those falsely claiming to have power</w:t>
      </w:r>
      <w:r w:rsidR="00140987">
        <w:t>.</w:t>
      </w:r>
    </w:p>
    <w:p w14:paraId="0F0B0D6D" w14:textId="360EC9B8" w:rsidR="00140987" w:rsidRDefault="00140987" w:rsidP="00880EC6">
      <w:pPr>
        <w:spacing w:after="0"/>
      </w:pPr>
    </w:p>
    <w:p w14:paraId="5465E595" w14:textId="7B320BE1" w:rsidR="002C3D6E" w:rsidRDefault="00140987" w:rsidP="00880EC6">
      <w:pPr>
        <w:spacing w:after="0"/>
      </w:pPr>
      <w:r>
        <w:t>Bluffing</w:t>
      </w:r>
      <w:r w:rsidR="00E6026C">
        <w:t xml:space="preserve"> is more than</w:t>
      </w:r>
      <w:r w:rsidR="00ED47B1">
        <w:t xml:space="preserve"> a theoretical possibility</w:t>
      </w:r>
      <w:r w:rsidR="00E6026C">
        <w:t xml:space="preserve"> </w:t>
      </w:r>
      <w:r>
        <w:t xml:space="preserve">in Australia </w:t>
      </w:r>
      <w:r w:rsidR="00E6026C">
        <w:t xml:space="preserve">- </w:t>
      </w:r>
      <w:r w:rsidR="00ED47B1">
        <w:t xml:space="preserve">there </w:t>
      </w:r>
      <w:r>
        <w:t>we</w:t>
      </w:r>
      <w:r w:rsidR="00ED47B1">
        <w:t xml:space="preserve">re examples </w:t>
      </w:r>
      <w:r w:rsidR="002C3D6E">
        <w:t>impacting the operation of democracy and the lives of citizens during the pandemic – including bluffs by the police, unelected State officials and Premiers.</w:t>
      </w:r>
    </w:p>
    <w:p w14:paraId="0ADE2911" w14:textId="77777777" w:rsidR="002C3D6E" w:rsidRDefault="002C3D6E" w:rsidP="00880EC6">
      <w:pPr>
        <w:spacing w:after="0"/>
      </w:pPr>
    </w:p>
    <w:p w14:paraId="5A8A9E49" w14:textId="4A71C31B" w:rsidR="003F1329" w:rsidRDefault="00ED47B1" w:rsidP="00880EC6">
      <w:pPr>
        <w:spacing w:after="0"/>
      </w:pPr>
      <w:r>
        <w:t xml:space="preserve">Commonwealth Ministers </w:t>
      </w:r>
      <w:r w:rsidR="002C3D6E">
        <w:t xml:space="preserve">also </w:t>
      </w:r>
      <w:r w:rsidR="00140987">
        <w:t xml:space="preserve">continue to </w:t>
      </w:r>
      <w:r w:rsidR="002C3D6E">
        <w:t>bluff</w:t>
      </w:r>
      <w:r>
        <w:t xml:space="preserve">.  Among </w:t>
      </w:r>
      <w:r w:rsidR="002C3D6E">
        <w:t xml:space="preserve">recent </w:t>
      </w:r>
      <w:r>
        <w:t>examples are bluffs that Minister</w:t>
      </w:r>
      <w:r w:rsidR="00140987">
        <w:t>s</w:t>
      </w:r>
      <w:r>
        <w:t xml:space="preserve"> have powers to spend on infrastructure projects like commuter car parks.  </w:t>
      </w:r>
      <w:r w:rsidR="002C3D6E">
        <w:t>Such bluffing has become institutionalised – almost a ‘convention’ of the Commonwealth Government.  T</w:t>
      </w:r>
      <w:r w:rsidR="003F1329">
        <w:t>womey claimed:</w:t>
      </w:r>
      <w:r w:rsidR="00416109">
        <w:t xml:space="preserve"> </w:t>
      </w:r>
      <w:r w:rsidR="00416109" w:rsidRPr="00416109">
        <w:t xml:space="preserve">Ministers </w:t>
      </w:r>
      <w:r w:rsidR="00416109">
        <w:t>think</w:t>
      </w:r>
      <w:r w:rsidR="00416109" w:rsidRPr="00416109">
        <w:t xml:space="preserve"> they have unfettered discretion to act as they please</w:t>
      </w:r>
      <w:r w:rsidR="00416109">
        <w:t xml:space="preserve"> and:</w:t>
      </w:r>
    </w:p>
    <w:p w14:paraId="5CF201FB" w14:textId="2B31D166" w:rsidR="0074753B" w:rsidRDefault="0074753B" w:rsidP="003F1329">
      <w:pPr>
        <w:spacing w:after="0"/>
        <w:ind w:left="720"/>
        <w:rPr>
          <w:i/>
          <w:iCs/>
        </w:rPr>
      </w:pPr>
      <w:r w:rsidRPr="0074753B">
        <w:rPr>
          <w:i/>
          <w:iCs/>
        </w:rPr>
        <w:t>‘</w:t>
      </w:r>
      <w:r w:rsidR="003F1329" w:rsidRPr="0074753B">
        <w:rPr>
          <w:i/>
          <w:iCs/>
        </w:rPr>
        <w:t>The primary focus of the Commonwealth Government, however, has been on managing ‘constitutional risk’, rather than strict compliance with the rule of law. It involves evaluating the risk that someone who has standing to do so will challenge the making of the grant in court, resulting in it being struck down</w:t>
      </w:r>
      <w:r>
        <w:rPr>
          <w:i/>
          <w:iCs/>
        </w:rPr>
        <w:t>’.</w:t>
      </w:r>
    </w:p>
    <w:p w14:paraId="3D913CC1" w14:textId="3D7531C2" w:rsidR="0097131B" w:rsidRDefault="0074753B" w:rsidP="003F1329">
      <w:pPr>
        <w:spacing w:after="0"/>
        <w:ind w:left="720"/>
        <w:rPr>
          <w:i/>
          <w:iCs/>
        </w:rPr>
      </w:pPr>
      <w:r>
        <w:rPr>
          <w:i/>
          <w:iCs/>
        </w:rPr>
        <w:t>‘</w:t>
      </w:r>
      <w:r w:rsidRPr="0074753B">
        <w:rPr>
          <w:i/>
          <w:iCs/>
        </w:rPr>
        <w:t>there is no disciplined checking that any of the actual grants made under those programs fall within the scope of the relevant head of power. The consequence is large-scale unlawful spending by the Commonwealth Government. The ‘constitutional risk’ is again low because no one is likely to check the conformity between actual spending and constitutional authority to do so.</w:t>
      </w:r>
      <w:r w:rsidR="005B4A1B">
        <w:rPr>
          <w:i/>
          <w:iCs/>
        </w:rPr>
        <w:t>’</w:t>
      </w:r>
    </w:p>
    <w:p w14:paraId="3AB19B95" w14:textId="671A0465" w:rsidR="0074753B" w:rsidRDefault="0097131B" w:rsidP="0097131B">
      <w:pPr>
        <w:spacing w:after="0"/>
        <w:rPr>
          <w:i/>
          <w:iCs/>
        </w:rPr>
      </w:pPr>
      <w:r w:rsidRPr="0097131B">
        <w:t>Further</w:t>
      </w:r>
      <w:r>
        <w:t>:</w:t>
      </w:r>
    </w:p>
    <w:p w14:paraId="18165D15" w14:textId="77DEE170" w:rsidR="00ED47B1" w:rsidRDefault="005B4A1B" w:rsidP="005B4A1B">
      <w:pPr>
        <w:spacing w:after="0"/>
        <w:ind w:left="720"/>
        <w:rPr>
          <w:i/>
          <w:iCs/>
        </w:rPr>
      </w:pPr>
      <w:r>
        <w:rPr>
          <w:i/>
          <w:iCs/>
        </w:rPr>
        <w:t>‘</w:t>
      </w:r>
      <w:r w:rsidR="00E6026C" w:rsidRPr="00E6026C">
        <w:rPr>
          <w:i/>
          <w:iCs/>
        </w:rPr>
        <w:t>This is what the decay of democracy looks and smells like. It is by no means full-blown decay. Australia is still one of the most law-abiding and democratic countries in the world. But when the rule of law is disregarded because it is inconvenient, when governments calculate how they should behave according to what they can get away with, when public servants facilitate such action rather than insisting upon the application of the law, and when power is seen as giving immunity from the application of rules and impunity from the legal consequences, then the rot in the democratic system has begun and will spread unless action is taken to stop it.</w:t>
      </w:r>
      <w:r w:rsidR="002C3D6E">
        <w:rPr>
          <w:i/>
          <w:iCs/>
        </w:rPr>
        <w:t>’</w:t>
      </w:r>
      <w:r w:rsidR="003F1329" w:rsidRPr="00E6026C">
        <w:rPr>
          <w:rStyle w:val="FootnoteReference"/>
          <w:i/>
          <w:iCs/>
        </w:rPr>
        <w:footnoteReference w:id="65"/>
      </w:r>
    </w:p>
    <w:p w14:paraId="6EB78C25" w14:textId="6A834AE5" w:rsidR="00E6026C" w:rsidRDefault="00E6026C" w:rsidP="00E6026C">
      <w:pPr>
        <w:spacing w:after="0"/>
      </w:pPr>
      <w:r w:rsidRPr="008E35EA">
        <w:lastRenderedPageBreak/>
        <w:t xml:space="preserve">Yet </w:t>
      </w:r>
      <w:r w:rsidR="008E35EA">
        <w:t>spending i</w:t>
      </w:r>
      <w:r w:rsidRPr="008E35EA">
        <w:t xml:space="preserve">s not the only bluff.  </w:t>
      </w:r>
      <w:r w:rsidR="008E35EA" w:rsidRPr="008E35EA">
        <w:t xml:space="preserve"> </w:t>
      </w:r>
      <w:r w:rsidR="005D0DC1">
        <w:t>E</w:t>
      </w:r>
      <w:r w:rsidR="008E35EA">
        <w:t xml:space="preserve">mergency legislation – including for Health and national emergencies </w:t>
      </w:r>
      <w:r w:rsidR="005D0DC1">
        <w:t xml:space="preserve">at the Commonwealth level </w:t>
      </w:r>
      <w:r w:rsidR="008E35EA">
        <w:t xml:space="preserve">– </w:t>
      </w:r>
      <w:r w:rsidR="002D0B49">
        <w:t>create</w:t>
      </w:r>
      <w:r w:rsidR="008E35EA">
        <w:t xml:space="preserve"> conditions in which Ministers </w:t>
      </w:r>
      <w:r w:rsidR="00637942">
        <w:t xml:space="preserve">and officials </w:t>
      </w:r>
      <w:r w:rsidR="008E35EA">
        <w:t>can purport to exercise powers they lack – and bluff the public.  Which they have done.</w:t>
      </w:r>
      <w:r w:rsidR="00416109">
        <w:rPr>
          <w:rStyle w:val="FootnoteReference"/>
        </w:rPr>
        <w:footnoteReference w:id="66"/>
      </w:r>
    </w:p>
    <w:p w14:paraId="3A32E552" w14:textId="4D945B85" w:rsidR="007C4BC5" w:rsidRDefault="007C4BC5" w:rsidP="00E6026C">
      <w:pPr>
        <w:spacing w:after="0"/>
      </w:pPr>
    </w:p>
    <w:p w14:paraId="4F87EA43" w14:textId="2F7FF738" w:rsidR="007C4BC5" w:rsidRDefault="007C4BC5" w:rsidP="00E6026C">
      <w:pPr>
        <w:spacing w:after="0"/>
      </w:pPr>
      <w:r>
        <w:t xml:space="preserve">The failure to publish all Solicitor General </w:t>
      </w:r>
      <w:r w:rsidR="005B4A1B">
        <w:t xml:space="preserve">opinions </w:t>
      </w:r>
      <w:r>
        <w:t xml:space="preserve">aids and abets such bluffing.  </w:t>
      </w:r>
      <w:r w:rsidR="00FF294D">
        <w:t xml:space="preserve">It would be </w:t>
      </w:r>
      <w:r w:rsidR="00145685">
        <w:t>interesting</w:t>
      </w:r>
      <w:r w:rsidR="00FF294D">
        <w:t xml:space="preserve"> to know wh</w:t>
      </w:r>
      <w:r w:rsidR="002D0B49">
        <w:t xml:space="preserve">at advice </w:t>
      </w:r>
      <w:r w:rsidR="00FF294D">
        <w:t xml:space="preserve">the Solicitor General – or any other unelected Commonwealth official - gave on the </w:t>
      </w:r>
      <w:r w:rsidR="002D0B49">
        <w:t>appointments and secrecy</w:t>
      </w:r>
      <w:r w:rsidR="00FF294D">
        <w:t xml:space="preserve"> while Mr Morrison was in office.</w:t>
      </w:r>
    </w:p>
    <w:p w14:paraId="269C5360" w14:textId="56374179" w:rsidR="008E35EA" w:rsidRDefault="008E35EA" w:rsidP="00E6026C">
      <w:pPr>
        <w:spacing w:after="0"/>
      </w:pPr>
    </w:p>
    <w:p w14:paraId="7BB335B5" w14:textId="3CE6D232" w:rsidR="008A54CF" w:rsidRDefault="008E35EA" w:rsidP="00E6026C">
      <w:pPr>
        <w:spacing w:after="0"/>
      </w:pPr>
      <w:r>
        <w:t>Beyond that, there are Commonwealth Ministerial ‘responsibilities’ and titles inconsistent with the Constitution.  For example</w:t>
      </w:r>
      <w:r w:rsidR="008A54CF">
        <w:t>,</w:t>
      </w:r>
      <w:r>
        <w:t xml:space="preserve"> Ministerial titles include ‘cities’, ‘energy’, ‘education’, </w:t>
      </w:r>
      <w:r w:rsidR="008A54CF">
        <w:t xml:space="preserve">‘regions’, ‘women’, ‘arts’, ‘water’, ‘homelessness’, ‘housing’ etc. matters not allocated to the Commonwealth legislature, let along Executive, by the Constitution.  The only purpose of such titles is to </w:t>
      </w:r>
      <w:r w:rsidR="00145685">
        <w:t xml:space="preserve">establish conditions where some </w:t>
      </w:r>
      <w:r w:rsidR="008A54CF">
        <w:t>bluff</w:t>
      </w:r>
      <w:r w:rsidR="00145685">
        <w:t xml:space="preserve">ing is acceptable, even expected, </w:t>
      </w:r>
      <w:r w:rsidR="008A54CF">
        <w:t>to curry favour with sections of the community</w:t>
      </w:r>
      <w:r w:rsidR="00DF700E">
        <w:t>.</w:t>
      </w:r>
      <w:r w:rsidR="00416109">
        <w:rPr>
          <w:rStyle w:val="FootnoteReference"/>
        </w:rPr>
        <w:footnoteReference w:id="67"/>
      </w:r>
    </w:p>
    <w:p w14:paraId="4117D268" w14:textId="49EFBAD2" w:rsidR="00416109" w:rsidRDefault="00416109" w:rsidP="00E6026C">
      <w:pPr>
        <w:spacing w:after="0"/>
      </w:pPr>
    </w:p>
    <w:p w14:paraId="59E3684F" w14:textId="77777777" w:rsidR="00416109" w:rsidRDefault="00416109" w:rsidP="00416109">
      <w:pPr>
        <w:pStyle w:val="Heading3"/>
      </w:pPr>
      <w:bookmarkStart w:id="25" w:name="_Toc115358095"/>
      <w:r>
        <w:t>6.4</w:t>
      </w:r>
      <w:r>
        <w:tab/>
        <w:t>Finally</w:t>
      </w:r>
      <w:bookmarkEnd w:id="25"/>
    </w:p>
    <w:p w14:paraId="65F400B3" w14:textId="7E1AA67F" w:rsidR="00416109" w:rsidRDefault="00416109" w:rsidP="00E6026C">
      <w:pPr>
        <w:spacing w:after="0"/>
      </w:pPr>
      <w:r>
        <w:t>The point being made by most critics of the secret Morrison appointments is that his Ministerial title</w:t>
      </w:r>
      <w:r w:rsidR="00DF700E">
        <w:t>s</w:t>
      </w:r>
      <w:r>
        <w:t xml:space="preserve"> did not match his powers.  Exactly that point should lead to condemnation of many current Ministerial titles.  Another H word comes to mind</w:t>
      </w:r>
      <w:r w:rsidR="00FF294D">
        <w:t xml:space="preserve"> in most of the commentary to date</w:t>
      </w:r>
      <w:r>
        <w:t>.</w:t>
      </w:r>
    </w:p>
    <w:p w14:paraId="5F724A46" w14:textId="3E984E40" w:rsidR="00145685" w:rsidRDefault="00145685" w:rsidP="00E6026C">
      <w:pPr>
        <w:spacing w:after="0"/>
      </w:pPr>
    </w:p>
    <w:p w14:paraId="73FEB986" w14:textId="36B9296B" w:rsidR="00145685" w:rsidRDefault="00145685" w:rsidP="00E6026C">
      <w:pPr>
        <w:spacing w:after="0"/>
      </w:pPr>
      <w:r>
        <w:t>Rather than it being ‘too slow out of the blocks’ commentary has far outstripped analytical capabilities.  It has been way too fast.</w:t>
      </w:r>
    </w:p>
    <w:p w14:paraId="2A03FA9E" w14:textId="75B2582F" w:rsidR="00416109" w:rsidRDefault="00416109" w:rsidP="00E6026C">
      <w:pPr>
        <w:spacing w:after="0"/>
      </w:pPr>
    </w:p>
    <w:p w14:paraId="55EE0CA4" w14:textId="0F60DA0A" w:rsidR="00416109" w:rsidRDefault="00416109" w:rsidP="00E6026C">
      <w:pPr>
        <w:spacing w:after="0"/>
      </w:pPr>
      <w:r>
        <w:t xml:space="preserve">The inquiry into the controversy would do well to quickly dispense with the </w:t>
      </w:r>
      <w:r w:rsidR="00DF700E">
        <w:t xml:space="preserve">ignorance and hypocrisy </w:t>
      </w:r>
      <w:r>
        <w:t xml:space="preserve">on display and get to the real </w:t>
      </w:r>
      <w:r w:rsidR="00DF700E">
        <w:t xml:space="preserve">and serious </w:t>
      </w:r>
      <w:r>
        <w:t>issues exposed:</w:t>
      </w:r>
    </w:p>
    <w:p w14:paraId="64F25D84" w14:textId="56630211" w:rsidR="00416109" w:rsidRDefault="002D0B49" w:rsidP="00DF700E">
      <w:pPr>
        <w:pStyle w:val="ListParagraph"/>
        <w:numPr>
          <w:ilvl w:val="0"/>
          <w:numId w:val="9"/>
        </w:numPr>
        <w:spacing w:after="0"/>
        <w:ind w:left="360"/>
      </w:pPr>
      <w:r>
        <w:t>p</w:t>
      </w:r>
      <w:r w:rsidR="007C4BC5">
        <w:t>robable misunderstanding of the Constitutional significance of responsible government;</w:t>
      </w:r>
    </w:p>
    <w:p w14:paraId="5F00FD51" w14:textId="2191F364" w:rsidR="007C4BC5" w:rsidRDefault="007C4BC5" w:rsidP="00DF700E">
      <w:pPr>
        <w:pStyle w:val="ListParagraph"/>
        <w:numPr>
          <w:ilvl w:val="0"/>
          <w:numId w:val="9"/>
        </w:numPr>
        <w:spacing w:after="0"/>
        <w:ind w:left="360"/>
      </w:pPr>
      <w:r>
        <w:t>Governments and Ministers bluffing about powers they do not legally possess;</w:t>
      </w:r>
    </w:p>
    <w:p w14:paraId="773301D1" w14:textId="25D725F4" w:rsidR="007C4BC5" w:rsidRDefault="007C4BC5" w:rsidP="00DF700E">
      <w:pPr>
        <w:pStyle w:val="ListParagraph"/>
        <w:numPr>
          <w:ilvl w:val="0"/>
          <w:numId w:val="9"/>
        </w:numPr>
        <w:spacing w:after="0"/>
        <w:ind w:left="360"/>
      </w:pPr>
      <w:r>
        <w:t>Government legal authorities aiding and abetting that by not publishing their advice;</w:t>
      </w:r>
    </w:p>
    <w:p w14:paraId="49D7D88F" w14:textId="5E5F5E9D" w:rsidR="007C4BC5" w:rsidRDefault="007C4BC5" w:rsidP="00DF700E">
      <w:pPr>
        <w:pStyle w:val="ListParagraph"/>
        <w:numPr>
          <w:ilvl w:val="0"/>
          <w:numId w:val="9"/>
        </w:numPr>
        <w:spacing w:after="0"/>
        <w:ind w:left="360"/>
      </w:pPr>
      <w:r>
        <w:t>Governments furthering bluffing by Ministerial titles designed to mislead the public;</w:t>
      </w:r>
    </w:p>
    <w:p w14:paraId="7CE66B80" w14:textId="21C3A123" w:rsidR="007C4BC5" w:rsidRDefault="007C4BC5" w:rsidP="00DF700E">
      <w:pPr>
        <w:pStyle w:val="ListParagraph"/>
        <w:numPr>
          <w:ilvl w:val="0"/>
          <w:numId w:val="9"/>
        </w:numPr>
        <w:spacing w:after="0"/>
        <w:ind w:left="360"/>
      </w:pPr>
      <w:r>
        <w:t>Parliament taking a cavalier attitude to its responsibility of oversee Government.</w:t>
      </w:r>
    </w:p>
    <w:p w14:paraId="21B29A21" w14:textId="77777777" w:rsidR="002D0B49" w:rsidRDefault="002D0B49" w:rsidP="00E6026C">
      <w:pPr>
        <w:spacing w:after="0"/>
      </w:pPr>
    </w:p>
    <w:p w14:paraId="05C24616" w14:textId="2F531753" w:rsidR="007C4BC5" w:rsidRDefault="00FF294D" w:rsidP="00E6026C">
      <w:pPr>
        <w:spacing w:after="0"/>
      </w:pPr>
      <w:r>
        <w:t>This partisan inspired beat</w:t>
      </w:r>
      <w:r w:rsidR="00145685">
        <w:t>-</w:t>
      </w:r>
      <w:r>
        <w:t>up</w:t>
      </w:r>
      <w:r w:rsidR="000308C4">
        <w:t xml:space="preserve"> is weird and over the top.  It speaks of </w:t>
      </w:r>
      <w:r w:rsidR="00DA6AAF">
        <w:t>emotive</w:t>
      </w:r>
      <w:r w:rsidR="00145685">
        <w:t xml:space="preserve"> </w:t>
      </w:r>
      <w:r w:rsidR="00637942">
        <w:t xml:space="preserve">animus towards </w:t>
      </w:r>
      <w:r w:rsidR="00145685">
        <w:t>Mr Morrison</w:t>
      </w:r>
      <w:r w:rsidR="00DA6AAF">
        <w:t xml:space="preserve"> – a dangerous starting point for serious public policy discussions</w:t>
      </w:r>
      <w:r w:rsidR="000308C4">
        <w:t>.  It</w:t>
      </w:r>
      <w:r>
        <w:t xml:space="preserve"> </w:t>
      </w:r>
      <w:r w:rsidR="000308C4">
        <w:t>is lighting</w:t>
      </w:r>
      <w:r>
        <w:t xml:space="preserve"> yet another </w:t>
      </w:r>
      <w:r w:rsidR="00DF700E">
        <w:t>tip fire.</w:t>
      </w:r>
      <w:r w:rsidR="00637942">
        <w:t xml:space="preserve">  The word tinpot, is apposite.</w:t>
      </w:r>
    </w:p>
    <w:p w14:paraId="170775C8" w14:textId="74FC228C" w:rsidR="00DF700E" w:rsidRDefault="00DF700E" w:rsidP="00E6026C">
      <w:pPr>
        <w:spacing w:after="0"/>
      </w:pPr>
    </w:p>
    <w:p w14:paraId="07C65A9C" w14:textId="5F8ECEFD" w:rsidR="00FF294D" w:rsidRDefault="00FF294D" w:rsidP="00E6026C">
      <w:pPr>
        <w:spacing w:after="0"/>
      </w:pPr>
    </w:p>
    <w:p w14:paraId="04A7A238" w14:textId="77777777" w:rsidR="00FF294D" w:rsidRDefault="00FF294D" w:rsidP="00E6026C">
      <w:pPr>
        <w:spacing w:after="0"/>
      </w:pPr>
    </w:p>
    <w:p w14:paraId="452CF7CF" w14:textId="4914C379" w:rsidR="00DF700E" w:rsidRDefault="00DF700E" w:rsidP="00E6026C">
      <w:pPr>
        <w:spacing w:after="0"/>
      </w:pPr>
      <w:r>
        <w:t>J Austen</w:t>
      </w:r>
    </w:p>
    <w:p w14:paraId="3C9BD0B3" w14:textId="2C3322E7" w:rsidR="00DF700E" w:rsidRDefault="002D0B49" w:rsidP="00E6026C">
      <w:pPr>
        <w:spacing w:after="0"/>
      </w:pPr>
      <w:r>
        <w:t>2</w:t>
      </w:r>
      <w:r w:rsidR="00CD7501">
        <w:t>9</w:t>
      </w:r>
      <w:r w:rsidR="00DF700E">
        <w:t xml:space="preserve"> September 2022</w:t>
      </w:r>
    </w:p>
    <w:sectPr w:rsidR="00DF700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CFB8" w14:textId="77777777" w:rsidR="003C5579" w:rsidRDefault="003C5579" w:rsidP="001A13F9">
      <w:pPr>
        <w:spacing w:after="0" w:line="240" w:lineRule="auto"/>
      </w:pPr>
      <w:r>
        <w:separator/>
      </w:r>
    </w:p>
  </w:endnote>
  <w:endnote w:type="continuationSeparator" w:id="0">
    <w:p w14:paraId="0F870A6D" w14:textId="77777777" w:rsidR="003C5579" w:rsidRDefault="003C5579" w:rsidP="001A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84EA" w14:textId="77777777" w:rsidR="00E65EB1" w:rsidRDefault="00E6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927559"/>
      <w:docPartObj>
        <w:docPartGallery w:val="Page Numbers (Bottom of Page)"/>
        <w:docPartUnique/>
      </w:docPartObj>
    </w:sdtPr>
    <w:sdtEndPr>
      <w:rPr>
        <w:noProof/>
      </w:rPr>
    </w:sdtEndPr>
    <w:sdtContent>
      <w:p w14:paraId="36AECA81" w14:textId="13C52D5B" w:rsidR="00E65EB1" w:rsidRDefault="00E65E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89C045" w14:textId="77777777" w:rsidR="00E65EB1" w:rsidRDefault="00E65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ACEC" w14:textId="77777777" w:rsidR="00E65EB1" w:rsidRDefault="00E6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4538" w14:textId="77777777" w:rsidR="003C5579" w:rsidRDefault="003C5579" w:rsidP="001A13F9">
      <w:pPr>
        <w:spacing w:after="0" w:line="240" w:lineRule="auto"/>
      </w:pPr>
      <w:r>
        <w:separator/>
      </w:r>
    </w:p>
  </w:footnote>
  <w:footnote w:type="continuationSeparator" w:id="0">
    <w:p w14:paraId="1AE06F9F" w14:textId="77777777" w:rsidR="003C5579" w:rsidRDefault="003C5579" w:rsidP="001A13F9">
      <w:pPr>
        <w:spacing w:after="0" w:line="240" w:lineRule="auto"/>
      </w:pPr>
      <w:r>
        <w:continuationSeparator/>
      </w:r>
    </w:p>
  </w:footnote>
  <w:footnote w:id="1">
    <w:p w14:paraId="509B3CF2" w14:textId="77777777" w:rsidR="003B1F63" w:rsidRPr="005F50FA" w:rsidRDefault="003B1F63" w:rsidP="003B1F63">
      <w:pPr>
        <w:pStyle w:val="FootnoteText"/>
        <w:rPr>
          <w:sz w:val="16"/>
          <w:szCs w:val="16"/>
        </w:rPr>
      </w:pPr>
      <w:r w:rsidRPr="005F50FA">
        <w:rPr>
          <w:rStyle w:val="FootnoteReference"/>
          <w:sz w:val="16"/>
          <w:szCs w:val="16"/>
        </w:rPr>
        <w:footnoteRef/>
      </w:r>
      <w:r w:rsidRPr="005F50FA">
        <w:rPr>
          <w:sz w:val="16"/>
          <w:szCs w:val="16"/>
        </w:rPr>
        <w:t xml:space="preserve"> Hoard: </w:t>
      </w:r>
      <w:hyperlink r:id="rId1" w:history="1">
        <w:r w:rsidRPr="005F50FA">
          <w:rPr>
            <w:rStyle w:val="Hyperlink"/>
            <w:sz w:val="16"/>
            <w:szCs w:val="16"/>
          </w:rPr>
          <w:t>https://dictionary.cambridge.org/dictionary/english/hoard</w:t>
        </w:r>
      </w:hyperlink>
    </w:p>
    <w:p w14:paraId="56EB55C4" w14:textId="6E7E00FA" w:rsidR="003B1F63" w:rsidRPr="005F50FA" w:rsidRDefault="003B1F63">
      <w:pPr>
        <w:pStyle w:val="FootnoteText"/>
        <w:rPr>
          <w:sz w:val="16"/>
          <w:szCs w:val="16"/>
        </w:rPr>
      </w:pPr>
    </w:p>
  </w:footnote>
  <w:footnote w:id="2">
    <w:p w14:paraId="6A3A2C55" w14:textId="1926D8EB" w:rsidR="003B1F63" w:rsidRPr="005F50FA" w:rsidRDefault="003B1F63" w:rsidP="003B1F63">
      <w:pPr>
        <w:pStyle w:val="FootnoteText"/>
        <w:rPr>
          <w:sz w:val="16"/>
          <w:szCs w:val="16"/>
        </w:rPr>
      </w:pPr>
      <w:r w:rsidRPr="005F50FA">
        <w:rPr>
          <w:rStyle w:val="FootnoteReference"/>
          <w:sz w:val="16"/>
          <w:szCs w:val="16"/>
        </w:rPr>
        <w:footnoteRef/>
      </w:r>
      <w:r w:rsidRPr="005F50FA">
        <w:rPr>
          <w:sz w:val="16"/>
          <w:szCs w:val="16"/>
        </w:rPr>
        <w:t xml:space="preserve"> </w:t>
      </w:r>
      <w:r w:rsidR="008C6A73">
        <w:rPr>
          <w:sz w:val="16"/>
          <w:szCs w:val="16"/>
        </w:rPr>
        <w:t xml:space="preserve">Readers may recall a cavalcade of political stars taking holidays during the 2019-20 bushfires – not just the Prime Minister, but those with actual responsibilities for emergency management </w:t>
      </w:r>
      <w:hyperlink r:id="rId2" w:history="1">
        <w:r w:rsidR="008C6A73" w:rsidRPr="005052EC">
          <w:rPr>
            <w:rStyle w:val="Hyperlink"/>
            <w:sz w:val="16"/>
            <w:szCs w:val="16"/>
          </w:rPr>
          <w:t>https://www.thejadebeagle.com/tinpot.html</w:t>
        </w:r>
      </w:hyperlink>
      <w:r w:rsidR="008C6A73">
        <w:rPr>
          <w:sz w:val="16"/>
          <w:szCs w:val="16"/>
        </w:rPr>
        <w:t xml:space="preserve">.  Recent holidays: </w:t>
      </w:r>
      <w:hyperlink r:id="rId3" w:history="1">
        <w:r w:rsidRPr="005F50FA">
          <w:rPr>
            <w:rStyle w:val="Hyperlink"/>
            <w:sz w:val="16"/>
            <w:szCs w:val="16"/>
          </w:rPr>
          <w:t>https://www.dailymail.co.uk/news/article-11111447/Shirtless-Anthony-Albanese-spotted-swimming-Broome-holiday.html</w:t>
        </w:r>
      </w:hyperlink>
      <w:r w:rsidRPr="005F50FA">
        <w:rPr>
          <w:sz w:val="16"/>
          <w:szCs w:val="16"/>
        </w:rPr>
        <w:t xml:space="preserve">; Opposition Leader Mr Dutton had already been on holidays </w:t>
      </w:r>
      <w:hyperlink r:id="rId4" w:history="1">
        <w:r w:rsidRPr="005F50FA">
          <w:rPr>
            <w:rStyle w:val="Hyperlink"/>
            <w:sz w:val="16"/>
            <w:szCs w:val="16"/>
          </w:rPr>
          <w:t>https://www.news.com.au/travel/travel-updates/travel-stories/peter-dutton-holidaying-in-us-as-colleagues-blast-albo-for-ukraine-visit/news-story/f26d4282141802151df84d9487ad4a30</w:t>
        </w:r>
      </w:hyperlink>
    </w:p>
    <w:p w14:paraId="064ABAC5" w14:textId="54C3B230" w:rsidR="003B1F63" w:rsidRPr="005F50FA" w:rsidRDefault="003B1F63">
      <w:pPr>
        <w:pStyle w:val="FootnoteText"/>
        <w:rPr>
          <w:sz w:val="16"/>
          <w:szCs w:val="16"/>
        </w:rPr>
      </w:pPr>
      <w:r w:rsidRPr="005F50FA">
        <w:rPr>
          <w:sz w:val="16"/>
          <w:szCs w:val="16"/>
        </w:rPr>
        <w:t xml:space="preserve"> </w:t>
      </w:r>
    </w:p>
  </w:footnote>
  <w:footnote w:id="3">
    <w:p w14:paraId="6AF75D59" w14:textId="67C86FAC" w:rsidR="005F50FA" w:rsidRPr="005F50FA" w:rsidRDefault="005F50FA">
      <w:pPr>
        <w:pStyle w:val="FootnoteText"/>
        <w:rPr>
          <w:sz w:val="16"/>
          <w:szCs w:val="16"/>
        </w:rPr>
      </w:pPr>
      <w:r w:rsidRPr="005F50FA">
        <w:rPr>
          <w:rStyle w:val="FootnoteReference"/>
          <w:sz w:val="16"/>
          <w:szCs w:val="16"/>
        </w:rPr>
        <w:footnoteRef/>
      </w:r>
      <w:r w:rsidRPr="005F50FA">
        <w:rPr>
          <w:sz w:val="16"/>
          <w:szCs w:val="16"/>
        </w:rPr>
        <w:t xml:space="preserve"> </w:t>
      </w:r>
      <w:hyperlink r:id="rId5" w:history="1">
        <w:r w:rsidRPr="005F50FA">
          <w:rPr>
            <w:rStyle w:val="Hyperlink"/>
            <w:sz w:val="16"/>
            <w:szCs w:val="16"/>
          </w:rPr>
          <w:t>https://verdemode.com/bowerbirds-and-blue/</w:t>
        </w:r>
      </w:hyperlink>
    </w:p>
    <w:p w14:paraId="5BF383E3" w14:textId="77777777" w:rsidR="005F50FA" w:rsidRPr="005F50FA" w:rsidRDefault="005F50FA">
      <w:pPr>
        <w:pStyle w:val="FootnoteText"/>
        <w:rPr>
          <w:sz w:val="16"/>
          <w:szCs w:val="16"/>
        </w:rPr>
      </w:pPr>
    </w:p>
  </w:footnote>
  <w:footnote w:id="4">
    <w:p w14:paraId="3509021B" w14:textId="11368BF5" w:rsidR="001A13F9" w:rsidRPr="005F50FA" w:rsidRDefault="001A13F9">
      <w:pPr>
        <w:pStyle w:val="FootnoteText"/>
        <w:rPr>
          <w:sz w:val="16"/>
          <w:szCs w:val="16"/>
        </w:rPr>
      </w:pPr>
      <w:r w:rsidRPr="005F50FA">
        <w:rPr>
          <w:rStyle w:val="FootnoteReference"/>
          <w:sz w:val="16"/>
          <w:szCs w:val="16"/>
        </w:rPr>
        <w:footnoteRef/>
      </w:r>
      <w:r w:rsidRPr="005F50FA">
        <w:rPr>
          <w:sz w:val="16"/>
          <w:szCs w:val="16"/>
        </w:rPr>
        <w:t xml:space="preserve"> </w:t>
      </w:r>
      <w:r w:rsidR="004576DC">
        <w:rPr>
          <w:sz w:val="16"/>
          <w:szCs w:val="16"/>
        </w:rPr>
        <w:t xml:space="preserve">Bluff: </w:t>
      </w:r>
      <w:hyperlink r:id="rId6" w:history="1">
        <w:r w:rsidR="004576DC" w:rsidRPr="00380EB1">
          <w:rPr>
            <w:rStyle w:val="Hyperlink"/>
            <w:sz w:val="16"/>
            <w:szCs w:val="16"/>
          </w:rPr>
          <w:t>https://www.thejadebeagle.com/tinpot-2020.html</w:t>
        </w:r>
      </w:hyperlink>
      <w:r w:rsidR="004576DC">
        <w:rPr>
          <w:sz w:val="16"/>
          <w:szCs w:val="16"/>
        </w:rPr>
        <w:t xml:space="preserve">  ‘</w:t>
      </w:r>
      <w:r w:rsidRPr="005F50FA">
        <w:rPr>
          <w:sz w:val="16"/>
          <w:szCs w:val="16"/>
        </w:rPr>
        <w:t>Probably</w:t>
      </w:r>
      <w:r w:rsidR="004576DC">
        <w:rPr>
          <w:sz w:val="16"/>
          <w:szCs w:val="16"/>
        </w:rPr>
        <w:t>’</w:t>
      </w:r>
      <w:r w:rsidRPr="005F50FA">
        <w:rPr>
          <w:sz w:val="16"/>
          <w:szCs w:val="16"/>
        </w:rPr>
        <w:t xml:space="preserve">, as the Department advised the Prime Minister did not need to take an oath of office in relation to the </w:t>
      </w:r>
      <w:r w:rsidR="003B1F63" w:rsidRPr="005F50FA">
        <w:rPr>
          <w:sz w:val="16"/>
          <w:szCs w:val="16"/>
        </w:rPr>
        <w:t>H</w:t>
      </w:r>
      <w:r w:rsidRPr="005F50FA">
        <w:rPr>
          <w:sz w:val="16"/>
          <w:szCs w:val="16"/>
        </w:rPr>
        <w:t>ealth appointment.</w:t>
      </w:r>
    </w:p>
    <w:p w14:paraId="11F9C9C0" w14:textId="76F0A1BA" w:rsidR="001A13F9" w:rsidRPr="00262954" w:rsidRDefault="001A13F9">
      <w:pPr>
        <w:pStyle w:val="FootnoteText"/>
        <w:rPr>
          <w:sz w:val="16"/>
          <w:szCs w:val="16"/>
        </w:rPr>
      </w:pPr>
      <w:r w:rsidRPr="00262954">
        <w:rPr>
          <w:sz w:val="16"/>
          <w:szCs w:val="16"/>
        </w:rPr>
        <w:t xml:space="preserve"> </w:t>
      </w:r>
    </w:p>
  </w:footnote>
  <w:footnote w:id="5">
    <w:p w14:paraId="0B8A0BAC" w14:textId="73F146D9" w:rsidR="00717B2A" w:rsidRDefault="00717B2A">
      <w:pPr>
        <w:pStyle w:val="FootnoteText"/>
      </w:pPr>
      <w:r w:rsidRPr="00262954">
        <w:rPr>
          <w:rStyle w:val="FootnoteReference"/>
          <w:sz w:val="16"/>
          <w:szCs w:val="16"/>
        </w:rPr>
        <w:footnoteRef/>
      </w:r>
      <w:r w:rsidRPr="00262954">
        <w:rPr>
          <w:sz w:val="16"/>
          <w:szCs w:val="16"/>
        </w:rPr>
        <w:t xml:space="preserve"> </w:t>
      </w:r>
      <w:r w:rsidR="00262954">
        <w:rPr>
          <w:sz w:val="16"/>
          <w:szCs w:val="16"/>
        </w:rPr>
        <w:t xml:space="preserve">Terms of reference:   Inquiry to be led by the Hon. Virginia </w:t>
      </w:r>
      <w:r w:rsidRPr="00262954">
        <w:rPr>
          <w:sz w:val="16"/>
          <w:szCs w:val="16"/>
        </w:rPr>
        <w:t xml:space="preserve">Bell </w:t>
      </w:r>
      <w:r w:rsidR="00262954">
        <w:rPr>
          <w:sz w:val="16"/>
          <w:szCs w:val="16"/>
        </w:rPr>
        <w:t xml:space="preserve">AC.  During her time on the High Court, the Court considered a number of </w:t>
      </w:r>
      <w:r w:rsidR="0075448D">
        <w:rPr>
          <w:sz w:val="16"/>
          <w:szCs w:val="16"/>
        </w:rPr>
        <w:t xml:space="preserve">freedom of political expression </w:t>
      </w:r>
      <w:r w:rsidR="00262954">
        <w:rPr>
          <w:sz w:val="16"/>
          <w:szCs w:val="16"/>
        </w:rPr>
        <w:t xml:space="preserve">cases probably relevant to some of the issues.  </w:t>
      </w:r>
      <w:r w:rsidR="0075448D">
        <w:rPr>
          <w:sz w:val="16"/>
          <w:szCs w:val="16"/>
        </w:rPr>
        <w:t xml:space="preserve">In these cases, she made </w:t>
      </w:r>
      <w:r w:rsidRPr="00262954">
        <w:rPr>
          <w:sz w:val="16"/>
          <w:szCs w:val="16"/>
        </w:rPr>
        <w:t>joint judgement</w:t>
      </w:r>
      <w:r w:rsidR="0075448D">
        <w:rPr>
          <w:sz w:val="16"/>
          <w:szCs w:val="16"/>
        </w:rPr>
        <w:t xml:space="preserve">s with other members of the Court, notably Kiefel and Keane: Unions NSW - </w:t>
      </w:r>
      <w:hyperlink r:id="rId7" w:history="1">
        <w:r w:rsidR="0075448D" w:rsidRPr="00262954">
          <w:rPr>
            <w:rStyle w:val="Hyperlink"/>
            <w:sz w:val="16"/>
            <w:szCs w:val="16"/>
          </w:rPr>
          <w:t>http://www7.austlii.edu.au/cgi-bin/viewdoc/au/cases/cth/HCA/2013/58.html</w:t>
        </w:r>
      </w:hyperlink>
      <w:r w:rsidR="0075448D">
        <w:rPr>
          <w:sz w:val="16"/>
          <w:szCs w:val="16"/>
        </w:rPr>
        <w:t>; M</w:t>
      </w:r>
      <w:r w:rsidRPr="00262954">
        <w:rPr>
          <w:sz w:val="16"/>
          <w:szCs w:val="16"/>
        </w:rPr>
        <w:t>c</w:t>
      </w:r>
      <w:r w:rsidR="0075448D">
        <w:rPr>
          <w:sz w:val="16"/>
          <w:szCs w:val="16"/>
        </w:rPr>
        <w:t>C</w:t>
      </w:r>
      <w:r w:rsidRPr="00262954">
        <w:rPr>
          <w:sz w:val="16"/>
          <w:szCs w:val="16"/>
        </w:rPr>
        <w:t>loy</w:t>
      </w:r>
      <w:r w:rsidR="0075448D">
        <w:rPr>
          <w:sz w:val="16"/>
          <w:szCs w:val="16"/>
        </w:rPr>
        <w:t xml:space="preserve"> - </w:t>
      </w:r>
      <w:hyperlink r:id="rId8" w:history="1">
        <w:r w:rsidR="0075448D" w:rsidRPr="00642A93">
          <w:rPr>
            <w:rStyle w:val="Hyperlink"/>
            <w:sz w:val="16"/>
            <w:szCs w:val="16"/>
          </w:rPr>
          <w:t>https://eresources.hcourt.gov.au/downloadPdf/2015/HCA/34</w:t>
        </w:r>
      </w:hyperlink>
      <w:r w:rsidR="0075448D">
        <w:rPr>
          <w:sz w:val="16"/>
          <w:szCs w:val="16"/>
        </w:rPr>
        <w:t xml:space="preserve">; Banjeri - </w:t>
      </w:r>
      <w:hyperlink r:id="rId9" w:history="1">
        <w:r w:rsidRPr="00262954">
          <w:rPr>
            <w:rStyle w:val="Hyperlink"/>
            <w:sz w:val="16"/>
            <w:szCs w:val="16"/>
          </w:rPr>
          <w:t>http://www.austlii.edu.au/cgi-bin/viewdoc/au/cases/cth/HCA/2019/23.html?context=1;query=banerji;mask_path=%C2%A0</w:t>
        </w:r>
      </w:hyperlink>
      <w:r w:rsidR="0075448D">
        <w:rPr>
          <w:sz w:val="16"/>
          <w:szCs w:val="16"/>
        </w:rPr>
        <w:t xml:space="preserve">; Clubb - </w:t>
      </w:r>
      <w:hyperlink r:id="rId10" w:history="1">
        <w:r w:rsidR="0075448D" w:rsidRPr="00642A93">
          <w:rPr>
            <w:rStyle w:val="Hyperlink"/>
            <w:sz w:val="16"/>
            <w:szCs w:val="16"/>
          </w:rPr>
          <w:t>https://eresources.hcourt.gov.au/downloadPdf/2019/HCA/11</w:t>
        </w:r>
      </w:hyperlink>
      <w:r w:rsidR="0075448D">
        <w:rPr>
          <w:sz w:val="16"/>
          <w:szCs w:val="16"/>
        </w:rPr>
        <w:t xml:space="preserve">.  See section </w:t>
      </w:r>
      <w:r w:rsidR="00661692">
        <w:rPr>
          <w:sz w:val="16"/>
          <w:szCs w:val="16"/>
        </w:rPr>
        <w:t>5.3</w:t>
      </w:r>
      <w:r w:rsidR="0075448D">
        <w:rPr>
          <w:sz w:val="16"/>
          <w:szCs w:val="16"/>
        </w:rPr>
        <w:t xml:space="preserve"> of this article.  Other recently retired justices include the Hon. Kenneth Hayne AC and the Hon. Gordon Nettle AC.</w:t>
      </w:r>
      <w:r w:rsidR="00820F3E">
        <w:rPr>
          <w:sz w:val="16"/>
          <w:szCs w:val="16"/>
        </w:rPr>
        <w:t xml:space="preserve"> High Court justice: </w:t>
      </w:r>
      <w:hyperlink r:id="rId11" w:history="1">
        <w:r w:rsidR="00820F3E" w:rsidRPr="001D4D9D">
          <w:rPr>
            <w:rStyle w:val="Hyperlink"/>
            <w:sz w:val="16"/>
            <w:szCs w:val="16"/>
          </w:rPr>
          <w:t>http://classic.austlii.edu.au/au/journals/NSWBarAssocNews/2009/29.pdf</w:t>
        </w:r>
      </w:hyperlink>
    </w:p>
  </w:footnote>
  <w:footnote w:id="6">
    <w:p w14:paraId="1CB2472A" w14:textId="2F4B67B1" w:rsidR="00EC4946" w:rsidRPr="00BC5774" w:rsidRDefault="00EC4946">
      <w:pPr>
        <w:pStyle w:val="FootnoteText"/>
        <w:rPr>
          <w:sz w:val="16"/>
          <w:szCs w:val="16"/>
        </w:rPr>
      </w:pPr>
      <w:r w:rsidRPr="00BC5774">
        <w:rPr>
          <w:rStyle w:val="FootnoteReference"/>
          <w:sz w:val="16"/>
          <w:szCs w:val="16"/>
        </w:rPr>
        <w:footnoteRef/>
      </w:r>
      <w:r w:rsidRPr="00BC5774">
        <w:rPr>
          <w:sz w:val="16"/>
          <w:szCs w:val="16"/>
        </w:rPr>
        <w:t xml:space="preserve"> </w:t>
      </w:r>
      <w:r w:rsidR="00A66F9D">
        <w:rPr>
          <w:sz w:val="16"/>
          <w:szCs w:val="16"/>
        </w:rPr>
        <w:t xml:space="preserve">Other Ministers: </w:t>
      </w:r>
      <w:r w:rsidRPr="00BC5774">
        <w:rPr>
          <w:sz w:val="16"/>
          <w:szCs w:val="16"/>
        </w:rPr>
        <w:t xml:space="preserve">Senator Duniam, Mr Porter, Ms Landry: </w:t>
      </w:r>
      <w:hyperlink r:id="rId12" w:history="1">
        <w:r w:rsidRPr="00BC5774">
          <w:rPr>
            <w:rStyle w:val="Hyperlink"/>
            <w:sz w:val="16"/>
            <w:szCs w:val="16"/>
          </w:rPr>
          <w:t>https://www.minister.industry.gov.au/ministers/archive</w:t>
        </w:r>
      </w:hyperlink>
    </w:p>
    <w:p w14:paraId="175838D2" w14:textId="77777777" w:rsidR="00EC4946" w:rsidRPr="00BC5774" w:rsidRDefault="00EC4946">
      <w:pPr>
        <w:pStyle w:val="FootnoteText"/>
        <w:rPr>
          <w:sz w:val="16"/>
          <w:szCs w:val="16"/>
        </w:rPr>
      </w:pPr>
    </w:p>
  </w:footnote>
  <w:footnote w:id="7">
    <w:p w14:paraId="0D0E5301" w14:textId="2D70D56D" w:rsidR="00150423" w:rsidRPr="00BC5774" w:rsidRDefault="00150423">
      <w:pPr>
        <w:pStyle w:val="FootnoteText"/>
        <w:rPr>
          <w:sz w:val="16"/>
          <w:szCs w:val="16"/>
        </w:rPr>
      </w:pPr>
      <w:r w:rsidRPr="00BC5774">
        <w:rPr>
          <w:rStyle w:val="FootnoteReference"/>
          <w:sz w:val="16"/>
          <w:szCs w:val="16"/>
        </w:rPr>
        <w:footnoteRef/>
      </w:r>
      <w:r w:rsidRPr="00BC5774">
        <w:rPr>
          <w:sz w:val="16"/>
          <w:szCs w:val="16"/>
        </w:rPr>
        <w:t xml:space="preserve"> </w:t>
      </w:r>
      <w:hyperlink r:id="rId13" w:history="1">
        <w:r w:rsidRPr="00BC5774">
          <w:rPr>
            <w:rStyle w:val="Hyperlink"/>
            <w:sz w:val="16"/>
            <w:szCs w:val="16"/>
          </w:rPr>
          <w:t>https://www.canberratimes.com.au/story/7862308/kennedy-pezzullo-unaware-of-morrisons-secret-ministries/</w:t>
        </w:r>
      </w:hyperlink>
      <w:r w:rsidRPr="00BC5774">
        <w:rPr>
          <w:sz w:val="16"/>
          <w:szCs w:val="16"/>
        </w:rPr>
        <w:t>; spies</w:t>
      </w:r>
      <w:r w:rsidR="00BC5774">
        <w:rPr>
          <w:sz w:val="16"/>
          <w:szCs w:val="16"/>
        </w:rPr>
        <w:t>:</w:t>
      </w:r>
      <w:r w:rsidRPr="00BC5774">
        <w:rPr>
          <w:sz w:val="16"/>
          <w:szCs w:val="16"/>
        </w:rPr>
        <w:t xml:space="preserve"> </w:t>
      </w:r>
      <w:hyperlink r:id="rId14" w:history="1">
        <w:r w:rsidRPr="00BC5774">
          <w:rPr>
            <w:rStyle w:val="Hyperlink"/>
            <w:sz w:val="16"/>
            <w:szCs w:val="16"/>
          </w:rPr>
          <w:t>https://thenewdaily.com.au/news/politics/australian-politics/2022/08/17/scott-morrison-secret-portfolio/</w:t>
        </w:r>
      </w:hyperlink>
    </w:p>
  </w:footnote>
  <w:footnote w:id="8">
    <w:p w14:paraId="147DE371" w14:textId="77777777" w:rsidR="006A0936" w:rsidRDefault="006A0936">
      <w:pPr>
        <w:pStyle w:val="FootnoteText"/>
        <w:rPr>
          <w:sz w:val="16"/>
          <w:szCs w:val="16"/>
        </w:rPr>
      </w:pPr>
    </w:p>
    <w:p w14:paraId="5A4CBA65" w14:textId="10FB51CD" w:rsidR="00282FA0" w:rsidRPr="003F3F16" w:rsidRDefault="00282FA0">
      <w:pPr>
        <w:pStyle w:val="FootnoteText"/>
        <w:rPr>
          <w:sz w:val="16"/>
          <w:szCs w:val="16"/>
        </w:rPr>
      </w:pPr>
      <w:r w:rsidRPr="003F3F16">
        <w:rPr>
          <w:rStyle w:val="FootnoteReference"/>
          <w:sz w:val="16"/>
          <w:szCs w:val="16"/>
        </w:rPr>
        <w:footnoteRef/>
      </w:r>
      <w:r w:rsidRPr="003F3F16">
        <w:rPr>
          <w:sz w:val="16"/>
          <w:szCs w:val="16"/>
        </w:rPr>
        <w:t xml:space="preserve"> </w:t>
      </w:r>
      <w:hyperlink r:id="rId15" w:history="1">
        <w:r w:rsidRPr="003F3F16">
          <w:rPr>
            <w:rStyle w:val="Hyperlink"/>
            <w:sz w:val="16"/>
            <w:szCs w:val="16"/>
          </w:rPr>
          <w:t>https://www.dailymail.co.uk/news/article-11122293/Plagued-book-reveals-Scott-Morrison-fell-power-Covid-pandemic.html</w:t>
        </w:r>
      </w:hyperlink>
    </w:p>
    <w:p w14:paraId="73492C2B" w14:textId="77777777" w:rsidR="00282FA0" w:rsidRPr="003F3F16" w:rsidRDefault="00282FA0">
      <w:pPr>
        <w:pStyle w:val="FootnoteText"/>
        <w:rPr>
          <w:sz w:val="16"/>
          <w:szCs w:val="16"/>
        </w:rPr>
      </w:pPr>
    </w:p>
  </w:footnote>
  <w:footnote w:id="9">
    <w:p w14:paraId="64383FD8" w14:textId="36EDF6C0" w:rsidR="007C2799" w:rsidRPr="003F3F16" w:rsidRDefault="007C2799">
      <w:pPr>
        <w:pStyle w:val="FootnoteText"/>
        <w:rPr>
          <w:sz w:val="16"/>
          <w:szCs w:val="16"/>
        </w:rPr>
      </w:pPr>
      <w:r w:rsidRPr="003F3F16">
        <w:rPr>
          <w:rStyle w:val="FootnoteReference"/>
          <w:sz w:val="16"/>
          <w:szCs w:val="16"/>
        </w:rPr>
        <w:footnoteRef/>
      </w:r>
      <w:r w:rsidRPr="003F3F16">
        <w:rPr>
          <w:sz w:val="16"/>
          <w:szCs w:val="16"/>
        </w:rPr>
        <w:t xml:space="preserve"> </w:t>
      </w:r>
      <w:hyperlink r:id="rId16" w:history="1">
        <w:r w:rsidR="000B7739" w:rsidRPr="003F3F16">
          <w:rPr>
            <w:rStyle w:val="Hyperlink"/>
            <w:sz w:val="16"/>
            <w:szCs w:val="16"/>
          </w:rPr>
          <w:t>https://www.theaustralian.com.au/nation/politics/asset-energy-in-push-to-overturn-block-on-pep11-gas-exploration-permit/news-story/b576535fe9912d032a633bc74ed1de00</w:t>
        </w:r>
      </w:hyperlink>
    </w:p>
    <w:p w14:paraId="1F2554EA" w14:textId="77777777" w:rsidR="000B7739" w:rsidRPr="003F3F16" w:rsidRDefault="000B7739">
      <w:pPr>
        <w:pStyle w:val="FootnoteText"/>
        <w:rPr>
          <w:sz w:val="16"/>
          <w:szCs w:val="16"/>
        </w:rPr>
      </w:pPr>
    </w:p>
  </w:footnote>
  <w:footnote w:id="10">
    <w:p w14:paraId="1C54D489" w14:textId="200BCB17" w:rsidR="00BC3DEF" w:rsidRPr="00BC5774" w:rsidRDefault="00BC3DEF" w:rsidP="00CE5F2E">
      <w:pPr>
        <w:spacing w:after="0"/>
        <w:rPr>
          <w:sz w:val="16"/>
          <w:szCs w:val="16"/>
        </w:rPr>
      </w:pPr>
      <w:r w:rsidRPr="003F3F16">
        <w:rPr>
          <w:rStyle w:val="FootnoteReference"/>
          <w:sz w:val="16"/>
          <w:szCs w:val="16"/>
        </w:rPr>
        <w:footnoteRef/>
      </w:r>
      <w:r w:rsidRPr="003F3F16">
        <w:rPr>
          <w:sz w:val="16"/>
          <w:szCs w:val="16"/>
        </w:rPr>
        <w:t xml:space="preserve"> </w:t>
      </w:r>
      <w:hyperlink r:id="rId17" w:history="1">
        <w:r w:rsidRPr="003F3F16">
          <w:rPr>
            <w:rStyle w:val="Hyperlink"/>
            <w:sz w:val="16"/>
            <w:szCs w:val="16"/>
          </w:rPr>
          <w:t>https://www.pmc.gov.au/sites/default/files/sg-no-12-of-2022.pdf</w:t>
        </w:r>
      </w:hyperlink>
      <w:r w:rsidRPr="003F3F16">
        <w:rPr>
          <w:sz w:val="16"/>
          <w:szCs w:val="16"/>
        </w:rPr>
        <w:t>. The file name implies this was the twel</w:t>
      </w:r>
      <w:r w:rsidR="007C2799" w:rsidRPr="003F3F16">
        <w:rPr>
          <w:sz w:val="16"/>
          <w:szCs w:val="16"/>
        </w:rPr>
        <w:t>f</w:t>
      </w:r>
      <w:r w:rsidRPr="003F3F16">
        <w:rPr>
          <w:sz w:val="16"/>
          <w:szCs w:val="16"/>
        </w:rPr>
        <w:t xml:space="preserve">th </w:t>
      </w:r>
      <w:r w:rsidR="007C2799" w:rsidRPr="003F3F16">
        <w:rPr>
          <w:sz w:val="16"/>
          <w:szCs w:val="16"/>
        </w:rPr>
        <w:t>opinion</w:t>
      </w:r>
      <w:r w:rsidRPr="003F3F16">
        <w:rPr>
          <w:sz w:val="16"/>
          <w:szCs w:val="16"/>
        </w:rPr>
        <w:t xml:space="preserve"> from the Solicitor General </w:t>
      </w:r>
      <w:r w:rsidR="00B6527A" w:rsidRPr="003F3F16">
        <w:rPr>
          <w:sz w:val="16"/>
          <w:szCs w:val="16"/>
        </w:rPr>
        <w:t>in</w:t>
      </w:r>
      <w:r w:rsidRPr="003F3F16">
        <w:rPr>
          <w:sz w:val="16"/>
          <w:szCs w:val="16"/>
        </w:rPr>
        <w:t xml:space="preserve"> 2022.  </w:t>
      </w:r>
      <w:r w:rsidR="007C2799" w:rsidRPr="003F3F16">
        <w:rPr>
          <w:sz w:val="16"/>
          <w:szCs w:val="16"/>
        </w:rPr>
        <w:t xml:space="preserve">The eleven </w:t>
      </w:r>
      <w:r w:rsidR="00D35EE3">
        <w:rPr>
          <w:sz w:val="16"/>
          <w:szCs w:val="16"/>
        </w:rPr>
        <w:t xml:space="preserve">(?) </w:t>
      </w:r>
      <w:r w:rsidR="007C2799" w:rsidRPr="003F3F16">
        <w:rPr>
          <w:sz w:val="16"/>
          <w:szCs w:val="16"/>
        </w:rPr>
        <w:t>other opinions have not been published</w:t>
      </w:r>
      <w:r w:rsidRPr="003F3F16">
        <w:rPr>
          <w:sz w:val="16"/>
          <w:szCs w:val="16"/>
        </w:rPr>
        <w:t>.</w:t>
      </w:r>
      <w:r w:rsidR="003F3F16" w:rsidRPr="003F3F16">
        <w:rPr>
          <w:sz w:val="16"/>
          <w:szCs w:val="16"/>
        </w:rPr>
        <w:t xml:space="preserve"> </w:t>
      </w:r>
      <w:hyperlink r:id="rId18" w:history="1">
        <w:r w:rsidR="00411C4A" w:rsidRPr="00642A93">
          <w:rPr>
            <w:rStyle w:val="Hyperlink"/>
            <w:sz w:val="16"/>
            <w:szCs w:val="16"/>
          </w:rPr>
          <w:t>https://theconversation.com/view-from-the-hill-morrisons-passion-for-control-trashed-conventions-and-accountability-188747</w:t>
        </w:r>
      </w:hyperlink>
    </w:p>
  </w:footnote>
  <w:footnote w:id="11">
    <w:p w14:paraId="2E9CC38C" w14:textId="57F81EF4" w:rsidR="005A167F" w:rsidRDefault="005A167F">
      <w:pPr>
        <w:pStyle w:val="FootnoteText"/>
        <w:rPr>
          <w:sz w:val="16"/>
          <w:szCs w:val="16"/>
        </w:rPr>
      </w:pPr>
      <w:r w:rsidRPr="005A167F">
        <w:rPr>
          <w:rStyle w:val="FootnoteReference"/>
          <w:sz w:val="16"/>
          <w:szCs w:val="16"/>
        </w:rPr>
        <w:footnoteRef/>
      </w:r>
      <w:r w:rsidRPr="005A167F">
        <w:rPr>
          <w:sz w:val="16"/>
          <w:szCs w:val="16"/>
        </w:rPr>
        <w:t xml:space="preserve"> At the time</w:t>
      </w:r>
      <w:r w:rsidR="004520ED">
        <w:rPr>
          <w:sz w:val="16"/>
          <w:szCs w:val="16"/>
        </w:rPr>
        <w:t>,</w:t>
      </w:r>
      <w:r w:rsidRPr="005A167F">
        <w:rPr>
          <w:sz w:val="16"/>
          <w:szCs w:val="16"/>
        </w:rPr>
        <w:t xml:space="preserve"> Australia had </w:t>
      </w:r>
      <w:r w:rsidR="006A0936">
        <w:rPr>
          <w:sz w:val="16"/>
          <w:szCs w:val="16"/>
        </w:rPr>
        <w:t xml:space="preserve">globally </w:t>
      </w:r>
      <w:r w:rsidRPr="005A167F">
        <w:rPr>
          <w:sz w:val="16"/>
          <w:szCs w:val="16"/>
        </w:rPr>
        <w:t xml:space="preserve">notorious episodes of ‘panicdemic’ from </w:t>
      </w:r>
      <w:r>
        <w:rPr>
          <w:sz w:val="16"/>
          <w:szCs w:val="16"/>
        </w:rPr>
        <w:t xml:space="preserve">naked fearmongering on the ABC through </w:t>
      </w:r>
      <w:r w:rsidRPr="005A167F">
        <w:rPr>
          <w:sz w:val="16"/>
          <w:szCs w:val="16"/>
        </w:rPr>
        <w:t>applause for lock-downs</w:t>
      </w:r>
      <w:r>
        <w:rPr>
          <w:sz w:val="16"/>
          <w:szCs w:val="16"/>
        </w:rPr>
        <w:t>,</w:t>
      </w:r>
      <w:r w:rsidRPr="005A167F">
        <w:rPr>
          <w:sz w:val="16"/>
          <w:szCs w:val="16"/>
        </w:rPr>
        <w:t xml:space="preserve"> </w:t>
      </w:r>
      <w:r>
        <w:rPr>
          <w:sz w:val="16"/>
          <w:szCs w:val="16"/>
        </w:rPr>
        <w:t xml:space="preserve">discrimination and even vigilante action against ‘other people’, </w:t>
      </w:r>
      <w:r w:rsidRPr="005A167F">
        <w:rPr>
          <w:sz w:val="16"/>
          <w:szCs w:val="16"/>
        </w:rPr>
        <w:t>to toilet paper shortages</w:t>
      </w:r>
      <w:r w:rsidR="004E4A82">
        <w:rPr>
          <w:sz w:val="16"/>
          <w:szCs w:val="16"/>
        </w:rPr>
        <w:t xml:space="preserve"> e.g. </w:t>
      </w:r>
      <w:hyperlink r:id="rId19" w:history="1">
        <w:r w:rsidR="004E4A82" w:rsidRPr="00AA6460">
          <w:rPr>
            <w:rStyle w:val="Hyperlink"/>
            <w:sz w:val="16"/>
            <w:szCs w:val="16"/>
          </w:rPr>
          <w:t>https://www.abs.gov.au/articles/impact-lockdowns-household-consumption-insights-alternative-data-sources</w:t>
        </w:r>
      </w:hyperlink>
    </w:p>
    <w:p w14:paraId="751C0BA9" w14:textId="0DF313C8" w:rsidR="005A167F" w:rsidRPr="005F2A44" w:rsidRDefault="005A167F">
      <w:pPr>
        <w:pStyle w:val="FootnoteText"/>
        <w:rPr>
          <w:sz w:val="16"/>
          <w:szCs w:val="16"/>
        </w:rPr>
      </w:pPr>
    </w:p>
  </w:footnote>
  <w:footnote w:id="12">
    <w:p w14:paraId="05562DFE" w14:textId="70B94280" w:rsidR="005F2A44" w:rsidRPr="005F2A44" w:rsidRDefault="005F2A44">
      <w:pPr>
        <w:pStyle w:val="FootnoteText"/>
        <w:rPr>
          <w:sz w:val="16"/>
          <w:szCs w:val="16"/>
        </w:rPr>
      </w:pPr>
      <w:r w:rsidRPr="005F2A44">
        <w:rPr>
          <w:rStyle w:val="FootnoteReference"/>
          <w:sz w:val="16"/>
          <w:szCs w:val="16"/>
        </w:rPr>
        <w:footnoteRef/>
      </w:r>
      <w:r w:rsidRPr="005F2A44">
        <w:rPr>
          <w:sz w:val="16"/>
          <w:szCs w:val="16"/>
        </w:rPr>
        <w:t xml:space="preserve"> </w:t>
      </w:r>
      <w:hyperlink r:id="rId20" w:history="1">
        <w:r w:rsidRPr="005F2A44">
          <w:rPr>
            <w:rStyle w:val="Hyperlink"/>
            <w:sz w:val="16"/>
            <w:szCs w:val="16"/>
          </w:rPr>
          <w:t>https://www.southcoastregister.com.au/story/7862842/betrayal-of-trust-karen-andrews-tells-morrison-to-resign-from-parliament/</w:t>
        </w:r>
      </w:hyperlink>
    </w:p>
    <w:p w14:paraId="77B1E092" w14:textId="77777777" w:rsidR="005F2A44" w:rsidRPr="005F2A44" w:rsidRDefault="005F2A44">
      <w:pPr>
        <w:pStyle w:val="FootnoteText"/>
        <w:rPr>
          <w:sz w:val="16"/>
          <w:szCs w:val="16"/>
        </w:rPr>
      </w:pPr>
    </w:p>
  </w:footnote>
  <w:footnote w:id="13">
    <w:p w14:paraId="30FF0432" w14:textId="2B66CC35" w:rsidR="00857BBB" w:rsidRPr="00BC5774" w:rsidRDefault="00857BBB">
      <w:pPr>
        <w:pStyle w:val="FootnoteText"/>
        <w:rPr>
          <w:sz w:val="16"/>
          <w:szCs w:val="16"/>
        </w:rPr>
      </w:pPr>
      <w:r w:rsidRPr="00BC5774">
        <w:rPr>
          <w:rStyle w:val="FootnoteReference"/>
          <w:sz w:val="16"/>
          <w:szCs w:val="16"/>
        </w:rPr>
        <w:footnoteRef/>
      </w:r>
      <w:r w:rsidRPr="00BC5774">
        <w:rPr>
          <w:sz w:val="16"/>
          <w:szCs w:val="16"/>
        </w:rPr>
        <w:t xml:space="preserve"> </w:t>
      </w:r>
      <w:hyperlink r:id="rId21" w:history="1">
        <w:r w:rsidRPr="00BC5774">
          <w:rPr>
            <w:rStyle w:val="Hyperlink"/>
            <w:sz w:val="16"/>
            <w:szCs w:val="16"/>
          </w:rPr>
          <w:t>https://www.ag.gov.au/about-us/publications/inquiry-multiple-ministerial-appointments</w:t>
        </w:r>
      </w:hyperlink>
    </w:p>
    <w:p w14:paraId="16041C4A" w14:textId="77777777" w:rsidR="00857BBB" w:rsidRPr="00BC5774" w:rsidRDefault="00857BBB">
      <w:pPr>
        <w:pStyle w:val="FootnoteText"/>
        <w:rPr>
          <w:sz w:val="16"/>
          <w:szCs w:val="16"/>
        </w:rPr>
      </w:pPr>
    </w:p>
  </w:footnote>
  <w:footnote w:id="14">
    <w:p w14:paraId="6473793B" w14:textId="77777777" w:rsidR="00B6527A" w:rsidRDefault="00137A67" w:rsidP="00137A67">
      <w:pPr>
        <w:spacing w:after="0" w:line="240" w:lineRule="auto"/>
        <w:jc w:val="both"/>
        <w:rPr>
          <w:sz w:val="16"/>
          <w:szCs w:val="16"/>
        </w:rPr>
      </w:pPr>
      <w:r w:rsidRPr="00911A8C">
        <w:rPr>
          <w:rStyle w:val="FootnoteReference"/>
          <w:sz w:val="16"/>
          <w:szCs w:val="16"/>
        </w:rPr>
        <w:footnoteRef/>
      </w:r>
      <w:r w:rsidRPr="00911A8C">
        <w:rPr>
          <w:sz w:val="16"/>
          <w:szCs w:val="16"/>
        </w:rPr>
        <w:t xml:space="preserve"> In 2001, the High Court unanimously held a Minister can administer several Departments and a Department (and legislation) can be administered by several Ministers – Re Patterson; ex parte Taylor </w:t>
      </w:r>
      <w:hyperlink r:id="rId22" w:history="1">
        <w:r w:rsidRPr="00911A8C">
          <w:rPr>
            <w:rStyle w:val="Hyperlink"/>
            <w:sz w:val="16"/>
            <w:szCs w:val="16"/>
          </w:rPr>
          <w:t>https://jade.io/article/68286</w:t>
        </w:r>
      </w:hyperlink>
      <w:r w:rsidRPr="00911A8C">
        <w:rPr>
          <w:sz w:val="16"/>
          <w:szCs w:val="16"/>
        </w:rPr>
        <w:t xml:space="preserve">  </w:t>
      </w:r>
    </w:p>
    <w:p w14:paraId="17AED470" w14:textId="60E3E96B" w:rsidR="00137A67" w:rsidRPr="00BC5774" w:rsidRDefault="00AF0060" w:rsidP="00137A67">
      <w:pPr>
        <w:pStyle w:val="FootnoteText"/>
        <w:rPr>
          <w:sz w:val="16"/>
          <w:szCs w:val="16"/>
        </w:rPr>
      </w:pPr>
      <w:r>
        <w:rPr>
          <w:sz w:val="16"/>
          <w:szCs w:val="16"/>
        </w:rPr>
        <w:t xml:space="preserve"> </w:t>
      </w:r>
    </w:p>
  </w:footnote>
  <w:footnote w:id="15">
    <w:p w14:paraId="2F973591" w14:textId="2CB5FC3F" w:rsidR="00133B54" w:rsidRDefault="00133B54">
      <w:pPr>
        <w:pStyle w:val="FootnoteText"/>
        <w:rPr>
          <w:sz w:val="16"/>
          <w:szCs w:val="16"/>
        </w:rPr>
      </w:pPr>
      <w:r w:rsidRPr="00BC5774">
        <w:rPr>
          <w:rStyle w:val="FootnoteReference"/>
          <w:sz w:val="16"/>
          <w:szCs w:val="16"/>
        </w:rPr>
        <w:footnoteRef/>
      </w:r>
      <w:r w:rsidRPr="00BC5774">
        <w:rPr>
          <w:sz w:val="16"/>
          <w:szCs w:val="16"/>
        </w:rPr>
        <w:t xml:space="preserve"> </w:t>
      </w:r>
      <w:r w:rsidR="00FD6DD7" w:rsidRPr="00BC5774">
        <w:rPr>
          <w:sz w:val="16"/>
          <w:szCs w:val="16"/>
        </w:rPr>
        <w:t xml:space="preserve">Current administrative orders list 16 Departments, of which one – Veterans Affairs – is part of another (Defence) portfolio. </w:t>
      </w:r>
      <w:hyperlink r:id="rId23" w:history="1">
        <w:r w:rsidR="00FD6DD7" w:rsidRPr="00BC5774">
          <w:rPr>
            <w:rStyle w:val="Hyperlink"/>
            <w:sz w:val="16"/>
            <w:szCs w:val="16"/>
          </w:rPr>
          <w:t>https://www.pmc.gov.au/sites/default/files/publications/administrative-arrangements-order-23-June-2022.pdf</w:t>
        </w:r>
      </w:hyperlink>
    </w:p>
    <w:p w14:paraId="21D5F2DF" w14:textId="77777777" w:rsidR="00BC5774" w:rsidRPr="00BC5774" w:rsidRDefault="00BC5774">
      <w:pPr>
        <w:pStyle w:val="FootnoteText"/>
        <w:rPr>
          <w:sz w:val="16"/>
          <w:szCs w:val="16"/>
        </w:rPr>
      </w:pPr>
    </w:p>
  </w:footnote>
  <w:footnote w:id="16">
    <w:p w14:paraId="16BDEA9C" w14:textId="6B68AD76" w:rsidR="00527D07" w:rsidRPr="00527D07" w:rsidRDefault="005D1B14">
      <w:pPr>
        <w:pStyle w:val="FootnoteText"/>
        <w:rPr>
          <w:sz w:val="16"/>
          <w:szCs w:val="16"/>
        </w:rPr>
      </w:pPr>
      <w:r w:rsidRPr="00527D07">
        <w:rPr>
          <w:rStyle w:val="FootnoteReference"/>
          <w:sz w:val="16"/>
          <w:szCs w:val="16"/>
        </w:rPr>
        <w:footnoteRef/>
      </w:r>
      <w:r w:rsidRPr="00527D07">
        <w:rPr>
          <w:sz w:val="16"/>
          <w:szCs w:val="16"/>
        </w:rPr>
        <w:t xml:space="preserve"> </w:t>
      </w:r>
      <w:r w:rsidR="006140CD" w:rsidRPr="00527D07">
        <w:rPr>
          <w:sz w:val="16"/>
          <w:szCs w:val="16"/>
        </w:rPr>
        <w:t xml:space="preserve">However, legislation may limit the number of Ministers or </w:t>
      </w:r>
      <w:r w:rsidR="006A0936">
        <w:rPr>
          <w:sz w:val="16"/>
          <w:szCs w:val="16"/>
        </w:rPr>
        <w:t xml:space="preserve">it may </w:t>
      </w:r>
      <w:r w:rsidR="006140CD" w:rsidRPr="00527D07">
        <w:rPr>
          <w:sz w:val="16"/>
          <w:szCs w:val="16"/>
        </w:rPr>
        <w:t xml:space="preserve">delegate powers to a Minister with a specific title </w:t>
      </w:r>
      <w:r w:rsidR="000308C4" w:rsidRPr="00527D07">
        <w:rPr>
          <w:sz w:val="16"/>
          <w:szCs w:val="16"/>
        </w:rPr>
        <w:t>e.g.,</w:t>
      </w:r>
      <w:r w:rsidR="006140CD" w:rsidRPr="00527D07">
        <w:rPr>
          <w:sz w:val="16"/>
          <w:szCs w:val="16"/>
        </w:rPr>
        <w:t xml:space="preserve"> Prime Minister </w:t>
      </w:r>
    </w:p>
    <w:p w14:paraId="4EC09FA1" w14:textId="4D3C20AA" w:rsidR="005D1B14" w:rsidRPr="00BC5774" w:rsidRDefault="005D1B14">
      <w:pPr>
        <w:pStyle w:val="FootnoteText"/>
        <w:rPr>
          <w:sz w:val="16"/>
          <w:szCs w:val="16"/>
        </w:rPr>
      </w:pPr>
      <w:r w:rsidRPr="00BC5774">
        <w:rPr>
          <w:sz w:val="16"/>
          <w:szCs w:val="16"/>
        </w:rPr>
        <w:t xml:space="preserve">At present </w:t>
      </w:r>
      <w:r w:rsidR="00977D17">
        <w:rPr>
          <w:sz w:val="16"/>
          <w:szCs w:val="16"/>
        </w:rPr>
        <w:t xml:space="preserve">legislation limits </w:t>
      </w:r>
      <w:r w:rsidRPr="00BC5774">
        <w:rPr>
          <w:sz w:val="16"/>
          <w:szCs w:val="16"/>
        </w:rPr>
        <w:t xml:space="preserve">the Ministry </w:t>
      </w:r>
      <w:r w:rsidR="00977D17">
        <w:rPr>
          <w:sz w:val="16"/>
          <w:szCs w:val="16"/>
        </w:rPr>
        <w:t>to</w:t>
      </w:r>
      <w:r w:rsidRPr="00BC5774">
        <w:rPr>
          <w:sz w:val="16"/>
          <w:szCs w:val="16"/>
        </w:rPr>
        <w:t xml:space="preserve"> 30 </w:t>
      </w:r>
      <w:r w:rsidR="00977D17">
        <w:rPr>
          <w:sz w:val="16"/>
          <w:szCs w:val="16"/>
        </w:rPr>
        <w:t xml:space="preserve">different individuals </w:t>
      </w:r>
      <w:r w:rsidRPr="00BC5774">
        <w:rPr>
          <w:sz w:val="16"/>
          <w:szCs w:val="16"/>
        </w:rPr>
        <w:t xml:space="preserve">and </w:t>
      </w:r>
      <w:r w:rsidR="00977D17">
        <w:rPr>
          <w:sz w:val="16"/>
          <w:szCs w:val="16"/>
        </w:rPr>
        <w:t xml:space="preserve">to </w:t>
      </w:r>
      <w:r w:rsidRPr="00BC5774">
        <w:rPr>
          <w:sz w:val="16"/>
          <w:szCs w:val="16"/>
        </w:rPr>
        <w:t xml:space="preserve">12 Parliamentary Secretaries. </w:t>
      </w:r>
      <w:r w:rsidR="00FE7EF4" w:rsidRPr="00BC5774">
        <w:rPr>
          <w:sz w:val="16"/>
          <w:szCs w:val="16"/>
        </w:rPr>
        <w:t xml:space="preserve">  </w:t>
      </w:r>
      <w:hyperlink r:id="rId24" w:history="1">
        <w:r w:rsidR="00137A67" w:rsidRPr="00BC5774">
          <w:rPr>
            <w:rStyle w:val="Hyperlink"/>
            <w:sz w:val="16"/>
            <w:szCs w:val="16"/>
          </w:rPr>
          <w:t>https://www.aph.gov.au/About_Parliament/House_of_Representatives/Powers_practice_and_procedure/Practice7/HTML/Chapter2/The_Ministry</w:t>
        </w:r>
      </w:hyperlink>
      <w:r w:rsidR="00FE7EF4" w:rsidRPr="00BC5774">
        <w:rPr>
          <w:sz w:val="16"/>
          <w:szCs w:val="16"/>
        </w:rPr>
        <w:t xml:space="preserve">  The Albanese </w:t>
      </w:r>
      <w:r w:rsidR="00DE375C" w:rsidRPr="00BC5774">
        <w:rPr>
          <w:sz w:val="16"/>
          <w:szCs w:val="16"/>
        </w:rPr>
        <w:t xml:space="preserve">Labor </w:t>
      </w:r>
      <w:r w:rsidR="00FE7EF4" w:rsidRPr="00BC5774">
        <w:rPr>
          <w:sz w:val="16"/>
          <w:szCs w:val="16"/>
        </w:rPr>
        <w:t>Government</w:t>
      </w:r>
      <w:r w:rsidR="007C6020">
        <w:rPr>
          <w:sz w:val="16"/>
          <w:szCs w:val="16"/>
        </w:rPr>
        <w:t xml:space="preserve"> – like its Morrison Coalition predecessor -</w:t>
      </w:r>
      <w:r w:rsidR="00FE7EF4" w:rsidRPr="00BC5774">
        <w:rPr>
          <w:sz w:val="16"/>
          <w:szCs w:val="16"/>
        </w:rPr>
        <w:t xml:space="preserve"> is using the full quota allowed</w:t>
      </w:r>
      <w:r w:rsidR="0049099A">
        <w:rPr>
          <w:sz w:val="16"/>
          <w:szCs w:val="16"/>
        </w:rPr>
        <w:t>.  It has</w:t>
      </w:r>
      <w:r w:rsidR="00FE7EF4" w:rsidRPr="00BC5774">
        <w:rPr>
          <w:sz w:val="16"/>
          <w:szCs w:val="16"/>
        </w:rPr>
        <w:t xml:space="preserve"> 23 Cabinet</w:t>
      </w:r>
      <w:r w:rsidR="0049099A">
        <w:rPr>
          <w:sz w:val="16"/>
          <w:szCs w:val="16"/>
        </w:rPr>
        <w:t xml:space="preserve"> Ministers</w:t>
      </w:r>
      <w:r w:rsidR="00FE7EF4" w:rsidRPr="00BC5774">
        <w:rPr>
          <w:sz w:val="16"/>
          <w:szCs w:val="16"/>
        </w:rPr>
        <w:t>, 7 Outer Minist</w:t>
      </w:r>
      <w:r w:rsidR="0049099A">
        <w:rPr>
          <w:sz w:val="16"/>
          <w:szCs w:val="16"/>
        </w:rPr>
        <w:t>ers</w:t>
      </w:r>
      <w:r w:rsidR="00FE7EF4" w:rsidRPr="00BC5774">
        <w:rPr>
          <w:sz w:val="16"/>
          <w:szCs w:val="16"/>
        </w:rPr>
        <w:t xml:space="preserve"> and 12 Parliamentary Secretaries.  </w:t>
      </w:r>
      <w:r w:rsidR="00DE375C" w:rsidRPr="00BC5774">
        <w:rPr>
          <w:sz w:val="16"/>
          <w:szCs w:val="16"/>
        </w:rPr>
        <w:t xml:space="preserve">Its total representation in Parliament is 103 out of 227 seats; </w:t>
      </w:r>
      <w:r w:rsidR="00FE7EF4" w:rsidRPr="00BC5774">
        <w:rPr>
          <w:sz w:val="16"/>
          <w:szCs w:val="16"/>
        </w:rPr>
        <w:t>77</w:t>
      </w:r>
      <w:r w:rsidR="00DE375C" w:rsidRPr="00BC5774">
        <w:rPr>
          <w:sz w:val="16"/>
          <w:szCs w:val="16"/>
        </w:rPr>
        <w:t>/151</w:t>
      </w:r>
      <w:r w:rsidR="00FE7EF4" w:rsidRPr="00BC5774">
        <w:rPr>
          <w:sz w:val="16"/>
          <w:szCs w:val="16"/>
        </w:rPr>
        <w:t xml:space="preserve"> </w:t>
      </w:r>
      <w:r w:rsidR="00DE375C" w:rsidRPr="00BC5774">
        <w:rPr>
          <w:sz w:val="16"/>
          <w:szCs w:val="16"/>
        </w:rPr>
        <w:t>m</w:t>
      </w:r>
      <w:r w:rsidR="00FE7EF4" w:rsidRPr="00BC5774">
        <w:rPr>
          <w:sz w:val="16"/>
          <w:szCs w:val="16"/>
        </w:rPr>
        <w:t>embers of</w:t>
      </w:r>
      <w:r w:rsidR="00DE375C" w:rsidRPr="00BC5774">
        <w:rPr>
          <w:sz w:val="16"/>
          <w:szCs w:val="16"/>
        </w:rPr>
        <w:t xml:space="preserve"> the House of Representatives, 26/76 Senators.</w:t>
      </w:r>
      <w:r w:rsidR="00FE7EF4" w:rsidRPr="00BC5774">
        <w:rPr>
          <w:sz w:val="16"/>
          <w:szCs w:val="16"/>
        </w:rPr>
        <w:t xml:space="preserve"> </w:t>
      </w:r>
    </w:p>
    <w:p w14:paraId="10F39AFB" w14:textId="77777777" w:rsidR="005D1B14" w:rsidRPr="00977D17" w:rsidRDefault="005D1B14">
      <w:pPr>
        <w:pStyle w:val="FootnoteText"/>
        <w:rPr>
          <w:sz w:val="16"/>
          <w:szCs w:val="16"/>
        </w:rPr>
      </w:pPr>
    </w:p>
  </w:footnote>
  <w:footnote w:id="17">
    <w:p w14:paraId="6EDBDB67" w14:textId="3369E5F0" w:rsidR="004B12B6" w:rsidRPr="006140CD" w:rsidRDefault="004B12B6" w:rsidP="004B12B6">
      <w:pPr>
        <w:pStyle w:val="FootnoteText"/>
        <w:rPr>
          <w:sz w:val="16"/>
          <w:szCs w:val="16"/>
        </w:rPr>
      </w:pPr>
      <w:r w:rsidRPr="006140CD">
        <w:rPr>
          <w:rStyle w:val="FootnoteReference"/>
          <w:sz w:val="16"/>
          <w:szCs w:val="16"/>
        </w:rPr>
        <w:footnoteRef/>
      </w:r>
      <w:r w:rsidRPr="006140CD">
        <w:rPr>
          <w:sz w:val="16"/>
          <w:szCs w:val="16"/>
        </w:rPr>
        <w:t xml:space="preserve"> </w:t>
      </w:r>
      <w:r w:rsidR="00B92FAC">
        <w:rPr>
          <w:sz w:val="16"/>
          <w:szCs w:val="16"/>
        </w:rPr>
        <w:t>P</w:t>
      </w:r>
      <w:r w:rsidR="006140CD" w:rsidRPr="006140CD">
        <w:rPr>
          <w:sz w:val="16"/>
          <w:szCs w:val="16"/>
        </w:rPr>
        <w:t>resuppos</w:t>
      </w:r>
      <w:r w:rsidR="00B92FAC">
        <w:rPr>
          <w:sz w:val="16"/>
          <w:szCs w:val="16"/>
        </w:rPr>
        <w:t>ing</w:t>
      </w:r>
      <w:r w:rsidR="006140CD" w:rsidRPr="006140CD">
        <w:rPr>
          <w:sz w:val="16"/>
          <w:szCs w:val="16"/>
        </w:rPr>
        <w:t xml:space="preserve"> another convention: for there to be a Prime Minister – appointed by the Governor General on cognisance of having support of the majority of the House of Representatives.</w:t>
      </w:r>
      <w:r w:rsidR="006140CD">
        <w:rPr>
          <w:sz w:val="16"/>
          <w:szCs w:val="16"/>
        </w:rPr>
        <w:t xml:space="preserve">  </w:t>
      </w:r>
      <w:r w:rsidRPr="006140CD">
        <w:rPr>
          <w:sz w:val="16"/>
          <w:szCs w:val="16"/>
        </w:rPr>
        <w:t>Curiously, the Solicitor General’s advice is the Governor General must follow the advice of the Prime Minister in relation to appointment of Ministers, except the Prime Minister.  Whose advice does he follow in that?</w:t>
      </w:r>
    </w:p>
    <w:p w14:paraId="037CE00E" w14:textId="77777777" w:rsidR="004B12B6" w:rsidRPr="007072A6" w:rsidRDefault="004B12B6" w:rsidP="004B12B6">
      <w:pPr>
        <w:pStyle w:val="FootnoteText"/>
        <w:rPr>
          <w:sz w:val="16"/>
          <w:szCs w:val="16"/>
        </w:rPr>
      </w:pPr>
      <w:r w:rsidRPr="00C717AC">
        <w:rPr>
          <w:sz w:val="16"/>
          <w:szCs w:val="16"/>
        </w:rPr>
        <w:t xml:space="preserve"> </w:t>
      </w:r>
    </w:p>
  </w:footnote>
  <w:footnote w:id="18">
    <w:p w14:paraId="42B48CBD" w14:textId="42173273" w:rsidR="0059099A" w:rsidRDefault="0059099A" w:rsidP="0059099A">
      <w:pPr>
        <w:pStyle w:val="FootnoteText"/>
        <w:rPr>
          <w:rStyle w:val="Hyperlink"/>
          <w:sz w:val="16"/>
          <w:szCs w:val="16"/>
        </w:rPr>
      </w:pPr>
      <w:r w:rsidRPr="00C717AC">
        <w:rPr>
          <w:rStyle w:val="FootnoteReference"/>
          <w:sz w:val="16"/>
          <w:szCs w:val="16"/>
        </w:rPr>
        <w:footnoteRef/>
      </w:r>
      <w:r w:rsidRPr="00C717AC">
        <w:rPr>
          <w:sz w:val="16"/>
          <w:szCs w:val="16"/>
        </w:rPr>
        <w:t xml:space="preserve"> </w:t>
      </w:r>
      <w:hyperlink r:id="rId25" w:history="1">
        <w:r w:rsidRPr="00C717AC">
          <w:rPr>
            <w:rStyle w:val="Hyperlink"/>
            <w:sz w:val="16"/>
            <w:szCs w:val="16"/>
          </w:rPr>
          <w:t>https://www.pm.gov.au/media/albanese-government-full-ministry</w:t>
        </w:r>
      </w:hyperlink>
      <w:r w:rsidR="004B12B6">
        <w:rPr>
          <w:rStyle w:val="Hyperlink"/>
          <w:sz w:val="16"/>
          <w:szCs w:val="16"/>
        </w:rPr>
        <w:t xml:space="preserve">; </w:t>
      </w:r>
      <w:hyperlink r:id="rId26" w:history="1">
        <w:r w:rsidR="004B12B6" w:rsidRPr="00C717AC">
          <w:rPr>
            <w:rStyle w:val="Hyperlink"/>
            <w:sz w:val="16"/>
            <w:szCs w:val="16"/>
          </w:rPr>
          <w:t>https://www.pmc.gov.au/who-we-are/ministers</w:t>
        </w:r>
      </w:hyperlink>
    </w:p>
    <w:p w14:paraId="2387F758" w14:textId="77777777" w:rsidR="0059099A" w:rsidRPr="00C717AC" w:rsidRDefault="0059099A" w:rsidP="0059099A">
      <w:pPr>
        <w:pStyle w:val="FootnoteText"/>
        <w:rPr>
          <w:sz w:val="16"/>
          <w:szCs w:val="16"/>
        </w:rPr>
      </w:pPr>
    </w:p>
  </w:footnote>
  <w:footnote w:id="19">
    <w:p w14:paraId="3BC7D6FF" w14:textId="26AE005D" w:rsidR="00264446" w:rsidRPr="00FA21FC" w:rsidRDefault="00AE5925" w:rsidP="00022450">
      <w:pPr>
        <w:spacing w:after="0" w:line="240" w:lineRule="auto"/>
        <w:jc w:val="both"/>
        <w:rPr>
          <w:rFonts w:cstheme="minorHAnsi"/>
          <w:sz w:val="16"/>
          <w:szCs w:val="16"/>
        </w:rPr>
      </w:pPr>
      <w:r w:rsidRPr="00504264">
        <w:rPr>
          <w:rStyle w:val="FootnoteReference"/>
          <w:rFonts w:cstheme="minorHAnsi"/>
          <w:sz w:val="16"/>
          <w:szCs w:val="16"/>
        </w:rPr>
        <w:footnoteRef/>
      </w:r>
      <w:r w:rsidR="00504264" w:rsidRPr="00504264">
        <w:rPr>
          <w:rFonts w:cstheme="minorHAnsi"/>
          <w:sz w:val="16"/>
          <w:szCs w:val="16"/>
          <w:shd w:val="clear" w:color="auto" w:fill="FFFFFF"/>
        </w:rPr>
        <w:t xml:space="preserve"> In McCLoy</w:t>
      </w:r>
      <w:r w:rsidR="00AC0C63">
        <w:rPr>
          <w:rFonts w:cstheme="minorHAnsi"/>
          <w:sz w:val="16"/>
          <w:szCs w:val="16"/>
          <w:shd w:val="clear" w:color="auto" w:fill="FFFFFF"/>
        </w:rPr>
        <w:t>,</w:t>
      </w:r>
      <w:r w:rsidR="00264446">
        <w:rPr>
          <w:rFonts w:cstheme="minorHAnsi"/>
          <w:sz w:val="16"/>
          <w:szCs w:val="16"/>
          <w:shd w:val="clear" w:color="auto" w:fill="FFFFFF"/>
        </w:rPr>
        <w:t xml:space="preserve"> High Court justice </w:t>
      </w:r>
      <w:r w:rsidR="00504264" w:rsidRPr="00504264">
        <w:rPr>
          <w:rFonts w:cstheme="minorHAnsi"/>
          <w:sz w:val="16"/>
          <w:szCs w:val="16"/>
          <w:shd w:val="clear" w:color="auto" w:fill="FFFFFF"/>
        </w:rPr>
        <w:t>Gagelar explored responsible and representative government:</w:t>
      </w:r>
      <w:r w:rsidR="00022450">
        <w:rPr>
          <w:rFonts w:cstheme="minorHAnsi"/>
          <w:sz w:val="16"/>
          <w:szCs w:val="16"/>
          <w:shd w:val="clear" w:color="auto" w:fill="FFFFFF"/>
        </w:rPr>
        <w:t xml:space="preserve"> </w:t>
      </w:r>
      <w:r w:rsidR="00CD4C77" w:rsidRPr="00CD4C77">
        <w:rPr>
          <w:rFonts w:cstheme="minorHAnsi"/>
          <w:i/>
          <w:iCs/>
          <w:sz w:val="16"/>
          <w:szCs w:val="16"/>
        </w:rPr>
        <w:t>‘</w:t>
      </w:r>
      <w:r w:rsidR="00DC49A4" w:rsidRPr="00CD4C77">
        <w:rPr>
          <w:rFonts w:cstheme="minorHAnsi"/>
          <w:i/>
          <w:iCs/>
          <w:sz w:val="16"/>
          <w:szCs w:val="16"/>
        </w:rPr>
        <w:t xml:space="preserve">Electoral choice thereby constitutes the principal constraint on the </w:t>
      </w:r>
      <w:r w:rsidR="00CD4C77" w:rsidRPr="00CD4C77">
        <w:rPr>
          <w:rFonts w:cstheme="minorHAnsi"/>
          <w:i/>
          <w:iCs/>
          <w:sz w:val="16"/>
          <w:szCs w:val="16"/>
        </w:rPr>
        <w:t>……</w:t>
      </w:r>
      <w:r w:rsidR="00DC49A4" w:rsidRPr="00CD4C77">
        <w:rPr>
          <w:rFonts w:cstheme="minorHAnsi"/>
          <w:i/>
          <w:iCs/>
          <w:sz w:val="16"/>
          <w:szCs w:val="16"/>
        </w:rPr>
        <w:t xml:space="preserve"> lawful exercise by Ministers and officers within their departments of the executive power of the Commonwealth.</w:t>
      </w:r>
      <w:r w:rsidR="00CD4C77" w:rsidRPr="00CD4C77">
        <w:rPr>
          <w:rFonts w:cstheme="minorHAnsi"/>
          <w:i/>
          <w:iCs/>
          <w:sz w:val="16"/>
          <w:szCs w:val="16"/>
        </w:rPr>
        <w:t>’</w:t>
      </w:r>
      <w:r w:rsidR="00CD4C77">
        <w:rPr>
          <w:rFonts w:cstheme="minorHAnsi"/>
          <w:sz w:val="16"/>
          <w:szCs w:val="16"/>
        </w:rPr>
        <w:t xml:space="preserve">  Note this relates to lawful Executive activity.</w:t>
      </w:r>
      <w:r w:rsidR="00264446">
        <w:rPr>
          <w:rFonts w:cstheme="minorHAnsi"/>
          <w:sz w:val="16"/>
          <w:szCs w:val="16"/>
        </w:rPr>
        <w:t xml:space="preserve"> </w:t>
      </w:r>
      <w:hyperlink r:id="rId27" w:history="1">
        <w:r w:rsidR="00264446" w:rsidRPr="00AA6460">
          <w:rPr>
            <w:rStyle w:val="Hyperlink"/>
            <w:rFonts w:cstheme="minorHAnsi"/>
            <w:sz w:val="16"/>
            <w:szCs w:val="16"/>
          </w:rPr>
          <w:t>https://www.hcourt.gov.au/cases/case_s211-2014</w:t>
        </w:r>
      </w:hyperlink>
      <w:r w:rsidR="006962F9">
        <w:rPr>
          <w:rFonts w:cstheme="minorHAnsi"/>
          <w:sz w:val="16"/>
          <w:szCs w:val="16"/>
        </w:rPr>
        <w:t xml:space="preserve">.  </w:t>
      </w:r>
    </w:p>
    <w:p w14:paraId="58EA23D7" w14:textId="73335B2C" w:rsidR="00AE5925" w:rsidRDefault="00AE5925">
      <w:pPr>
        <w:pStyle w:val="FootnoteText"/>
      </w:pPr>
      <w:r>
        <w:t xml:space="preserve"> </w:t>
      </w:r>
    </w:p>
  </w:footnote>
  <w:footnote w:id="20">
    <w:p w14:paraId="42F152DE" w14:textId="2D79DBB0" w:rsidR="00536882" w:rsidRDefault="00536882" w:rsidP="00022450">
      <w:pPr>
        <w:spacing w:after="0"/>
        <w:rPr>
          <w:rFonts w:cstheme="minorHAnsi"/>
          <w:i/>
          <w:iCs/>
          <w:sz w:val="16"/>
          <w:szCs w:val="16"/>
        </w:rPr>
      </w:pPr>
      <w:r w:rsidRPr="00022450">
        <w:rPr>
          <w:rStyle w:val="FootnoteReference"/>
          <w:sz w:val="16"/>
          <w:szCs w:val="16"/>
        </w:rPr>
        <w:footnoteRef/>
      </w:r>
      <w:r w:rsidRPr="00603360">
        <w:rPr>
          <w:sz w:val="16"/>
          <w:szCs w:val="16"/>
        </w:rPr>
        <w:t>In McClo</w:t>
      </w:r>
      <w:r w:rsidR="00603360" w:rsidRPr="00603360">
        <w:rPr>
          <w:sz w:val="16"/>
          <w:szCs w:val="16"/>
        </w:rPr>
        <w:t xml:space="preserve">y (note </w:t>
      </w:r>
      <w:r w:rsidR="00FF7791">
        <w:rPr>
          <w:sz w:val="16"/>
          <w:szCs w:val="16"/>
        </w:rPr>
        <w:t>19</w:t>
      </w:r>
      <w:r w:rsidR="00603360" w:rsidRPr="00603360">
        <w:rPr>
          <w:sz w:val="16"/>
          <w:szCs w:val="16"/>
        </w:rPr>
        <w:t xml:space="preserve"> above) Justice </w:t>
      </w:r>
      <w:r w:rsidRPr="00603360">
        <w:rPr>
          <w:sz w:val="16"/>
          <w:szCs w:val="16"/>
        </w:rPr>
        <w:t xml:space="preserve">Gagelar went on to explain: </w:t>
      </w:r>
      <w:r w:rsidR="00603360">
        <w:rPr>
          <w:sz w:val="16"/>
          <w:szCs w:val="16"/>
        </w:rPr>
        <w:t>‘</w:t>
      </w:r>
      <w:r w:rsidRPr="00603360">
        <w:rPr>
          <w:rFonts w:cstheme="minorHAnsi"/>
          <w:i/>
          <w:iCs/>
          <w:sz w:val="16"/>
          <w:szCs w:val="16"/>
        </w:rPr>
        <w:t xml:space="preserve">The ever-present risk within the system of representative and responsible government…. is that communication of information which is either unfavourable or uninteresting to those currently in a position to exercise legislative or executive power will, through design or oversight, be impeded by legislative or executive action to an extent which impairs the making of an informed electoral choice and therefore undermines the constitutive and constraining effect of electoral </w:t>
      </w:r>
      <w:r w:rsidR="000308C4" w:rsidRPr="00603360">
        <w:rPr>
          <w:rFonts w:cstheme="minorHAnsi"/>
          <w:i/>
          <w:iCs/>
          <w:sz w:val="16"/>
          <w:szCs w:val="16"/>
        </w:rPr>
        <w:t>choice.</w:t>
      </w:r>
      <w:r w:rsidR="00603360">
        <w:rPr>
          <w:rFonts w:cstheme="minorHAnsi"/>
          <w:i/>
          <w:iCs/>
          <w:sz w:val="16"/>
          <w:szCs w:val="16"/>
        </w:rPr>
        <w:t>’</w:t>
      </w:r>
      <w:r w:rsidRPr="00603360">
        <w:rPr>
          <w:rFonts w:cstheme="minorHAnsi"/>
          <w:sz w:val="16"/>
          <w:szCs w:val="16"/>
        </w:rPr>
        <w:t xml:space="preserve"> </w:t>
      </w:r>
      <w:r w:rsidR="00603360">
        <w:rPr>
          <w:rFonts w:cstheme="minorHAnsi"/>
          <w:sz w:val="16"/>
          <w:szCs w:val="16"/>
        </w:rPr>
        <w:t xml:space="preserve">From that he concluded the Constitution implied freedom of political communication which </w:t>
      </w:r>
      <w:r w:rsidR="00603360" w:rsidRPr="006D0F69">
        <w:rPr>
          <w:rFonts w:cstheme="minorHAnsi"/>
          <w:i/>
          <w:iCs/>
          <w:sz w:val="16"/>
          <w:szCs w:val="16"/>
        </w:rPr>
        <w:t>‘</w:t>
      </w:r>
      <w:r w:rsidRPr="006D0F69">
        <w:rPr>
          <w:rFonts w:cstheme="minorHAnsi"/>
          <w:i/>
          <w:iCs/>
          <w:sz w:val="16"/>
          <w:szCs w:val="16"/>
        </w:rPr>
        <w:t xml:space="preserve">is defined by the need to preserve the integrity of both the system of representative and responsible government </w:t>
      </w:r>
      <w:r w:rsidR="00603360" w:rsidRPr="006D0F69">
        <w:rPr>
          <w:rFonts w:cstheme="minorHAnsi"/>
          <w:i/>
          <w:iCs/>
          <w:sz w:val="16"/>
          <w:szCs w:val="16"/>
        </w:rPr>
        <w:t>….</w:t>
      </w:r>
      <w:r w:rsidRPr="006D0F69">
        <w:rPr>
          <w:rFonts w:cstheme="minorHAnsi"/>
          <w:i/>
          <w:iCs/>
          <w:sz w:val="16"/>
          <w:szCs w:val="16"/>
        </w:rPr>
        <w:t>and the method of constitutional alteration</w:t>
      </w:r>
      <w:r w:rsidR="006D0F69" w:rsidRPr="006D0F69">
        <w:rPr>
          <w:rFonts w:cstheme="minorHAnsi"/>
          <w:i/>
          <w:iCs/>
          <w:sz w:val="16"/>
          <w:szCs w:val="16"/>
        </w:rPr>
        <w:t>….</w:t>
      </w:r>
      <w:r w:rsidRPr="006D0F69">
        <w:rPr>
          <w:rFonts w:cstheme="minorHAnsi"/>
          <w:i/>
          <w:iCs/>
          <w:sz w:val="16"/>
          <w:szCs w:val="16"/>
        </w:rPr>
        <w:t xml:space="preserve"> The freedom implied "is limited to what is necessary for the effective operation of that system of representative and responsible government</w:t>
      </w:r>
      <w:r w:rsidR="006D0F69" w:rsidRPr="006D0F69">
        <w:rPr>
          <w:rFonts w:cstheme="minorHAnsi"/>
          <w:i/>
          <w:iCs/>
          <w:sz w:val="16"/>
          <w:szCs w:val="16"/>
        </w:rPr>
        <w:t>”</w:t>
      </w:r>
    </w:p>
    <w:p w14:paraId="6DCEF592" w14:textId="77777777" w:rsidR="00B30634" w:rsidRPr="002D40DD" w:rsidRDefault="00B30634">
      <w:pPr>
        <w:pStyle w:val="FootnoteText"/>
        <w:rPr>
          <w:sz w:val="16"/>
          <w:szCs w:val="16"/>
        </w:rPr>
      </w:pPr>
    </w:p>
  </w:footnote>
  <w:footnote w:id="21">
    <w:p w14:paraId="3F9D7EAE" w14:textId="77777777" w:rsidR="002E2B98" w:rsidRPr="00D92751" w:rsidRDefault="002E2B98" w:rsidP="002E2B98">
      <w:pPr>
        <w:spacing w:after="0"/>
        <w:rPr>
          <w:sz w:val="16"/>
          <w:szCs w:val="16"/>
        </w:rPr>
      </w:pPr>
      <w:r w:rsidRPr="00D92751">
        <w:rPr>
          <w:rStyle w:val="FootnoteReference"/>
          <w:sz w:val="16"/>
          <w:szCs w:val="16"/>
        </w:rPr>
        <w:footnoteRef/>
      </w:r>
      <w:r w:rsidRPr="00D92751">
        <w:rPr>
          <w:sz w:val="16"/>
          <w:szCs w:val="16"/>
        </w:rPr>
        <w:t xml:space="preserve"> </w:t>
      </w:r>
      <w:hyperlink r:id="rId28" w:history="1">
        <w:r w:rsidRPr="00D92751">
          <w:rPr>
            <w:rStyle w:val="Hyperlink"/>
            <w:sz w:val="16"/>
            <w:szCs w:val="16"/>
          </w:rPr>
          <w:t>https://newsroom.unsw.edu.au/news/business-law/scott-morrisons-secret-appointments-legal-undermined-principles-government</w:t>
        </w:r>
      </w:hyperlink>
    </w:p>
    <w:p w14:paraId="1811A3D8" w14:textId="77777777" w:rsidR="002E2B98" w:rsidRPr="00D92751" w:rsidRDefault="002E2B98" w:rsidP="002E2B98">
      <w:pPr>
        <w:pStyle w:val="FootnoteText"/>
        <w:rPr>
          <w:sz w:val="16"/>
          <w:szCs w:val="16"/>
        </w:rPr>
      </w:pPr>
    </w:p>
  </w:footnote>
  <w:footnote w:id="22">
    <w:p w14:paraId="30A4FCD9" w14:textId="400E0A84" w:rsidR="00BD28BC" w:rsidRPr="00615DCC" w:rsidRDefault="00BD28BC">
      <w:pPr>
        <w:pStyle w:val="FootnoteText"/>
        <w:rPr>
          <w:sz w:val="16"/>
          <w:szCs w:val="16"/>
        </w:rPr>
      </w:pPr>
      <w:r w:rsidRPr="00615DCC">
        <w:rPr>
          <w:rStyle w:val="FootnoteReference"/>
          <w:sz w:val="16"/>
          <w:szCs w:val="16"/>
        </w:rPr>
        <w:footnoteRef/>
      </w:r>
      <w:r w:rsidRPr="00615DCC">
        <w:rPr>
          <w:sz w:val="16"/>
          <w:szCs w:val="16"/>
        </w:rPr>
        <w:t xml:space="preserve"> </w:t>
      </w:r>
      <w:r w:rsidR="004520ED">
        <w:rPr>
          <w:sz w:val="16"/>
          <w:szCs w:val="16"/>
        </w:rPr>
        <w:t xml:space="preserve">Compare this with note 14 (above): </w:t>
      </w:r>
      <w:hyperlink r:id="rId29" w:history="1">
        <w:r w:rsidR="004520ED" w:rsidRPr="001D4D9D">
          <w:rPr>
            <w:rStyle w:val="Hyperlink"/>
            <w:sz w:val="16"/>
            <w:szCs w:val="16"/>
          </w:rPr>
          <w:t>https://johnmenadue.com/scott-morrisons-ministerial-fetish-an-unprecedented-trashing-of-our-democracy/</w:t>
        </w:r>
      </w:hyperlink>
    </w:p>
    <w:p w14:paraId="1A1674A5" w14:textId="77777777" w:rsidR="00BD28BC" w:rsidRPr="00615DCC" w:rsidRDefault="00BD28BC">
      <w:pPr>
        <w:pStyle w:val="FootnoteText"/>
        <w:rPr>
          <w:sz w:val="16"/>
          <w:szCs w:val="16"/>
        </w:rPr>
      </w:pPr>
    </w:p>
  </w:footnote>
  <w:footnote w:id="23">
    <w:p w14:paraId="5CB5DBFD" w14:textId="137F56A0" w:rsidR="00D24ABA" w:rsidRPr="00615DCC" w:rsidRDefault="00D24ABA">
      <w:pPr>
        <w:pStyle w:val="FootnoteText"/>
        <w:rPr>
          <w:sz w:val="16"/>
          <w:szCs w:val="16"/>
        </w:rPr>
      </w:pPr>
      <w:r w:rsidRPr="00615DCC">
        <w:rPr>
          <w:rStyle w:val="FootnoteReference"/>
          <w:sz w:val="16"/>
          <w:szCs w:val="16"/>
        </w:rPr>
        <w:footnoteRef/>
      </w:r>
      <w:r w:rsidRPr="00615DCC">
        <w:rPr>
          <w:sz w:val="16"/>
          <w:szCs w:val="16"/>
        </w:rPr>
        <w:t xml:space="preserve"> </w:t>
      </w:r>
      <w:hyperlink r:id="rId30" w:history="1">
        <w:r w:rsidRPr="00615DCC">
          <w:rPr>
            <w:rStyle w:val="Hyperlink"/>
            <w:sz w:val="16"/>
            <w:szCs w:val="16"/>
          </w:rPr>
          <w:t>https://johnmenadue.com/graham-maddox-concerning-laws-and-conventions/</w:t>
        </w:r>
      </w:hyperlink>
    </w:p>
    <w:p w14:paraId="5E5D9E54" w14:textId="77777777" w:rsidR="00D24ABA" w:rsidRPr="0084792D" w:rsidRDefault="00D24ABA">
      <w:pPr>
        <w:pStyle w:val="FootnoteText"/>
        <w:rPr>
          <w:sz w:val="16"/>
          <w:szCs w:val="16"/>
        </w:rPr>
      </w:pPr>
    </w:p>
  </w:footnote>
  <w:footnote w:id="24">
    <w:p w14:paraId="1B393A21" w14:textId="7E94B6D4" w:rsidR="0084792D" w:rsidRPr="0084792D" w:rsidRDefault="0084792D">
      <w:pPr>
        <w:pStyle w:val="FootnoteText"/>
        <w:rPr>
          <w:sz w:val="16"/>
          <w:szCs w:val="16"/>
        </w:rPr>
      </w:pPr>
      <w:r w:rsidRPr="0084792D">
        <w:rPr>
          <w:rStyle w:val="FootnoteReference"/>
          <w:sz w:val="16"/>
          <w:szCs w:val="16"/>
        </w:rPr>
        <w:footnoteRef/>
      </w:r>
      <w:r w:rsidRPr="0084792D">
        <w:rPr>
          <w:sz w:val="16"/>
          <w:szCs w:val="16"/>
        </w:rPr>
        <w:t xml:space="preserve"> </w:t>
      </w:r>
      <w:hyperlink r:id="rId31" w:history="1">
        <w:r w:rsidR="0017214A" w:rsidRPr="001D4D9D">
          <w:rPr>
            <w:rStyle w:val="Hyperlink"/>
            <w:sz w:val="16"/>
            <w:szCs w:val="16"/>
          </w:rPr>
          <w:t>https://theconversation.com/word-from-the-hill-more-heat-piled-on-morrison-over-those-multiple-ministries-189244</w:t>
        </w:r>
      </w:hyperlink>
    </w:p>
    <w:p w14:paraId="254F5F2C" w14:textId="77777777" w:rsidR="0084792D" w:rsidRDefault="0084792D">
      <w:pPr>
        <w:pStyle w:val="FootnoteText"/>
      </w:pPr>
    </w:p>
  </w:footnote>
  <w:footnote w:id="25">
    <w:p w14:paraId="32C7C347" w14:textId="44717618" w:rsidR="002E2B98" w:rsidRPr="00E123F9" w:rsidRDefault="002E2B98" w:rsidP="002E2B98">
      <w:pPr>
        <w:pStyle w:val="FootnoteText"/>
        <w:rPr>
          <w:sz w:val="16"/>
          <w:szCs w:val="16"/>
        </w:rPr>
      </w:pPr>
      <w:r w:rsidRPr="00615DCC">
        <w:rPr>
          <w:rStyle w:val="FootnoteReference"/>
          <w:sz w:val="16"/>
          <w:szCs w:val="16"/>
        </w:rPr>
        <w:footnoteRef/>
      </w:r>
      <w:r w:rsidRPr="00615DCC">
        <w:rPr>
          <w:sz w:val="16"/>
          <w:szCs w:val="16"/>
        </w:rPr>
        <w:t xml:space="preserve"> </w:t>
      </w:r>
      <w:hyperlink r:id="rId32" w:history="1">
        <w:r w:rsidRPr="00615DCC">
          <w:rPr>
            <w:rStyle w:val="Hyperlink"/>
            <w:sz w:val="16"/>
            <w:szCs w:val="16"/>
          </w:rPr>
          <w:t>https://johnmenadue.com/super-scott-and-the-coup-vaccine/</w:t>
        </w:r>
      </w:hyperlink>
    </w:p>
  </w:footnote>
  <w:footnote w:id="26">
    <w:p w14:paraId="1FB17C83" w14:textId="7874A062" w:rsidR="00E123F9" w:rsidRPr="00E123F9" w:rsidRDefault="00E123F9">
      <w:pPr>
        <w:pStyle w:val="FootnoteText"/>
        <w:rPr>
          <w:sz w:val="16"/>
          <w:szCs w:val="16"/>
        </w:rPr>
      </w:pPr>
      <w:r w:rsidRPr="00E123F9">
        <w:rPr>
          <w:rStyle w:val="FootnoteReference"/>
          <w:sz w:val="16"/>
          <w:szCs w:val="16"/>
        </w:rPr>
        <w:footnoteRef/>
      </w:r>
      <w:r w:rsidRPr="00E123F9">
        <w:rPr>
          <w:sz w:val="16"/>
          <w:szCs w:val="16"/>
        </w:rPr>
        <w:t xml:space="preserve"> </w:t>
      </w:r>
      <w:hyperlink r:id="rId33" w:history="1">
        <w:r w:rsidRPr="00E123F9">
          <w:rPr>
            <w:rStyle w:val="Hyperlink"/>
            <w:sz w:val="16"/>
            <w:szCs w:val="16"/>
          </w:rPr>
          <w:t>https://independentaustralia.net/politics/politics-display/journalists-slow-out-of-the-blocks-to-condemn-morrison-ministry-moves,16683</w:t>
        </w:r>
      </w:hyperlink>
    </w:p>
    <w:p w14:paraId="2DC41254" w14:textId="77777777" w:rsidR="00E123F9" w:rsidRPr="00E123F9" w:rsidRDefault="00E123F9">
      <w:pPr>
        <w:pStyle w:val="FootnoteText"/>
        <w:rPr>
          <w:sz w:val="16"/>
          <w:szCs w:val="16"/>
        </w:rPr>
      </w:pPr>
    </w:p>
  </w:footnote>
  <w:footnote w:id="27">
    <w:p w14:paraId="49BA5BBA" w14:textId="1C44ADAE" w:rsidR="00DB0B9C" w:rsidRPr="0023343B" w:rsidRDefault="00DB0B9C">
      <w:pPr>
        <w:pStyle w:val="FootnoteText"/>
        <w:rPr>
          <w:sz w:val="16"/>
          <w:szCs w:val="16"/>
        </w:rPr>
      </w:pPr>
      <w:r w:rsidRPr="004478CD">
        <w:rPr>
          <w:rStyle w:val="FootnoteReference"/>
          <w:sz w:val="16"/>
          <w:szCs w:val="16"/>
        </w:rPr>
        <w:footnoteRef/>
      </w:r>
      <w:r w:rsidRPr="004478CD">
        <w:rPr>
          <w:sz w:val="16"/>
          <w:szCs w:val="16"/>
        </w:rPr>
        <w:t xml:space="preserve"> </w:t>
      </w:r>
      <w:hyperlink r:id="rId34" w:history="1">
        <w:r w:rsidRPr="004478CD">
          <w:rPr>
            <w:rStyle w:val="Hyperlink"/>
            <w:sz w:val="16"/>
            <w:szCs w:val="16"/>
          </w:rPr>
          <w:t>https://www.canberratimes.com.au/story/7875535/was-it-the-pm-or-federalism-that-undermined-the-principles-of-responsible-government/</w:t>
        </w:r>
      </w:hyperlink>
    </w:p>
    <w:p w14:paraId="32CF6C37" w14:textId="77777777" w:rsidR="00DB0B9C" w:rsidRPr="0023343B" w:rsidRDefault="00DB0B9C">
      <w:pPr>
        <w:pStyle w:val="FootnoteText"/>
        <w:rPr>
          <w:sz w:val="16"/>
          <w:szCs w:val="16"/>
        </w:rPr>
      </w:pPr>
    </w:p>
  </w:footnote>
  <w:footnote w:id="28">
    <w:p w14:paraId="7AD444CE" w14:textId="5AB8413C" w:rsidR="008E469F" w:rsidRPr="0023343B" w:rsidRDefault="008E469F">
      <w:pPr>
        <w:pStyle w:val="FootnoteText"/>
        <w:rPr>
          <w:sz w:val="16"/>
          <w:szCs w:val="16"/>
        </w:rPr>
      </w:pPr>
      <w:r w:rsidRPr="0023343B">
        <w:rPr>
          <w:rStyle w:val="FootnoteReference"/>
          <w:sz w:val="16"/>
          <w:szCs w:val="16"/>
        </w:rPr>
        <w:footnoteRef/>
      </w:r>
      <w:r w:rsidRPr="0023343B">
        <w:rPr>
          <w:sz w:val="16"/>
          <w:szCs w:val="16"/>
        </w:rPr>
        <w:t xml:space="preserve"> </w:t>
      </w:r>
      <w:hyperlink r:id="rId35" w:history="1">
        <w:r w:rsidRPr="0023343B">
          <w:rPr>
            <w:rStyle w:val="Hyperlink"/>
            <w:sz w:val="16"/>
            <w:szCs w:val="16"/>
          </w:rPr>
          <w:t>https://www.auspublaw.org/blog/2020/10/the-national-cabinet-presidentialised-politics-power-sharing-and-a-deficit-in-transparency</w:t>
        </w:r>
      </w:hyperlink>
      <w:r w:rsidR="001C6DAF">
        <w:rPr>
          <w:rStyle w:val="Hyperlink"/>
          <w:sz w:val="16"/>
          <w:szCs w:val="16"/>
        </w:rPr>
        <w:t xml:space="preserve"> </w:t>
      </w:r>
      <w:r w:rsidR="001C6DAF" w:rsidRPr="001C6DAF">
        <w:rPr>
          <w:rStyle w:val="Hyperlink"/>
          <w:color w:val="auto"/>
          <w:sz w:val="16"/>
          <w:szCs w:val="16"/>
          <w:u w:val="none"/>
        </w:rPr>
        <w:t xml:space="preserve">and see </w:t>
      </w:r>
      <w:r w:rsidR="001C6DAF" w:rsidRPr="001C6DAF">
        <w:rPr>
          <w:rStyle w:val="Hyperlink"/>
          <w:sz w:val="16"/>
          <w:szCs w:val="16"/>
        </w:rPr>
        <w:t>https://theconversation.com/from-toby-tosspot-to-mr-harbourside-mansion-personal-insults-are-an-australian-tradition-98928</w:t>
      </w:r>
    </w:p>
    <w:p w14:paraId="2EC278CA" w14:textId="77777777" w:rsidR="008E469F" w:rsidRPr="0023343B" w:rsidRDefault="008E469F">
      <w:pPr>
        <w:pStyle w:val="FootnoteText"/>
        <w:rPr>
          <w:sz w:val="16"/>
          <w:szCs w:val="16"/>
        </w:rPr>
      </w:pPr>
    </w:p>
  </w:footnote>
  <w:footnote w:id="29">
    <w:p w14:paraId="505F1C83" w14:textId="014197B9" w:rsidR="004478CD" w:rsidRPr="004478CD" w:rsidRDefault="006246B9">
      <w:pPr>
        <w:pStyle w:val="FootnoteText"/>
        <w:rPr>
          <w:sz w:val="16"/>
          <w:szCs w:val="16"/>
        </w:rPr>
      </w:pPr>
      <w:r w:rsidRPr="004478CD">
        <w:rPr>
          <w:rStyle w:val="FootnoteReference"/>
          <w:sz w:val="16"/>
          <w:szCs w:val="16"/>
        </w:rPr>
        <w:footnoteRef/>
      </w:r>
      <w:r w:rsidRPr="004478CD">
        <w:rPr>
          <w:sz w:val="16"/>
          <w:szCs w:val="16"/>
        </w:rPr>
        <w:t xml:space="preserve"> </w:t>
      </w:r>
      <w:r w:rsidR="004478CD" w:rsidRPr="004478CD">
        <w:rPr>
          <w:sz w:val="16"/>
          <w:szCs w:val="16"/>
        </w:rPr>
        <w:t xml:space="preserve">Illegal: </w:t>
      </w:r>
      <w:hyperlink r:id="rId36" w:history="1">
        <w:r w:rsidR="004478CD" w:rsidRPr="004478CD">
          <w:rPr>
            <w:rStyle w:val="Hyperlink"/>
            <w:sz w:val="16"/>
            <w:szCs w:val="16"/>
          </w:rPr>
          <w:t>https://theconversation.com/nowhere-to-hide-the-significance-of-national-cabinet-not-being-a-cabinet-165671</w:t>
        </w:r>
      </w:hyperlink>
      <w:r w:rsidR="004478CD" w:rsidRPr="004478CD">
        <w:rPr>
          <w:sz w:val="16"/>
          <w:szCs w:val="16"/>
        </w:rPr>
        <w:t xml:space="preserve">  Reflects badly: when Opposition Leader</w:t>
      </w:r>
      <w:r w:rsidR="00902B78">
        <w:rPr>
          <w:sz w:val="16"/>
          <w:szCs w:val="16"/>
        </w:rPr>
        <w:t>,</w:t>
      </w:r>
      <w:r w:rsidR="004478CD" w:rsidRPr="004478CD">
        <w:rPr>
          <w:sz w:val="16"/>
          <w:szCs w:val="16"/>
        </w:rPr>
        <w:t xml:space="preserve"> Mr Albanese urged release of </w:t>
      </w:r>
      <w:r w:rsidR="00902B78">
        <w:rPr>
          <w:sz w:val="16"/>
          <w:szCs w:val="16"/>
        </w:rPr>
        <w:t>n</w:t>
      </w:r>
      <w:r w:rsidR="004478CD" w:rsidRPr="004478CD">
        <w:rPr>
          <w:sz w:val="16"/>
          <w:szCs w:val="16"/>
        </w:rPr>
        <w:t xml:space="preserve">ational </w:t>
      </w:r>
      <w:r w:rsidR="00902B78">
        <w:rPr>
          <w:sz w:val="16"/>
          <w:szCs w:val="16"/>
        </w:rPr>
        <w:t>c</w:t>
      </w:r>
      <w:r w:rsidR="004478CD" w:rsidRPr="004478CD">
        <w:rPr>
          <w:sz w:val="16"/>
          <w:szCs w:val="16"/>
        </w:rPr>
        <w:t xml:space="preserve">abinet papers.  Now as chair of </w:t>
      </w:r>
      <w:r w:rsidR="00902B78">
        <w:rPr>
          <w:sz w:val="16"/>
          <w:szCs w:val="16"/>
        </w:rPr>
        <w:t>n</w:t>
      </w:r>
      <w:r w:rsidR="004478CD" w:rsidRPr="004478CD">
        <w:rPr>
          <w:sz w:val="16"/>
          <w:szCs w:val="16"/>
        </w:rPr>
        <w:t xml:space="preserve">ational </w:t>
      </w:r>
      <w:r w:rsidR="00902B78">
        <w:rPr>
          <w:sz w:val="16"/>
          <w:szCs w:val="16"/>
        </w:rPr>
        <w:t>c</w:t>
      </w:r>
      <w:r w:rsidR="004478CD" w:rsidRPr="004478CD">
        <w:rPr>
          <w:sz w:val="16"/>
          <w:szCs w:val="16"/>
        </w:rPr>
        <w:t xml:space="preserve">abinet he apparently wants confidentiality: </w:t>
      </w:r>
      <w:hyperlink r:id="rId37" w:history="1">
        <w:r w:rsidR="004478CD" w:rsidRPr="004478CD">
          <w:rPr>
            <w:rStyle w:val="Hyperlink"/>
            <w:sz w:val="16"/>
            <w:szCs w:val="16"/>
          </w:rPr>
          <w:t>https://www.theguardian.com/australia-news/2022/jun/17/anthony-albanese-backflips-on-national-cabinet-secrecy-and-refuses-to-say-why</w:t>
        </w:r>
      </w:hyperlink>
    </w:p>
    <w:p w14:paraId="29D29BE4" w14:textId="58A4E1F5" w:rsidR="006246B9" w:rsidRPr="004478CD" w:rsidRDefault="006246B9">
      <w:pPr>
        <w:pStyle w:val="FootnoteText"/>
        <w:rPr>
          <w:sz w:val="16"/>
          <w:szCs w:val="16"/>
        </w:rPr>
      </w:pPr>
    </w:p>
  </w:footnote>
  <w:footnote w:id="30">
    <w:p w14:paraId="5227F15F" w14:textId="0D230261" w:rsidR="00905D1B" w:rsidRDefault="002E2B98" w:rsidP="002E2B98">
      <w:pPr>
        <w:pStyle w:val="FootnoteText"/>
        <w:rPr>
          <w:sz w:val="16"/>
          <w:szCs w:val="16"/>
        </w:rPr>
      </w:pPr>
      <w:r w:rsidRPr="00D92751">
        <w:rPr>
          <w:rStyle w:val="FootnoteReference"/>
          <w:sz w:val="16"/>
          <w:szCs w:val="16"/>
        </w:rPr>
        <w:footnoteRef/>
      </w:r>
      <w:r w:rsidRPr="00D92751">
        <w:rPr>
          <w:sz w:val="16"/>
          <w:szCs w:val="16"/>
        </w:rPr>
        <w:t xml:space="preserve"> </w:t>
      </w:r>
      <w:r w:rsidR="00905D1B">
        <w:rPr>
          <w:sz w:val="16"/>
          <w:szCs w:val="16"/>
        </w:rPr>
        <w:t xml:space="preserve">National </w:t>
      </w:r>
      <w:r w:rsidR="00902B78">
        <w:rPr>
          <w:sz w:val="16"/>
          <w:szCs w:val="16"/>
        </w:rPr>
        <w:t>c</w:t>
      </w:r>
      <w:r w:rsidR="00905D1B">
        <w:rPr>
          <w:sz w:val="16"/>
          <w:szCs w:val="16"/>
        </w:rPr>
        <w:t xml:space="preserve">abinet’s stated purpose: </w:t>
      </w:r>
      <w:hyperlink r:id="rId38" w:history="1">
        <w:r w:rsidR="004478CD" w:rsidRPr="00AA6460">
          <w:rPr>
            <w:rStyle w:val="Hyperlink"/>
            <w:sz w:val="16"/>
            <w:szCs w:val="16"/>
          </w:rPr>
          <w:t>https://federation.gov.au/national-cabinet</w:t>
        </w:r>
      </w:hyperlink>
    </w:p>
    <w:p w14:paraId="349B49D8" w14:textId="5B4A72EE" w:rsidR="002E2B98" w:rsidRPr="00D92751" w:rsidRDefault="00000000" w:rsidP="002E2B98">
      <w:pPr>
        <w:pStyle w:val="FootnoteText"/>
        <w:rPr>
          <w:sz w:val="16"/>
          <w:szCs w:val="16"/>
        </w:rPr>
      </w:pPr>
      <w:hyperlink r:id="rId39" w:history="1">
        <w:r w:rsidR="002E2B98" w:rsidRPr="00D92751">
          <w:rPr>
            <w:rStyle w:val="Hyperlink"/>
            <w:sz w:val="16"/>
            <w:szCs w:val="16"/>
          </w:rPr>
          <w:t>https://www.canberratimes.com.au/story/7328096/the-pm-can-have-his-cake-and-eat-it-when-it-comes-to-vaccine-rollout/</w:t>
        </w:r>
      </w:hyperlink>
    </w:p>
    <w:p w14:paraId="446CAF25" w14:textId="77777777" w:rsidR="002E2B98" w:rsidRPr="00D92751" w:rsidRDefault="002E2B98" w:rsidP="002E2B98">
      <w:pPr>
        <w:pStyle w:val="FootnoteText"/>
        <w:rPr>
          <w:sz w:val="16"/>
          <w:szCs w:val="16"/>
        </w:rPr>
      </w:pPr>
    </w:p>
  </w:footnote>
  <w:footnote w:id="31">
    <w:p w14:paraId="009512F0" w14:textId="4F001133" w:rsidR="00902B78" w:rsidRDefault="00902B78">
      <w:pPr>
        <w:pStyle w:val="FootnoteText"/>
        <w:rPr>
          <w:sz w:val="16"/>
          <w:szCs w:val="16"/>
        </w:rPr>
      </w:pPr>
      <w:r w:rsidRPr="00902B78">
        <w:rPr>
          <w:rStyle w:val="FootnoteReference"/>
          <w:sz w:val="16"/>
          <w:szCs w:val="16"/>
        </w:rPr>
        <w:footnoteRef/>
      </w:r>
      <w:r w:rsidRPr="00902B78">
        <w:rPr>
          <w:sz w:val="16"/>
          <w:szCs w:val="16"/>
        </w:rPr>
        <w:t xml:space="preserve"> </w:t>
      </w:r>
      <w:hyperlink r:id="rId40" w:history="1">
        <w:r w:rsidR="00343AE2" w:rsidRPr="001D4D9D">
          <w:rPr>
            <w:rStyle w:val="Hyperlink"/>
            <w:sz w:val="16"/>
            <w:szCs w:val="16"/>
          </w:rPr>
          <w:t>https://www.panterapress.com.au/product/plagued/</w:t>
        </w:r>
      </w:hyperlink>
    </w:p>
    <w:p w14:paraId="6122E451" w14:textId="77777777" w:rsidR="00343AE2" w:rsidRPr="00902B78" w:rsidRDefault="00343AE2">
      <w:pPr>
        <w:pStyle w:val="FootnoteText"/>
        <w:rPr>
          <w:sz w:val="16"/>
          <w:szCs w:val="16"/>
        </w:rPr>
      </w:pPr>
    </w:p>
  </w:footnote>
  <w:footnote w:id="32">
    <w:p w14:paraId="188809D1" w14:textId="2AD7C54F" w:rsidR="002E2B98" w:rsidRDefault="002E2B98" w:rsidP="002E2B98">
      <w:pPr>
        <w:pStyle w:val="FootnoteText"/>
        <w:rPr>
          <w:sz w:val="16"/>
          <w:szCs w:val="16"/>
        </w:rPr>
      </w:pPr>
      <w:r w:rsidRPr="00D92751">
        <w:rPr>
          <w:rStyle w:val="FootnoteReference"/>
          <w:sz w:val="16"/>
          <w:szCs w:val="16"/>
        </w:rPr>
        <w:footnoteRef/>
      </w:r>
      <w:r w:rsidRPr="00D92751">
        <w:rPr>
          <w:sz w:val="16"/>
          <w:szCs w:val="16"/>
        </w:rPr>
        <w:t xml:space="preserve"> </w:t>
      </w:r>
      <w:r w:rsidR="00604792">
        <w:rPr>
          <w:sz w:val="16"/>
          <w:szCs w:val="16"/>
        </w:rPr>
        <w:t xml:space="preserve">Dog whistling: the by-now formulaic refence to elite males: </w:t>
      </w:r>
      <w:r w:rsidR="00196EAA">
        <w:rPr>
          <w:sz w:val="16"/>
          <w:szCs w:val="16"/>
        </w:rPr>
        <w:t xml:space="preserve">(National Cabinet) </w:t>
      </w:r>
      <w:r w:rsidR="000308C4" w:rsidRPr="00604792">
        <w:rPr>
          <w:i/>
          <w:iCs/>
          <w:sz w:val="16"/>
          <w:szCs w:val="16"/>
        </w:rPr>
        <w:t>‘</w:t>
      </w:r>
      <w:r w:rsidR="00DD09FB">
        <w:rPr>
          <w:i/>
          <w:iCs/>
          <w:sz w:val="16"/>
          <w:szCs w:val="16"/>
        </w:rPr>
        <w:t>…</w:t>
      </w:r>
      <w:r w:rsidR="000308C4">
        <w:rPr>
          <w:i/>
          <w:iCs/>
          <w:sz w:val="16"/>
          <w:szCs w:val="16"/>
        </w:rPr>
        <w:t>.</w:t>
      </w:r>
      <w:r w:rsidR="00604792" w:rsidRPr="00604792">
        <w:rPr>
          <w:rFonts w:cstheme="minorHAnsi"/>
          <w:i/>
          <w:iCs/>
          <w:color w:val="1F2937"/>
          <w:sz w:val="16"/>
          <w:szCs w:val="16"/>
          <w:shd w:val="clear" w:color="auto" w:fill="FFFFFF"/>
        </w:rPr>
        <w:t xml:space="preserve"> </w:t>
      </w:r>
      <w:r w:rsidR="00604792" w:rsidRPr="00AE1482">
        <w:rPr>
          <w:rFonts w:cstheme="minorHAnsi"/>
          <w:i/>
          <w:iCs/>
          <w:sz w:val="16"/>
          <w:szCs w:val="16"/>
          <w:shd w:val="clear" w:color="auto" w:fill="FFFFFF"/>
        </w:rPr>
        <w:t>has long been criticised by federal scholars as creating an undemocratic dynamic where critical decisions are made behind closed doors, by an elite group of mainly male actors’</w:t>
      </w:r>
      <w:r w:rsidR="00196EAA" w:rsidRPr="00AE1482">
        <w:rPr>
          <w:rFonts w:cstheme="minorHAnsi"/>
          <w:i/>
          <w:iCs/>
          <w:sz w:val="16"/>
          <w:szCs w:val="16"/>
          <w:shd w:val="clear" w:color="auto" w:fill="FFFFFF"/>
        </w:rPr>
        <w:t xml:space="preserve">  </w:t>
      </w:r>
      <w:r w:rsidR="00960C50" w:rsidRPr="00AE1482">
        <w:rPr>
          <w:rFonts w:cstheme="minorHAnsi"/>
          <w:sz w:val="16"/>
          <w:szCs w:val="16"/>
        </w:rPr>
        <w:t>underplay</w:t>
      </w:r>
      <w:r w:rsidR="00AE1482">
        <w:rPr>
          <w:rFonts w:cstheme="minorHAnsi"/>
          <w:sz w:val="16"/>
          <w:szCs w:val="16"/>
        </w:rPr>
        <w:t>ed</w:t>
      </w:r>
      <w:r w:rsidR="00960C50" w:rsidRPr="00AE1482">
        <w:rPr>
          <w:rFonts w:cstheme="minorHAnsi"/>
          <w:sz w:val="16"/>
          <w:szCs w:val="16"/>
        </w:rPr>
        <w:t xml:space="preserve"> the NSW and Queensland Premiers.  The </w:t>
      </w:r>
      <w:r w:rsidR="00196EAA" w:rsidRPr="00AE1482">
        <w:rPr>
          <w:rFonts w:cstheme="minorHAnsi"/>
          <w:sz w:val="16"/>
          <w:szCs w:val="16"/>
        </w:rPr>
        <w:t xml:space="preserve">‘performance’ of the </w:t>
      </w:r>
      <w:r w:rsidR="00960C50" w:rsidRPr="00AE1482">
        <w:rPr>
          <w:rFonts w:cstheme="minorHAnsi"/>
          <w:sz w:val="16"/>
          <w:szCs w:val="16"/>
        </w:rPr>
        <w:t>la</w:t>
      </w:r>
      <w:r w:rsidR="00196EAA" w:rsidRPr="00AE1482">
        <w:rPr>
          <w:rFonts w:cstheme="minorHAnsi"/>
          <w:sz w:val="16"/>
          <w:szCs w:val="16"/>
        </w:rPr>
        <w:t>s</w:t>
      </w:r>
      <w:r w:rsidR="00960C50" w:rsidRPr="00AE1482">
        <w:rPr>
          <w:rFonts w:cstheme="minorHAnsi"/>
          <w:sz w:val="16"/>
          <w:szCs w:val="16"/>
        </w:rPr>
        <w:t>t being as ‘controversial’ as th</w:t>
      </w:r>
      <w:r w:rsidR="00196EAA" w:rsidRPr="00AE1482">
        <w:rPr>
          <w:rFonts w:cstheme="minorHAnsi"/>
          <w:sz w:val="16"/>
          <w:szCs w:val="16"/>
        </w:rPr>
        <w:t xml:space="preserve">at </w:t>
      </w:r>
      <w:r w:rsidR="00960C50" w:rsidRPr="00AE1482">
        <w:rPr>
          <w:rFonts w:cstheme="minorHAnsi"/>
          <w:sz w:val="16"/>
          <w:szCs w:val="16"/>
        </w:rPr>
        <w:t xml:space="preserve">of </w:t>
      </w:r>
      <w:r w:rsidRPr="00AE1482">
        <w:rPr>
          <w:sz w:val="16"/>
          <w:szCs w:val="16"/>
        </w:rPr>
        <w:t xml:space="preserve">female chief health officers </w:t>
      </w:r>
      <w:r w:rsidR="00960C50" w:rsidRPr="00AE1482">
        <w:rPr>
          <w:sz w:val="16"/>
          <w:szCs w:val="16"/>
        </w:rPr>
        <w:t>of</w:t>
      </w:r>
      <w:r w:rsidRPr="00AE1482">
        <w:rPr>
          <w:sz w:val="16"/>
          <w:szCs w:val="16"/>
        </w:rPr>
        <w:t xml:space="preserve"> Queensland, South Australia</w:t>
      </w:r>
      <w:r w:rsidR="00960C50" w:rsidRPr="00AE1482">
        <w:rPr>
          <w:sz w:val="16"/>
          <w:szCs w:val="16"/>
        </w:rPr>
        <w:t xml:space="preserve"> and</w:t>
      </w:r>
      <w:r w:rsidRPr="00AE1482">
        <w:rPr>
          <w:sz w:val="16"/>
          <w:szCs w:val="16"/>
        </w:rPr>
        <w:t xml:space="preserve"> the Australian Capital Territory</w:t>
      </w:r>
      <w:r w:rsidR="00960C50" w:rsidRPr="00AE1482">
        <w:rPr>
          <w:sz w:val="16"/>
          <w:szCs w:val="16"/>
        </w:rPr>
        <w:t xml:space="preserve">, and of </w:t>
      </w:r>
      <w:r w:rsidRPr="00AE1482">
        <w:rPr>
          <w:sz w:val="16"/>
          <w:szCs w:val="16"/>
        </w:rPr>
        <w:t xml:space="preserve">several female </w:t>
      </w:r>
      <w:r>
        <w:rPr>
          <w:sz w:val="16"/>
          <w:szCs w:val="16"/>
        </w:rPr>
        <w:t xml:space="preserve">senior </w:t>
      </w:r>
      <w:r w:rsidR="00960C50">
        <w:rPr>
          <w:sz w:val="16"/>
          <w:szCs w:val="16"/>
        </w:rPr>
        <w:t xml:space="preserve">Victorian health </w:t>
      </w:r>
      <w:r>
        <w:rPr>
          <w:sz w:val="16"/>
          <w:szCs w:val="16"/>
        </w:rPr>
        <w:t xml:space="preserve">officials – </w:t>
      </w:r>
      <w:r w:rsidR="00960C50">
        <w:rPr>
          <w:sz w:val="16"/>
          <w:szCs w:val="16"/>
        </w:rPr>
        <w:t xml:space="preserve">re the Melbourne </w:t>
      </w:r>
      <w:r>
        <w:rPr>
          <w:sz w:val="16"/>
          <w:szCs w:val="16"/>
        </w:rPr>
        <w:t xml:space="preserve">curfew extension and </w:t>
      </w:r>
      <w:r w:rsidR="00960C50">
        <w:rPr>
          <w:sz w:val="16"/>
          <w:szCs w:val="16"/>
        </w:rPr>
        <w:t xml:space="preserve">a comparison of Covid-19 with </w:t>
      </w:r>
      <w:r>
        <w:rPr>
          <w:sz w:val="16"/>
          <w:szCs w:val="16"/>
        </w:rPr>
        <w:t>Captain Cook</w:t>
      </w:r>
      <w:r w:rsidR="00841390">
        <w:rPr>
          <w:sz w:val="16"/>
          <w:szCs w:val="16"/>
        </w:rPr>
        <w:t>.  T</w:t>
      </w:r>
      <w:r w:rsidR="0094335D">
        <w:rPr>
          <w:sz w:val="16"/>
          <w:szCs w:val="16"/>
        </w:rPr>
        <w:t>heir</w:t>
      </w:r>
      <w:r w:rsidR="00196EAA">
        <w:rPr>
          <w:sz w:val="16"/>
          <w:szCs w:val="16"/>
        </w:rPr>
        <w:t xml:space="preserve"> decisions </w:t>
      </w:r>
      <w:r w:rsidR="00841390">
        <w:rPr>
          <w:sz w:val="16"/>
          <w:szCs w:val="16"/>
        </w:rPr>
        <w:t>wit</w:t>
      </w:r>
      <w:r w:rsidR="0094335D">
        <w:rPr>
          <w:sz w:val="16"/>
          <w:szCs w:val="16"/>
        </w:rPr>
        <w:t xml:space="preserve">h far more impact than those of elected Governments </w:t>
      </w:r>
      <w:r w:rsidR="00196EAA">
        <w:rPr>
          <w:sz w:val="16"/>
          <w:szCs w:val="16"/>
        </w:rPr>
        <w:t xml:space="preserve">were made behind closed doors </w:t>
      </w:r>
      <w:r w:rsidR="0094335D">
        <w:rPr>
          <w:sz w:val="16"/>
          <w:szCs w:val="16"/>
        </w:rPr>
        <w:t>and</w:t>
      </w:r>
      <w:r w:rsidR="00841390">
        <w:rPr>
          <w:sz w:val="16"/>
          <w:szCs w:val="16"/>
        </w:rPr>
        <w:t>,</w:t>
      </w:r>
      <w:r w:rsidR="0094335D">
        <w:rPr>
          <w:sz w:val="16"/>
          <w:szCs w:val="16"/>
        </w:rPr>
        <w:t xml:space="preserve"> </w:t>
      </w:r>
      <w:r w:rsidR="00841390">
        <w:rPr>
          <w:sz w:val="16"/>
          <w:szCs w:val="16"/>
        </w:rPr>
        <w:t xml:space="preserve">in some cases, </w:t>
      </w:r>
      <w:r w:rsidR="00AE1482">
        <w:rPr>
          <w:sz w:val="16"/>
          <w:szCs w:val="16"/>
        </w:rPr>
        <w:t>appear to be of dubious legality</w:t>
      </w:r>
      <w:r w:rsidR="0094335D">
        <w:rPr>
          <w:sz w:val="16"/>
          <w:szCs w:val="16"/>
        </w:rPr>
        <w:t xml:space="preserve"> </w:t>
      </w:r>
      <w:r w:rsidR="00196EAA">
        <w:rPr>
          <w:sz w:val="16"/>
          <w:szCs w:val="16"/>
        </w:rPr>
        <w:t xml:space="preserve">e.g. </w:t>
      </w:r>
      <w:hyperlink r:id="rId41" w:history="1">
        <w:r w:rsidR="00196EAA" w:rsidRPr="00AA6460">
          <w:rPr>
            <w:rStyle w:val="Hyperlink"/>
            <w:sz w:val="16"/>
            <w:szCs w:val="16"/>
          </w:rPr>
          <w:t>https://www.thejadebeagle.com/covid---may.html</w:t>
        </w:r>
      </w:hyperlink>
      <w:r w:rsidR="00196EAA">
        <w:rPr>
          <w:sz w:val="16"/>
          <w:szCs w:val="16"/>
        </w:rPr>
        <w:t xml:space="preserve">; </w:t>
      </w:r>
      <w:hyperlink r:id="rId42" w:history="1">
        <w:r w:rsidR="00196EAA" w:rsidRPr="00AA6460">
          <w:rPr>
            <w:rStyle w:val="Hyperlink"/>
            <w:sz w:val="16"/>
            <w:szCs w:val="16"/>
          </w:rPr>
          <w:t>https://www.thejadebeagle.com/covid---july-2020.html</w:t>
        </w:r>
      </w:hyperlink>
      <w:r w:rsidR="00196EAA">
        <w:rPr>
          <w:sz w:val="16"/>
          <w:szCs w:val="16"/>
        </w:rPr>
        <w:t xml:space="preserve">; </w:t>
      </w:r>
      <w:hyperlink r:id="rId43" w:history="1">
        <w:r w:rsidR="00196EAA" w:rsidRPr="00AA6460">
          <w:rPr>
            <w:rStyle w:val="Hyperlink"/>
            <w:sz w:val="16"/>
            <w:szCs w:val="16"/>
          </w:rPr>
          <w:t>https://www.thejadebeagle.com/not-so-fast.html</w:t>
        </w:r>
      </w:hyperlink>
    </w:p>
    <w:p w14:paraId="35ED5591" w14:textId="77777777" w:rsidR="002E2B98" w:rsidRPr="00D92751" w:rsidRDefault="002E2B98" w:rsidP="002E2B98">
      <w:pPr>
        <w:pStyle w:val="FootnoteText"/>
        <w:rPr>
          <w:sz w:val="16"/>
          <w:szCs w:val="16"/>
        </w:rPr>
      </w:pPr>
    </w:p>
  </w:footnote>
  <w:footnote w:id="33">
    <w:p w14:paraId="6CF86FD1" w14:textId="77777777" w:rsidR="002E2B98" w:rsidRDefault="002E2B98" w:rsidP="002E2B98">
      <w:pPr>
        <w:pStyle w:val="FootnoteText"/>
      </w:pPr>
      <w:r w:rsidRPr="00D92751">
        <w:rPr>
          <w:rStyle w:val="FootnoteReference"/>
          <w:sz w:val="16"/>
          <w:szCs w:val="16"/>
        </w:rPr>
        <w:footnoteRef/>
      </w:r>
      <w:r w:rsidRPr="00D92751">
        <w:rPr>
          <w:sz w:val="16"/>
          <w:szCs w:val="16"/>
        </w:rPr>
        <w:t xml:space="preserve"> </w:t>
      </w:r>
      <w:hyperlink r:id="rId44" w:history="1">
        <w:r w:rsidRPr="00D92751">
          <w:rPr>
            <w:rStyle w:val="Hyperlink"/>
            <w:sz w:val="16"/>
            <w:szCs w:val="16"/>
          </w:rPr>
          <w:t>https://www.theaustralian.com.au/commentary/emergency-powers-secret-ministries-avoid-scrutiny-of-parliament/news-story/5c8580593ff6319994d9625a3b0f8a99</w:t>
        </w:r>
      </w:hyperlink>
    </w:p>
  </w:footnote>
  <w:footnote w:id="34">
    <w:p w14:paraId="0C484E49" w14:textId="2E5602A0" w:rsidR="00343AE2" w:rsidRPr="00343AE2" w:rsidRDefault="00D32B2D">
      <w:pPr>
        <w:pStyle w:val="FootnoteText"/>
        <w:rPr>
          <w:sz w:val="16"/>
          <w:szCs w:val="16"/>
        </w:rPr>
      </w:pPr>
      <w:r w:rsidRPr="00343AE2">
        <w:rPr>
          <w:rStyle w:val="FootnoteReference"/>
          <w:sz w:val="16"/>
          <w:szCs w:val="16"/>
        </w:rPr>
        <w:footnoteRef/>
      </w:r>
      <w:r w:rsidRPr="00343AE2">
        <w:rPr>
          <w:sz w:val="16"/>
          <w:szCs w:val="16"/>
        </w:rPr>
        <w:t xml:space="preserve"> </w:t>
      </w:r>
      <w:hyperlink r:id="rId45" w:history="1">
        <w:r w:rsidR="00343AE2" w:rsidRPr="001D4D9D">
          <w:rPr>
            <w:rStyle w:val="Hyperlink"/>
            <w:sz w:val="16"/>
            <w:szCs w:val="16"/>
          </w:rPr>
          <w:t>https://www.thejadebeagle.com/not-so-fast.html</w:t>
        </w:r>
      </w:hyperlink>
    </w:p>
    <w:p w14:paraId="47B4DB8C" w14:textId="77777777" w:rsidR="00E04643" w:rsidRPr="00853D7C" w:rsidRDefault="00E04643">
      <w:pPr>
        <w:pStyle w:val="FootnoteText"/>
        <w:rPr>
          <w:sz w:val="16"/>
          <w:szCs w:val="16"/>
        </w:rPr>
      </w:pPr>
    </w:p>
  </w:footnote>
  <w:footnote w:id="35">
    <w:p w14:paraId="11E6A475" w14:textId="2BE0E0A2" w:rsidR="002E2B98" w:rsidRDefault="002E2B98" w:rsidP="002E2B98">
      <w:pPr>
        <w:pStyle w:val="FootnoteText"/>
        <w:rPr>
          <w:sz w:val="16"/>
          <w:szCs w:val="16"/>
        </w:rPr>
      </w:pPr>
      <w:r w:rsidRPr="008934A6">
        <w:rPr>
          <w:rStyle w:val="FootnoteReference"/>
          <w:sz w:val="16"/>
          <w:szCs w:val="16"/>
        </w:rPr>
        <w:footnoteRef/>
      </w:r>
      <w:r w:rsidRPr="008934A6">
        <w:rPr>
          <w:sz w:val="16"/>
          <w:szCs w:val="16"/>
        </w:rPr>
        <w:t xml:space="preserve"> </w:t>
      </w:r>
      <w:hyperlink r:id="rId46" w:history="1">
        <w:r w:rsidR="00503F02" w:rsidRPr="00642A93">
          <w:rPr>
            <w:rStyle w:val="Hyperlink"/>
            <w:sz w:val="16"/>
            <w:szCs w:val="16"/>
          </w:rPr>
          <w:t>https://www.thejadebeagle.com/emergency-achieved.html</w:t>
        </w:r>
      </w:hyperlink>
    </w:p>
    <w:p w14:paraId="583FD5F9" w14:textId="77777777" w:rsidR="002E2B98" w:rsidRPr="008934A6" w:rsidRDefault="002E2B98" w:rsidP="002E2B98">
      <w:pPr>
        <w:pStyle w:val="FootnoteText"/>
        <w:rPr>
          <w:sz w:val="16"/>
          <w:szCs w:val="16"/>
        </w:rPr>
      </w:pPr>
    </w:p>
  </w:footnote>
  <w:footnote w:id="36">
    <w:p w14:paraId="098F9295" w14:textId="77777777" w:rsidR="005C5945" w:rsidRDefault="005C5945" w:rsidP="005C5945">
      <w:pPr>
        <w:pStyle w:val="FootnoteText"/>
        <w:rPr>
          <w:rStyle w:val="Hyperlink"/>
          <w:sz w:val="16"/>
          <w:szCs w:val="16"/>
        </w:rPr>
      </w:pPr>
      <w:r w:rsidRPr="008934A6">
        <w:rPr>
          <w:rStyle w:val="FootnoteReference"/>
          <w:sz w:val="16"/>
          <w:szCs w:val="16"/>
        </w:rPr>
        <w:footnoteRef/>
      </w:r>
      <w:r w:rsidRPr="008934A6">
        <w:rPr>
          <w:sz w:val="16"/>
          <w:szCs w:val="16"/>
        </w:rPr>
        <w:t xml:space="preserve"> </w:t>
      </w:r>
      <w:hyperlink r:id="rId47" w:history="1">
        <w:r w:rsidRPr="008934A6">
          <w:rPr>
            <w:rStyle w:val="Hyperlink"/>
            <w:sz w:val="16"/>
            <w:szCs w:val="16"/>
          </w:rPr>
          <w:t>https://www.theaustralian.com.au/commentary/morrisons-power-grab-a-pandoras-box-for-democracy/news-story/810eb39cbb003bd2eb6561504fc4a45d</w:t>
        </w:r>
      </w:hyperlink>
    </w:p>
    <w:p w14:paraId="63F71E1E" w14:textId="77777777" w:rsidR="005C5945" w:rsidRPr="008934A6" w:rsidRDefault="005C5945" w:rsidP="005C5945">
      <w:pPr>
        <w:pStyle w:val="FootnoteText"/>
        <w:rPr>
          <w:sz w:val="16"/>
          <w:szCs w:val="16"/>
        </w:rPr>
      </w:pPr>
    </w:p>
  </w:footnote>
  <w:footnote w:id="37">
    <w:p w14:paraId="34DE7E96" w14:textId="6B639AFF" w:rsidR="00AB0CAC" w:rsidRPr="00AB0CAC" w:rsidRDefault="00AB0CAC">
      <w:pPr>
        <w:pStyle w:val="FootnoteText"/>
        <w:rPr>
          <w:rFonts w:cstheme="minorHAnsi"/>
          <w:sz w:val="16"/>
          <w:szCs w:val="16"/>
        </w:rPr>
      </w:pPr>
      <w:r w:rsidRPr="00AB0CAC">
        <w:rPr>
          <w:rStyle w:val="FootnoteReference"/>
          <w:sz w:val="16"/>
          <w:szCs w:val="16"/>
        </w:rPr>
        <w:footnoteRef/>
      </w:r>
      <w:r w:rsidRPr="00AB0CAC">
        <w:rPr>
          <w:sz w:val="16"/>
          <w:szCs w:val="16"/>
        </w:rPr>
        <w:t xml:space="preserve"> </w:t>
      </w:r>
      <w:r w:rsidRPr="00AB0CAC">
        <w:rPr>
          <w:rFonts w:cstheme="minorHAnsi"/>
          <w:sz w:val="16"/>
          <w:szCs w:val="16"/>
          <w:shd w:val="clear" w:color="auto" w:fill="FFFFFF"/>
        </w:rPr>
        <w:t>In McC</w:t>
      </w:r>
      <w:r w:rsidR="00556872">
        <w:rPr>
          <w:rFonts w:cstheme="minorHAnsi"/>
          <w:sz w:val="16"/>
          <w:szCs w:val="16"/>
          <w:shd w:val="clear" w:color="auto" w:fill="FFFFFF"/>
        </w:rPr>
        <w:t>l</w:t>
      </w:r>
      <w:r w:rsidRPr="00AB0CAC">
        <w:rPr>
          <w:rFonts w:cstheme="minorHAnsi"/>
          <w:sz w:val="16"/>
          <w:szCs w:val="16"/>
          <w:shd w:val="clear" w:color="auto" w:fill="FFFFFF"/>
        </w:rPr>
        <w:t>oy v  NSW</w:t>
      </w:r>
      <w:r>
        <w:rPr>
          <w:rFonts w:cstheme="minorHAnsi"/>
          <w:sz w:val="16"/>
          <w:szCs w:val="16"/>
          <w:shd w:val="clear" w:color="auto" w:fill="FFFFFF"/>
        </w:rPr>
        <w:t>,</w:t>
      </w:r>
      <w:r w:rsidRPr="00AB0CAC">
        <w:rPr>
          <w:rFonts w:cstheme="minorHAnsi"/>
          <w:sz w:val="16"/>
          <w:szCs w:val="16"/>
          <w:shd w:val="clear" w:color="auto" w:fill="FFFFFF"/>
        </w:rPr>
        <w:t xml:space="preserve"> 2014</w:t>
      </w:r>
      <w:r w:rsidR="00366D45">
        <w:rPr>
          <w:rFonts w:cstheme="minorHAnsi"/>
          <w:sz w:val="16"/>
          <w:szCs w:val="16"/>
          <w:shd w:val="clear" w:color="auto" w:fill="FFFFFF"/>
        </w:rPr>
        <w:t>,</w:t>
      </w:r>
      <w:r w:rsidRPr="00AB0CAC">
        <w:rPr>
          <w:rFonts w:cstheme="minorHAnsi"/>
          <w:sz w:val="16"/>
          <w:szCs w:val="16"/>
          <w:shd w:val="clear" w:color="auto" w:fill="FFFFFF"/>
        </w:rPr>
        <w:t xml:space="preserve"> High Court justice Gagelar explored re</w:t>
      </w:r>
      <w:r>
        <w:rPr>
          <w:rFonts w:cstheme="minorHAnsi"/>
          <w:sz w:val="16"/>
          <w:szCs w:val="16"/>
          <w:shd w:val="clear" w:color="auto" w:fill="FFFFFF"/>
        </w:rPr>
        <w:t>presentative and re</w:t>
      </w:r>
      <w:r w:rsidRPr="00AB0CAC">
        <w:rPr>
          <w:rFonts w:cstheme="minorHAnsi"/>
          <w:sz w:val="16"/>
          <w:szCs w:val="16"/>
          <w:shd w:val="clear" w:color="auto" w:fill="FFFFFF"/>
        </w:rPr>
        <w:t>sponsible government.  H</w:t>
      </w:r>
      <w:r w:rsidRPr="00AB0CAC">
        <w:rPr>
          <w:rFonts w:cstheme="minorHAnsi"/>
          <w:sz w:val="16"/>
          <w:szCs w:val="16"/>
        </w:rPr>
        <w:t>e concluded the Constitution</w:t>
      </w:r>
      <w:r>
        <w:rPr>
          <w:rFonts w:cstheme="minorHAnsi"/>
          <w:sz w:val="16"/>
          <w:szCs w:val="16"/>
        </w:rPr>
        <w:t>’s</w:t>
      </w:r>
      <w:r w:rsidRPr="00AB0CAC">
        <w:rPr>
          <w:rFonts w:cstheme="minorHAnsi"/>
          <w:sz w:val="16"/>
          <w:szCs w:val="16"/>
        </w:rPr>
        <w:t xml:space="preserve"> implied freedom of political communication </w:t>
      </w:r>
      <w:r w:rsidRPr="00AB0CAC">
        <w:rPr>
          <w:rFonts w:cstheme="minorHAnsi"/>
          <w:i/>
          <w:iCs/>
          <w:sz w:val="16"/>
          <w:szCs w:val="16"/>
        </w:rPr>
        <w:t xml:space="preserve">‘is defined by the need to preserve the integrity of both the system of representative and responsible government ….and the method of constitutional alteration…. The freedom implied "is limited to what is necessary for the effective operation of that system of representative and responsible government”  </w:t>
      </w:r>
      <w:hyperlink r:id="rId48" w:history="1">
        <w:r w:rsidRPr="00AB0CAC">
          <w:rPr>
            <w:rStyle w:val="Hyperlink"/>
            <w:rFonts w:cstheme="minorHAnsi"/>
            <w:sz w:val="16"/>
            <w:szCs w:val="16"/>
          </w:rPr>
          <w:t>https://www.hcourt.gov.au/cases/case_s211-2014</w:t>
        </w:r>
      </w:hyperlink>
      <w:r w:rsidRPr="00AB0CAC">
        <w:rPr>
          <w:rFonts w:cstheme="minorHAnsi"/>
          <w:sz w:val="16"/>
          <w:szCs w:val="16"/>
        </w:rPr>
        <w:t xml:space="preserve">.  </w:t>
      </w:r>
    </w:p>
    <w:p w14:paraId="392C2076" w14:textId="77777777" w:rsidR="00AB0CAC" w:rsidRDefault="00AB0CAC">
      <w:pPr>
        <w:pStyle w:val="FootnoteText"/>
      </w:pPr>
    </w:p>
  </w:footnote>
  <w:footnote w:id="38">
    <w:p w14:paraId="5652AFC4" w14:textId="555DFEFB" w:rsidR="00D86854" w:rsidRPr="00FA21FC" w:rsidRDefault="00D86854" w:rsidP="00A97590">
      <w:pPr>
        <w:spacing w:after="0"/>
        <w:rPr>
          <w:rFonts w:cstheme="minorHAnsi"/>
          <w:sz w:val="16"/>
          <w:szCs w:val="16"/>
        </w:rPr>
      </w:pPr>
      <w:r w:rsidRPr="00504264">
        <w:rPr>
          <w:rStyle w:val="FootnoteReference"/>
          <w:rFonts w:cstheme="minorHAnsi"/>
          <w:sz w:val="16"/>
          <w:szCs w:val="16"/>
        </w:rPr>
        <w:footnoteRef/>
      </w:r>
      <w:r w:rsidRPr="00504264">
        <w:rPr>
          <w:rFonts w:cstheme="minorHAnsi"/>
          <w:sz w:val="16"/>
          <w:szCs w:val="16"/>
          <w:shd w:val="clear" w:color="auto" w:fill="FFFFFF"/>
        </w:rPr>
        <w:t xml:space="preserve"> </w:t>
      </w:r>
      <w:r w:rsidR="00AB0CAC">
        <w:rPr>
          <w:rFonts w:cstheme="minorHAnsi"/>
          <w:sz w:val="16"/>
          <w:szCs w:val="16"/>
          <w:shd w:val="clear" w:color="auto" w:fill="FFFFFF"/>
        </w:rPr>
        <w:t>See note 3</w:t>
      </w:r>
      <w:r w:rsidR="005C5945">
        <w:rPr>
          <w:rFonts w:cstheme="minorHAnsi"/>
          <w:sz w:val="16"/>
          <w:szCs w:val="16"/>
          <w:shd w:val="clear" w:color="auto" w:fill="FFFFFF"/>
        </w:rPr>
        <w:t>7</w:t>
      </w:r>
      <w:r w:rsidR="00AB0CAC">
        <w:rPr>
          <w:rFonts w:cstheme="minorHAnsi"/>
          <w:sz w:val="16"/>
          <w:szCs w:val="16"/>
          <w:shd w:val="clear" w:color="auto" w:fill="FFFFFF"/>
        </w:rPr>
        <w:t xml:space="preserve">: </w:t>
      </w:r>
      <w:r w:rsidRPr="00CD4C77">
        <w:rPr>
          <w:rFonts w:cstheme="minorHAnsi"/>
          <w:i/>
          <w:iCs/>
          <w:sz w:val="16"/>
          <w:szCs w:val="16"/>
        </w:rPr>
        <w:t>‘Electoral choice thereby constitutes the principal constraint on the …… lawful exercise by Ministers and officers within their departments of the executive power of the Commonwealth.’</w:t>
      </w:r>
      <w:r>
        <w:rPr>
          <w:rFonts w:cstheme="minorHAnsi"/>
          <w:sz w:val="16"/>
          <w:szCs w:val="16"/>
        </w:rPr>
        <w:t xml:space="preserve">  Note this relates to lawful Executive activity. </w:t>
      </w:r>
      <w:r w:rsidR="00A97590">
        <w:rPr>
          <w:rFonts w:cstheme="minorHAnsi"/>
          <w:sz w:val="16"/>
          <w:szCs w:val="16"/>
        </w:rPr>
        <w:t>He</w:t>
      </w:r>
      <w:r w:rsidR="00A97590" w:rsidRPr="00603360">
        <w:rPr>
          <w:sz w:val="16"/>
          <w:szCs w:val="16"/>
        </w:rPr>
        <w:t xml:space="preserve"> explain</w:t>
      </w:r>
      <w:r w:rsidR="00A97590">
        <w:rPr>
          <w:sz w:val="16"/>
          <w:szCs w:val="16"/>
        </w:rPr>
        <w:t>ed</w:t>
      </w:r>
      <w:r w:rsidR="00A97590" w:rsidRPr="00603360">
        <w:rPr>
          <w:sz w:val="16"/>
          <w:szCs w:val="16"/>
        </w:rPr>
        <w:t xml:space="preserve">: </w:t>
      </w:r>
      <w:r w:rsidR="00A97590">
        <w:rPr>
          <w:sz w:val="16"/>
          <w:szCs w:val="16"/>
        </w:rPr>
        <w:t>‘</w:t>
      </w:r>
      <w:r w:rsidR="00A97590" w:rsidRPr="00603360">
        <w:rPr>
          <w:rFonts w:cstheme="minorHAnsi"/>
          <w:i/>
          <w:iCs/>
          <w:sz w:val="16"/>
          <w:szCs w:val="16"/>
        </w:rPr>
        <w:t xml:space="preserve">The ever-present risk within the system of representative and responsible government…. is that communication of information which is either unfavourable or uninteresting to those currently in a position to exercise legislative or executive power will, through design or oversight, be impeded by legislative or executive action to an extent which impairs the making of an informed electoral choice and therefore undermines the constitutive and constraining effect of electoral </w:t>
      </w:r>
      <w:r w:rsidR="000308C4" w:rsidRPr="00603360">
        <w:rPr>
          <w:rFonts w:cstheme="minorHAnsi"/>
          <w:i/>
          <w:iCs/>
          <w:sz w:val="16"/>
          <w:szCs w:val="16"/>
        </w:rPr>
        <w:t>choice.</w:t>
      </w:r>
      <w:r w:rsidR="00A97590">
        <w:rPr>
          <w:rFonts w:cstheme="minorHAnsi"/>
          <w:i/>
          <w:iCs/>
          <w:sz w:val="16"/>
          <w:szCs w:val="16"/>
        </w:rPr>
        <w:t>’</w:t>
      </w:r>
      <w:r w:rsidR="00A97590" w:rsidRPr="00603360">
        <w:rPr>
          <w:rFonts w:cstheme="minorHAnsi"/>
          <w:sz w:val="16"/>
          <w:szCs w:val="16"/>
        </w:rPr>
        <w:t xml:space="preserve"> </w:t>
      </w:r>
    </w:p>
    <w:p w14:paraId="3D2DC8BF" w14:textId="77777777" w:rsidR="00D86854" w:rsidRDefault="00D86854" w:rsidP="00D86854">
      <w:pPr>
        <w:pStyle w:val="FootnoteText"/>
      </w:pPr>
      <w:r>
        <w:t xml:space="preserve"> </w:t>
      </w:r>
    </w:p>
  </w:footnote>
  <w:footnote w:id="39">
    <w:p w14:paraId="271526C4" w14:textId="692A39EF" w:rsidR="00C97A69" w:rsidRDefault="00A64127" w:rsidP="00A64127">
      <w:pPr>
        <w:pStyle w:val="FootnoteText"/>
        <w:rPr>
          <w:sz w:val="16"/>
          <w:szCs w:val="16"/>
        </w:rPr>
      </w:pPr>
      <w:r w:rsidRPr="00977D17">
        <w:rPr>
          <w:rStyle w:val="FootnoteReference"/>
          <w:sz w:val="16"/>
          <w:szCs w:val="16"/>
        </w:rPr>
        <w:footnoteRef/>
      </w:r>
      <w:r w:rsidRPr="00977D17">
        <w:rPr>
          <w:sz w:val="16"/>
          <w:szCs w:val="16"/>
        </w:rPr>
        <w:t xml:space="preserve"> Curiously, the Solicitor General’s advice is the Governor General must follow the advice of the Prime Minister in relation to appointment of Ministers, except the </w:t>
      </w:r>
      <w:r w:rsidRPr="00C717AC">
        <w:rPr>
          <w:sz w:val="16"/>
          <w:szCs w:val="16"/>
        </w:rPr>
        <w:t>Prime Minister.  Whose advice does he follow in that appointment?</w:t>
      </w:r>
      <w:r w:rsidR="009A4FC2">
        <w:rPr>
          <w:sz w:val="16"/>
          <w:szCs w:val="16"/>
        </w:rPr>
        <w:t xml:space="preserve">  Re the 1975 dismissal of the Whitlam Government, Governor General Kerr </w:t>
      </w:r>
      <w:r w:rsidR="00D15E49">
        <w:rPr>
          <w:sz w:val="16"/>
          <w:szCs w:val="16"/>
        </w:rPr>
        <w:t xml:space="preserve">and High Court Chief Justice Barwick </w:t>
      </w:r>
      <w:r w:rsidR="009A4FC2">
        <w:rPr>
          <w:sz w:val="16"/>
          <w:szCs w:val="16"/>
        </w:rPr>
        <w:t>contended there was another convention: the Prime Minister must be able to secure ‘supply’ – Appropriation</w:t>
      </w:r>
      <w:r w:rsidR="0040418B">
        <w:rPr>
          <w:sz w:val="16"/>
          <w:szCs w:val="16"/>
        </w:rPr>
        <w:t>, and if unable to do so would need to advise for an election to be held</w:t>
      </w:r>
      <w:r w:rsidR="009A4FC2">
        <w:rPr>
          <w:sz w:val="16"/>
          <w:szCs w:val="16"/>
        </w:rPr>
        <w:t>.</w:t>
      </w:r>
      <w:r w:rsidR="00173004">
        <w:rPr>
          <w:sz w:val="16"/>
          <w:szCs w:val="16"/>
        </w:rPr>
        <w:t xml:space="preserve">  </w:t>
      </w:r>
      <w:r w:rsidR="009A4FC2">
        <w:rPr>
          <w:sz w:val="16"/>
          <w:szCs w:val="16"/>
        </w:rPr>
        <w:t xml:space="preserve"> Appropriation involves legislation, and therefore approval of a Bill by both the House of Representatives and the Senate.  At the time this raised different issues to the United Kingdom – Australian Senators are elected by the people of the States, while the United Kingdom Lords – the Upper House – </w:t>
      </w:r>
      <w:r w:rsidR="0040418B">
        <w:rPr>
          <w:sz w:val="16"/>
          <w:szCs w:val="16"/>
        </w:rPr>
        <w:t>we</w:t>
      </w:r>
      <w:r w:rsidR="009A4FC2">
        <w:rPr>
          <w:sz w:val="16"/>
          <w:szCs w:val="16"/>
        </w:rPr>
        <w:t xml:space="preserve">re appointed by the </w:t>
      </w:r>
      <w:r w:rsidR="0040418B">
        <w:rPr>
          <w:sz w:val="16"/>
          <w:szCs w:val="16"/>
        </w:rPr>
        <w:t xml:space="preserve">Queen.  The appointment meant Lords were not ‘representative’ leading to a convention they would not vote against Bills – </w:t>
      </w:r>
      <w:r w:rsidR="000308C4">
        <w:rPr>
          <w:sz w:val="16"/>
          <w:szCs w:val="16"/>
        </w:rPr>
        <w:t>i.e.,</w:t>
      </w:r>
      <w:r w:rsidR="0040418B">
        <w:rPr>
          <w:sz w:val="16"/>
          <w:szCs w:val="16"/>
        </w:rPr>
        <w:t xml:space="preserve"> public money needs to be controlled by elected Parliamentarians.</w:t>
      </w:r>
      <w:r w:rsidR="004F3523">
        <w:rPr>
          <w:sz w:val="16"/>
          <w:szCs w:val="16"/>
        </w:rPr>
        <w:t xml:space="preserve"> </w:t>
      </w:r>
      <w:r w:rsidR="00173004">
        <w:rPr>
          <w:sz w:val="16"/>
          <w:szCs w:val="16"/>
        </w:rPr>
        <w:t xml:space="preserve">While the Lords tried to upend this </w:t>
      </w:r>
      <w:r w:rsidR="00D15E49">
        <w:rPr>
          <w:sz w:val="16"/>
          <w:szCs w:val="16"/>
        </w:rPr>
        <w:t>in 1909</w:t>
      </w:r>
      <w:r w:rsidR="00173004">
        <w:rPr>
          <w:sz w:val="16"/>
          <w:szCs w:val="16"/>
        </w:rPr>
        <w:t>, they failed and the convention became legislated</w:t>
      </w:r>
      <w:r w:rsidR="00D15E49">
        <w:rPr>
          <w:sz w:val="16"/>
          <w:szCs w:val="16"/>
        </w:rPr>
        <w:t xml:space="preserve"> in 1911</w:t>
      </w:r>
      <w:r w:rsidR="00173004">
        <w:rPr>
          <w:sz w:val="16"/>
          <w:szCs w:val="16"/>
        </w:rPr>
        <w:t xml:space="preserve">.  </w:t>
      </w:r>
      <w:r w:rsidR="00162165">
        <w:rPr>
          <w:sz w:val="16"/>
          <w:szCs w:val="16"/>
        </w:rPr>
        <w:t>I</w:t>
      </w:r>
      <w:r w:rsidR="004F3523">
        <w:rPr>
          <w:sz w:val="16"/>
          <w:szCs w:val="16"/>
        </w:rPr>
        <w:t>n both Australia and the United Kingdom, ‘money bills’ are to originate in the Lower House and are not to be amended by the Upper House</w:t>
      </w:r>
      <w:r w:rsidR="00162165">
        <w:rPr>
          <w:sz w:val="16"/>
          <w:szCs w:val="16"/>
        </w:rPr>
        <w:t>.  A</w:t>
      </w:r>
      <w:r w:rsidR="00C97A69">
        <w:rPr>
          <w:sz w:val="16"/>
          <w:szCs w:val="16"/>
        </w:rPr>
        <w:t xml:space="preserve">pproval of the Upper House is not required in the latter for the Bill to become law: </w:t>
      </w:r>
      <w:hyperlink r:id="rId49" w:history="1">
        <w:r w:rsidR="00C97A69" w:rsidRPr="00642A93">
          <w:rPr>
            <w:rStyle w:val="Hyperlink"/>
            <w:sz w:val="16"/>
            <w:szCs w:val="16"/>
          </w:rPr>
          <w:t>https://publications.parliament.uk/pa/ld201011/ldselect/ldconst/97/9705.htm</w:t>
        </w:r>
      </w:hyperlink>
      <w:r w:rsidR="005C5945">
        <w:rPr>
          <w:rStyle w:val="Hyperlink"/>
          <w:sz w:val="16"/>
          <w:szCs w:val="16"/>
        </w:rPr>
        <w:t xml:space="preserve">; </w:t>
      </w:r>
      <w:r w:rsidR="00C97A69">
        <w:rPr>
          <w:sz w:val="16"/>
          <w:szCs w:val="16"/>
        </w:rPr>
        <w:t xml:space="preserve">  </w:t>
      </w:r>
      <w:hyperlink r:id="rId50" w:history="1">
        <w:r w:rsidR="00C97A69" w:rsidRPr="00642A93">
          <w:rPr>
            <w:rStyle w:val="Hyperlink"/>
            <w:sz w:val="16"/>
            <w:szCs w:val="16"/>
          </w:rPr>
          <w:t>https://whitlamdismissal.com/1975/11/10/barwick-advice-to-kerr.html</w:t>
        </w:r>
      </w:hyperlink>
      <w:r w:rsidR="005C5945">
        <w:rPr>
          <w:rStyle w:val="Hyperlink"/>
          <w:sz w:val="16"/>
          <w:szCs w:val="16"/>
        </w:rPr>
        <w:t xml:space="preserve">; </w:t>
      </w:r>
      <w:hyperlink r:id="rId51" w:history="1">
        <w:r w:rsidR="00713547" w:rsidRPr="00642A93">
          <w:rPr>
            <w:rStyle w:val="Hyperlink"/>
            <w:sz w:val="16"/>
            <w:szCs w:val="16"/>
          </w:rPr>
          <w:t>https://theconversation.com/masons-role-in-the-1975-dismissal-unprecedented-hardly-9174</w:t>
        </w:r>
      </w:hyperlink>
    </w:p>
    <w:p w14:paraId="22B17202" w14:textId="77777777" w:rsidR="00A64127" w:rsidRPr="007072A6" w:rsidRDefault="00A64127" w:rsidP="00A64127">
      <w:pPr>
        <w:pStyle w:val="FootnoteText"/>
        <w:rPr>
          <w:sz w:val="16"/>
          <w:szCs w:val="16"/>
        </w:rPr>
      </w:pPr>
      <w:r w:rsidRPr="00C717AC">
        <w:rPr>
          <w:sz w:val="16"/>
          <w:szCs w:val="16"/>
        </w:rPr>
        <w:t xml:space="preserve"> </w:t>
      </w:r>
    </w:p>
  </w:footnote>
  <w:footnote w:id="40">
    <w:p w14:paraId="0C6F8388" w14:textId="77777777" w:rsidR="00A64127" w:rsidRDefault="00A64127" w:rsidP="00A64127">
      <w:pPr>
        <w:pStyle w:val="FootnoteText"/>
        <w:rPr>
          <w:sz w:val="16"/>
          <w:szCs w:val="16"/>
        </w:rPr>
      </w:pPr>
      <w:r w:rsidRPr="007072A6">
        <w:rPr>
          <w:rStyle w:val="FootnoteReference"/>
          <w:sz w:val="16"/>
          <w:szCs w:val="16"/>
        </w:rPr>
        <w:footnoteRef/>
      </w:r>
      <w:r w:rsidRPr="007072A6">
        <w:rPr>
          <w:sz w:val="16"/>
          <w:szCs w:val="16"/>
        </w:rPr>
        <w:t xml:space="preserve"> In October 2020, Mr Morrison referred to Cabinet as the primary decision</w:t>
      </w:r>
      <w:r>
        <w:rPr>
          <w:sz w:val="16"/>
          <w:szCs w:val="16"/>
        </w:rPr>
        <w:t>-</w:t>
      </w:r>
      <w:r w:rsidRPr="007072A6">
        <w:rPr>
          <w:sz w:val="16"/>
          <w:szCs w:val="16"/>
        </w:rPr>
        <w:t xml:space="preserve">making body of government.  Its principles are collective responsibility, solidarity, consultation, confidentiality and primacy of cabinet decisions: </w:t>
      </w:r>
      <w:hyperlink r:id="rId52" w:history="1">
        <w:r w:rsidRPr="00380EB1">
          <w:rPr>
            <w:rStyle w:val="Hyperlink"/>
            <w:sz w:val="16"/>
            <w:szCs w:val="16"/>
          </w:rPr>
          <w:t>https://www.pmc.gov.au/resource-centre/government/cabinet-handbook</w:t>
        </w:r>
      </w:hyperlink>
      <w:r w:rsidRPr="007072A6">
        <w:rPr>
          <w:sz w:val="16"/>
          <w:szCs w:val="16"/>
        </w:rPr>
        <w:t xml:space="preserve"> </w:t>
      </w:r>
      <w:r>
        <w:rPr>
          <w:sz w:val="16"/>
          <w:szCs w:val="16"/>
        </w:rPr>
        <w:t xml:space="preserve">Mr Morrison’s Government had 22-24 cabinet members and 6-8 outer Ministers and 12 Parliamentary Secretaries. </w:t>
      </w:r>
      <w:hyperlink r:id="rId53" w:history="1">
        <w:r w:rsidRPr="00380EB1">
          <w:rPr>
            <w:rStyle w:val="Hyperlink"/>
            <w:sz w:val="16"/>
            <w:szCs w:val="16"/>
          </w:rPr>
          <w:t>https://en.wikipedia.org/wiki/Second_Morrison_ministry</w:t>
        </w:r>
      </w:hyperlink>
      <w:r>
        <w:rPr>
          <w:sz w:val="16"/>
          <w:szCs w:val="16"/>
        </w:rPr>
        <w:t xml:space="preserve">  The governing parties had 77 seats in the House of Representatives and 30 Senators – a total of 107 members.</w:t>
      </w:r>
    </w:p>
    <w:p w14:paraId="2D15B2DA" w14:textId="77777777" w:rsidR="00A64127" w:rsidRPr="007072A6" w:rsidRDefault="00A64127" w:rsidP="00A64127">
      <w:pPr>
        <w:pStyle w:val="FootnoteText"/>
        <w:rPr>
          <w:sz w:val="16"/>
          <w:szCs w:val="16"/>
        </w:rPr>
      </w:pPr>
    </w:p>
  </w:footnote>
  <w:footnote w:id="41">
    <w:p w14:paraId="63AAAD3D" w14:textId="356E13D8" w:rsidR="00A64127" w:rsidRPr="00AF0060" w:rsidRDefault="00A64127" w:rsidP="00A64127">
      <w:pPr>
        <w:pStyle w:val="FootnoteText"/>
        <w:rPr>
          <w:sz w:val="16"/>
          <w:szCs w:val="16"/>
        </w:rPr>
      </w:pPr>
      <w:r w:rsidRPr="00AF0060">
        <w:rPr>
          <w:rStyle w:val="FootnoteReference"/>
          <w:sz w:val="16"/>
          <w:szCs w:val="16"/>
        </w:rPr>
        <w:footnoteRef/>
      </w:r>
      <w:hyperlink r:id="rId54" w:history="1">
        <w:r w:rsidRPr="00AF0060">
          <w:rPr>
            <w:rStyle w:val="Hyperlink"/>
            <w:sz w:val="16"/>
            <w:szCs w:val="16"/>
          </w:rPr>
          <w:t>https://www.aph.gov.au/About_Parliament/House_of_Representatives/Powers_practice_and_procedure/00_-_Infosheets/Infosheet_20_-_The_Australian_system_of_government</w:t>
        </w:r>
      </w:hyperlink>
      <w:r w:rsidRPr="00AF0060">
        <w:rPr>
          <w:sz w:val="16"/>
          <w:szCs w:val="16"/>
        </w:rPr>
        <w:t>.  Among reasons for caution is the Australian Commonwealth is not an antipodean version of the United Kingdom; in particular there are major differences in the powers of their Executive Governments, and the relation of Governments to Parliament.  A central reason is the difference between the respective Parliaments Upper Houses: the  Australian Senate is appointed by people of its States while until recently the House of Lords was largely appointed by the Monarch</w:t>
      </w:r>
      <w:r w:rsidR="00162165">
        <w:rPr>
          <w:sz w:val="16"/>
          <w:szCs w:val="16"/>
        </w:rPr>
        <w:t xml:space="preserve"> – see note 39 above</w:t>
      </w:r>
      <w:r w:rsidRPr="00AF0060">
        <w:rPr>
          <w:sz w:val="16"/>
          <w:szCs w:val="16"/>
        </w:rPr>
        <w:t xml:space="preserve">.  A consequence is the Australian Senate has greater and the Government lesser powers than their UK counterparts. </w:t>
      </w:r>
    </w:p>
    <w:p w14:paraId="25C4DCD8" w14:textId="77777777" w:rsidR="00A64127" w:rsidRDefault="00A64127" w:rsidP="00A64127">
      <w:pPr>
        <w:pStyle w:val="FootnoteText"/>
      </w:pPr>
    </w:p>
  </w:footnote>
  <w:footnote w:id="42">
    <w:p w14:paraId="76769A1D" w14:textId="43776E31" w:rsidR="005D253A" w:rsidRPr="00B6187C" w:rsidRDefault="005D253A">
      <w:pPr>
        <w:pStyle w:val="FootnoteText"/>
        <w:rPr>
          <w:sz w:val="16"/>
          <w:szCs w:val="16"/>
        </w:rPr>
      </w:pPr>
      <w:r w:rsidRPr="00B6187C">
        <w:rPr>
          <w:rStyle w:val="FootnoteReference"/>
          <w:sz w:val="16"/>
          <w:szCs w:val="16"/>
        </w:rPr>
        <w:footnoteRef/>
      </w:r>
      <w:r w:rsidRPr="00B6187C">
        <w:rPr>
          <w:sz w:val="16"/>
          <w:szCs w:val="16"/>
        </w:rPr>
        <w:t xml:space="preserve"> </w:t>
      </w:r>
      <w:hyperlink r:id="rId55" w:history="1">
        <w:r w:rsidRPr="00B6187C">
          <w:rPr>
            <w:rStyle w:val="Hyperlink"/>
            <w:sz w:val="16"/>
            <w:szCs w:val="16"/>
          </w:rPr>
          <w:t>https://www.auspublaw.org/blog/2022/09/high-court-upholds-validity-of-surveillance-devices-legislation-against-freedom-of-political-communication-challenge</w:t>
        </w:r>
      </w:hyperlink>
    </w:p>
  </w:footnote>
  <w:footnote w:id="43">
    <w:p w14:paraId="5B8F102C" w14:textId="563FB52A" w:rsidR="0014076E" w:rsidRDefault="0014076E" w:rsidP="0014076E">
      <w:pPr>
        <w:pStyle w:val="FootnoteText"/>
        <w:rPr>
          <w:sz w:val="16"/>
          <w:szCs w:val="16"/>
        </w:rPr>
      </w:pPr>
      <w:r w:rsidRPr="0044355D">
        <w:rPr>
          <w:rStyle w:val="FootnoteReference"/>
          <w:sz w:val="16"/>
          <w:szCs w:val="16"/>
        </w:rPr>
        <w:footnoteRef/>
      </w:r>
      <w:r w:rsidRPr="0044355D">
        <w:rPr>
          <w:sz w:val="16"/>
          <w:szCs w:val="16"/>
        </w:rPr>
        <w:t xml:space="preserve"> Prerogatives can be constrained, not expanded, by legislation.</w:t>
      </w:r>
    </w:p>
    <w:p w14:paraId="6515F109" w14:textId="77777777" w:rsidR="007B40AE" w:rsidRPr="0044355D" w:rsidRDefault="007B40AE" w:rsidP="0014076E">
      <w:pPr>
        <w:pStyle w:val="FootnoteText"/>
        <w:rPr>
          <w:sz w:val="16"/>
          <w:szCs w:val="16"/>
        </w:rPr>
      </w:pPr>
    </w:p>
  </w:footnote>
  <w:footnote w:id="44">
    <w:p w14:paraId="1A6C42BA" w14:textId="77777777" w:rsidR="0014076E" w:rsidRPr="0044355D" w:rsidRDefault="0014076E" w:rsidP="0014076E">
      <w:pPr>
        <w:pStyle w:val="FootnoteText"/>
        <w:rPr>
          <w:sz w:val="16"/>
          <w:szCs w:val="16"/>
        </w:rPr>
      </w:pPr>
      <w:r w:rsidRPr="0044355D">
        <w:rPr>
          <w:rStyle w:val="FootnoteReference"/>
          <w:sz w:val="16"/>
          <w:szCs w:val="16"/>
        </w:rPr>
        <w:footnoteRef/>
      </w:r>
      <w:r w:rsidRPr="0044355D">
        <w:rPr>
          <w:sz w:val="16"/>
          <w:szCs w:val="16"/>
        </w:rPr>
        <w:t xml:space="preserve"> </w:t>
      </w:r>
      <w:hyperlink r:id="rId56" w:history="1">
        <w:r w:rsidRPr="001D4D9D">
          <w:rPr>
            <w:rStyle w:val="Hyperlink"/>
            <w:sz w:val="16"/>
            <w:szCs w:val="16"/>
          </w:rPr>
          <w:t>https://www.thejadebeagle.com/emergency-achieved.html</w:t>
        </w:r>
      </w:hyperlink>
    </w:p>
  </w:footnote>
  <w:footnote w:id="45">
    <w:p w14:paraId="54E71650" w14:textId="77777777" w:rsidR="00BF0F3D" w:rsidRPr="00B75750" w:rsidRDefault="00BF0F3D" w:rsidP="00BF0F3D">
      <w:pPr>
        <w:pStyle w:val="FootnoteText"/>
        <w:rPr>
          <w:sz w:val="16"/>
          <w:szCs w:val="16"/>
        </w:rPr>
      </w:pPr>
      <w:r w:rsidRPr="00B75750">
        <w:rPr>
          <w:rStyle w:val="FootnoteReference"/>
          <w:sz w:val="16"/>
          <w:szCs w:val="16"/>
        </w:rPr>
        <w:footnoteRef/>
      </w:r>
      <w:hyperlink r:id="rId57" w:history="1">
        <w:r w:rsidRPr="00B75750">
          <w:rPr>
            <w:rStyle w:val="Hyperlink"/>
            <w:sz w:val="16"/>
            <w:szCs w:val="16"/>
          </w:rPr>
          <w:t>https://www.aph.gov.au/About_Parliament/House_of_Representatives/Powers_practice_and_procedure/Practice7/HTML/Chapter2/The_Ministry</w:t>
        </w:r>
      </w:hyperlink>
    </w:p>
    <w:p w14:paraId="404FDF3E" w14:textId="77777777" w:rsidR="00BF0F3D" w:rsidRPr="00B75750" w:rsidRDefault="00BF0F3D" w:rsidP="00BF0F3D">
      <w:pPr>
        <w:pStyle w:val="FootnoteText"/>
        <w:rPr>
          <w:sz w:val="16"/>
          <w:szCs w:val="16"/>
        </w:rPr>
      </w:pPr>
    </w:p>
  </w:footnote>
  <w:footnote w:id="46">
    <w:p w14:paraId="533421BE" w14:textId="0621CA87" w:rsidR="00BF0F3D" w:rsidRPr="00B75750" w:rsidRDefault="00BF0F3D" w:rsidP="00BF0F3D">
      <w:pPr>
        <w:pStyle w:val="FootnoteText"/>
        <w:rPr>
          <w:sz w:val="16"/>
          <w:szCs w:val="16"/>
        </w:rPr>
      </w:pPr>
      <w:r w:rsidRPr="00B75750">
        <w:rPr>
          <w:rStyle w:val="FootnoteReference"/>
          <w:sz w:val="16"/>
          <w:szCs w:val="16"/>
        </w:rPr>
        <w:footnoteRef/>
      </w:r>
      <w:r w:rsidRPr="00B75750">
        <w:rPr>
          <w:sz w:val="16"/>
          <w:szCs w:val="16"/>
        </w:rPr>
        <w:t xml:space="preserve"> For maximum number of Ministers see note 1</w:t>
      </w:r>
      <w:r w:rsidR="00ED4040" w:rsidRPr="00B75750">
        <w:rPr>
          <w:sz w:val="16"/>
          <w:szCs w:val="16"/>
        </w:rPr>
        <w:t>5</w:t>
      </w:r>
      <w:r w:rsidRPr="00B75750">
        <w:rPr>
          <w:sz w:val="16"/>
          <w:szCs w:val="16"/>
        </w:rPr>
        <w:t xml:space="preserve">. </w:t>
      </w:r>
      <w:r w:rsidR="00ED4040" w:rsidRPr="00B75750">
        <w:rPr>
          <w:sz w:val="16"/>
          <w:szCs w:val="16"/>
        </w:rPr>
        <w:t xml:space="preserve">The Whitlam </w:t>
      </w:r>
      <w:r w:rsidR="000308C4" w:rsidRPr="00B75750">
        <w:rPr>
          <w:sz w:val="16"/>
          <w:szCs w:val="16"/>
        </w:rPr>
        <w:t>Government</w:t>
      </w:r>
      <w:r w:rsidR="00ED4040" w:rsidRPr="00B75750">
        <w:rPr>
          <w:sz w:val="16"/>
          <w:szCs w:val="16"/>
        </w:rPr>
        <w:t xml:space="preserve"> at first had only two Ministers:</w:t>
      </w:r>
      <w:r w:rsidRPr="00B75750">
        <w:rPr>
          <w:sz w:val="16"/>
          <w:szCs w:val="16"/>
        </w:rPr>
        <w:t xml:space="preserve"> </w:t>
      </w:r>
      <w:hyperlink r:id="rId58" w:history="1">
        <w:r w:rsidRPr="00B75750">
          <w:rPr>
            <w:rStyle w:val="Hyperlink"/>
            <w:sz w:val="16"/>
            <w:szCs w:val="16"/>
          </w:rPr>
          <w:t>https://whitlamdismissal.com/government/the-first-whitlam-ministry</w:t>
        </w:r>
      </w:hyperlink>
    </w:p>
    <w:p w14:paraId="11FF5629" w14:textId="77777777" w:rsidR="00BF0F3D" w:rsidRPr="00B75750" w:rsidRDefault="00BF0F3D" w:rsidP="00BF0F3D">
      <w:pPr>
        <w:pStyle w:val="FootnoteText"/>
        <w:rPr>
          <w:sz w:val="16"/>
          <w:szCs w:val="16"/>
        </w:rPr>
      </w:pPr>
    </w:p>
  </w:footnote>
  <w:footnote w:id="47">
    <w:p w14:paraId="000B6350" w14:textId="6DAF6458" w:rsidR="005F3F97" w:rsidRPr="00B75750" w:rsidRDefault="00B54C25">
      <w:pPr>
        <w:pStyle w:val="FootnoteText"/>
        <w:rPr>
          <w:sz w:val="16"/>
          <w:szCs w:val="16"/>
        </w:rPr>
      </w:pPr>
      <w:r w:rsidRPr="00B75750">
        <w:rPr>
          <w:rStyle w:val="FootnoteReference"/>
          <w:sz w:val="16"/>
          <w:szCs w:val="16"/>
        </w:rPr>
        <w:footnoteRef/>
      </w:r>
      <w:r w:rsidRPr="00B75750">
        <w:rPr>
          <w:sz w:val="16"/>
          <w:szCs w:val="16"/>
        </w:rPr>
        <w:t xml:space="preserve"> </w:t>
      </w:r>
      <w:r w:rsidR="00503F02" w:rsidRPr="00B75750">
        <w:rPr>
          <w:sz w:val="16"/>
          <w:szCs w:val="16"/>
        </w:rPr>
        <w:t xml:space="preserve">An implication of the current Albanese Government’s 16 Departments and 30 Ministers (and 12 Parliamentary Secretaries) is several Departments have more than one Minister.  Several Ministers appear to administer more than one Department – for example Senator Watt administers the Department of Agriculture, Fisheries and Forestry and Department of Home Affairs (location of the emergency management function).  </w:t>
      </w:r>
      <w:r w:rsidR="005F3F97" w:rsidRPr="00B75750">
        <w:rPr>
          <w:sz w:val="16"/>
          <w:szCs w:val="16"/>
        </w:rPr>
        <w:t>Re Patterson, ex parte Taylor</w:t>
      </w:r>
      <w:r w:rsidR="00F00443" w:rsidRPr="00B75750">
        <w:rPr>
          <w:sz w:val="16"/>
          <w:szCs w:val="16"/>
        </w:rPr>
        <w:t xml:space="preserve"> note 13 (above) and</w:t>
      </w:r>
      <w:r w:rsidR="005F3F97" w:rsidRPr="00B75750">
        <w:rPr>
          <w:sz w:val="16"/>
          <w:szCs w:val="16"/>
        </w:rPr>
        <w:t xml:space="preserve"> </w:t>
      </w:r>
      <w:hyperlink r:id="rId59" w:history="1">
        <w:r w:rsidR="005F3F97" w:rsidRPr="00B75750">
          <w:rPr>
            <w:rStyle w:val="Hyperlink"/>
            <w:sz w:val="16"/>
            <w:szCs w:val="16"/>
          </w:rPr>
          <w:t>https://www.ags.gov.au/publications/litigation-notes/LitNote07.htm</w:t>
        </w:r>
      </w:hyperlink>
      <w:r w:rsidR="005F3F97" w:rsidRPr="00B75750">
        <w:rPr>
          <w:sz w:val="16"/>
          <w:szCs w:val="16"/>
        </w:rPr>
        <w:t xml:space="preserve">; Department: </w:t>
      </w:r>
      <w:hyperlink r:id="rId60" w:history="1">
        <w:r w:rsidR="005F3F97" w:rsidRPr="00B75750">
          <w:rPr>
            <w:rStyle w:val="Hyperlink"/>
            <w:sz w:val="16"/>
            <w:szCs w:val="16"/>
          </w:rPr>
          <w:t>https://www.pmc.gov.au/who-we-are/minister</w:t>
        </w:r>
      </w:hyperlink>
      <w:r w:rsidR="00503F02" w:rsidRPr="00B75750">
        <w:rPr>
          <w:sz w:val="16"/>
          <w:szCs w:val="16"/>
        </w:rPr>
        <w:t xml:space="preserve">.  </w:t>
      </w:r>
    </w:p>
    <w:p w14:paraId="2A208781" w14:textId="77777777" w:rsidR="005F3F97" w:rsidRPr="00B75750" w:rsidRDefault="005F3F97">
      <w:pPr>
        <w:pStyle w:val="FootnoteText"/>
        <w:rPr>
          <w:sz w:val="16"/>
          <w:szCs w:val="16"/>
        </w:rPr>
      </w:pPr>
    </w:p>
  </w:footnote>
  <w:footnote w:id="48">
    <w:p w14:paraId="6F3D62D2" w14:textId="1A06A98A" w:rsidR="001F7194" w:rsidRPr="00B75750" w:rsidRDefault="001F7194" w:rsidP="001F7194">
      <w:pPr>
        <w:pStyle w:val="FootnoteText"/>
        <w:rPr>
          <w:rStyle w:val="Hyperlink"/>
          <w:rFonts w:cstheme="minorHAnsi"/>
          <w:color w:val="auto"/>
          <w:sz w:val="16"/>
          <w:szCs w:val="16"/>
          <w:u w:val="none"/>
        </w:rPr>
      </w:pPr>
      <w:r w:rsidRPr="00B75750">
        <w:rPr>
          <w:rStyle w:val="FootnoteReference"/>
          <w:sz w:val="16"/>
          <w:szCs w:val="16"/>
        </w:rPr>
        <w:footnoteRef/>
      </w:r>
      <w:hyperlink r:id="rId61" w:history="1">
        <w:r w:rsidRPr="00B75750">
          <w:rPr>
            <w:rStyle w:val="Hyperlink"/>
            <w:rFonts w:cstheme="minorHAnsi"/>
            <w:sz w:val="16"/>
            <w:szCs w:val="16"/>
          </w:rPr>
          <w:t>http://classic.austlii.edu.au/au/journals/UQLawJl/1997/2.pdf</w:t>
        </w:r>
      </w:hyperlink>
      <w:r w:rsidRPr="00B75750">
        <w:rPr>
          <w:rStyle w:val="Hyperlink"/>
          <w:rFonts w:cstheme="minorHAnsi"/>
          <w:sz w:val="16"/>
          <w:szCs w:val="16"/>
        </w:rPr>
        <w:t xml:space="preserve">  </w:t>
      </w:r>
      <w:r w:rsidRPr="00B75750">
        <w:rPr>
          <w:rStyle w:val="Hyperlink"/>
          <w:rFonts w:cstheme="minorHAnsi"/>
          <w:color w:val="auto"/>
          <w:sz w:val="16"/>
          <w:szCs w:val="16"/>
          <w:u w:val="none"/>
        </w:rPr>
        <w:t xml:space="preserve">While the article concerned the latter, it noted discussion about individual responsibility usually considers issues about resignation or dismissal of Ministers.  </w:t>
      </w:r>
    </w:p>
    <w:p w14:paraId="74B234FE" w14:textId="2767946F" w:rsidR="001F7194" w:rsidRPr="00E053F4" w:rsidRDefault="001F7194">
      <w:pPr>
        <w:pStyle w:val="FootnoteText"/>
        <w:rPr>
          <w:sz w:val="16"/>
          <w:szCs w:val="16"/>
        </w:rPr>
      </w:pPr>
    </w:p>
  </w:footnote>
  <w:footnote w:id="49">
    <w:p w14:paraId="7D26C54D" w14:textId="51CA3F36" w:rsidR="00E053F4" w:rsidRDefault="00E053F4">
      <w:pPr>
        <w:pStyle w:val="FootnoteText"/>
        <w:rPr>
          <w:sz w:val="16"/>
          <w:szCs w:val="16"/>
        </w:rPr>
      </w:pPr>
      <w:r w:rsidRPr="00E053F4">
        <w:rPr>
          <w:rStyle w:val="FootnoteReference"/>
          <w:sz w:val="16"/>
          <w:szCs w:val="16"/>
        </w:rPr>
        <w:footnoteRef/>
      </w:r>
      <w:r w:rsidRPr="00E053F4">
        <w:rPr>
          <w:sz w:val="16"/>
          <w:szCs w:val="16"/>
        </w:rPr>
        <w:t xml:space="preserve"> Obvious problems with this include ascertaining what is and what is not a Cabinet decision, and Cabinet effectively usurping Parliament’s wishes – of delegating particular decisions to particular Ministers.</w:t>
      </w:r>
    </w:p>
    <w:p w14:paraId="21B83C98" w14:textId="77777777" w:rsidR="0011718F" w:rsidRPr="00E053F4" w:rsidRDefault="0011718F">
      <w:pPr>
        <w:pStyle w:val="FootnoteText"/>
        <w:rPr>
          <w:sz w:val="16"/>
          <w:szCs w:val="16"/>
        </w:rPr>
      </w:pPr>
    </w:p>
  </w:footnote>
  <w:footnote w:id="50">
    <w:p w14:paraId="5617BC74" w14:textId="77777777" w:rsidR="00853B39" w:rsidRDefault="009B3DFA" w:rsidP="009B3DFA">
      <w:pPr>
        <w:pStyle w:val="FootnoteText"/>
        <w:rPr>
          <w:rFonts w:cstheme="minorHAnsi"/>
          <w:i/>
          <w:iCs/>
          <w:sz w:val="16"/>
          <w:szCs w:val="16"/>
          <w:shd w:val="clear" w:color="auto" w:fill="FFFFFF"/>
        </w:rPr>
      </w:pPr>
      <w:r w:rsidRPr="00B75750">
        <w:rPr>
          <w:rStyle w:val="FootnoteReference"/>
          <w:sz w:val="16"/>
          <w:szCs w:val="16"/>
        </w:rPr>
        <w:footnoteRef/>
      </w:r>
      <w:r w:rsidRPr="00B75750">
        <w:rPr>
          <w:sz w:val="16"/>
          <w:szCs w:val="16"/>
        </w:rPr>
        <w:t xml:space="preserve"> A</w:t>
      </w:r>
      <w:r w:rsidRPr="00B75750">
        <w:rPr>
          <w:rStyle w:val="Hyperlink"/>
          <w:rFonts w:cstheme="minorHAnsi"/>
          <w:color w:val="auto"/>
          <w:sz w:val="16"/>
          <w:szCs w:val="16"/>
          <w:u w:val="none"/>
        </w:rPr>
        <w:t xml:space="preserve"> House of Representative practice document puts it: </w:t>
      </w:r>
      <w:r w:rsidRPr="00B75750">
        <w:rPr>
          <w:rFonts w:cstheme="minorHAnsi"/>
          <w:i/>
          <w:iCs/>
          <w:sz w:val="16"/>
          <w:szCs w:val="16"/>
          <w:shd w:val="clear" w:color="auto" w:fill="FFFFFF"/>
        </w:rPr>
        <w:t>‘responsibility of ministers individually to parliament is not mere fiction. An individual can be disciplined whereas the whole cannot. The events of recent years show that a minister can become too great a burden to carry. The parliament’s role has been to expose and demean. Forced ministerial resignations and dismissals have been the decision of the prime minister not the parliament by its vote. I continue to believe that in the matter of ministerial responsibility, in the strict sense of</w:t>
      </w:r>
      <w:r w:rsidRPr="00167B07">
        <w:rPr>
          <w:rFonts w:cstheme="minorHAnsi"/>
          <w:i/>
          <w:iCs/>
          <w:sz w:val="16"/>
          <w:szCs w:val="16"/>
          <w:shd w:val="clear" w:color="auto" w:fill="FFFFFF"/>
        </w:rPr>
        <w:t xml:space="preserve"> actions done in his name for him or on his behalf in his role as a minister, his responsibility is to answer and explain </w:t>
      </w:r>
      <w:r w:rsidRPr="00167B07">
        <w:rPr>
          <w:rStyle w:val="Emphasis"/>
          <w:rFonts w:cstheme="minorHAnsi"/>
          <w:i w:val="0"/>
          <w:iCs w:val="0"/>
          <w:sz w:val="16"/>
          <w:szCs w:val="16"/>
          <w:shd w:val="clear" w:color="auto" w:fill="FFFFFF"/>
        </w:rPr>
        <w:t>to</w:t>
      </w:r>
      <w:r w:rsidRPr="00167B07">
        <w:rPr>
          <w:rFonts w:cstheme="minorHAnsi"/>
          <w:i/>
          <w:iCs/>
          <w:sz w:val="16"/>
          <w:szCs w:val="16"/>
          <w:shd w:val="clear" w:color="auto" w:fill="FFFFFF"/>
        </w:rPr>
        <w:t> parliament for errors or misdeeds but there is no convention which would make him absolutely responsible so that he must answer </w:t>
      </w:r>
      <w:r w:rsidRPr="00167B07">
        <w:rPr>
          <w:rStyle w:val="Emphasis"/>
          <w:rFonts w:cstheme="minorHAnsi"/>
          <w:i w:val="0"/>
          <w:iCs w:val="0"/>
          <w:sz w:val="16"/>
          <w:szCs w:val="16"/>
          <w:shd w:val="clear" w:color="auto" w:fill="FFFFFF"/>
        </w:rPr>
        <w:t>for</w:t>
      </w:r>
      <w:r w:rsidRPr="00167B07">
        <w:rPr>
          <w:rFonts w:cstheme="minorHAnsi"/>
          <w:i/>
          <w:iCs/>
          <w:sz w:val="16"/>
          <w:szCs w:val="16"/>
          <w:shd w:val="clear" w:color="auto" w:fill="FFFFFF"/>
        </w:rPr>
        <w:t>, that is, to be liable to censure for all actions done under his administration.</w:t>
      </w:r>
      <w:r>
        <w:rPr>
          <w:rFonts w:cstheme="minorHAnsi"/>
          <w:i/>
          <w:iCs/>
          <w:sz w:val="16"/>
          <w:szCs w:val="16"/>
          <w:shd w:val="clear" w:color="auto" w:fill="FFFFFF"/>
        </w:rPr>
        <w:t>’</w:t>
      </w:r>
    </w:p>
    <w:p w14:paraId="0CFC2991" w14:textId="49C2ED55" w:rsidR="009B3DFA" w:rsidRDefault="00000000" w:rsidP="009B3DFA">
      <w:pPr>
        <w:pStyle w:val="FootnoteText"/>
        <w:rPr>
          <w:rStyle w:val="Hyperlink"/>
          <w:rFonts w:cstheme="minorHAnsi"/>
          <w:i/>
          <w:iCs/>
          <w:color w:val="auto"/>
          <w:sz w:val="16"/>
          <w:szCs w:val="16"/>
        </w:rPr>
      </w:pPr>
      <w:hyperlink r:id="rId62" w:anchor="ind" w:history="1">
        <w:r w:rsidR="009B3DFA" w:rsidRPr="00B169D0">
          <w:rPr>
            <w:rStyle w:val="Hyperlink"/>
            <w:rFonts w:cstheme="minorHAnsi"/>
            <w:i/>
            <w:iCs/>
            <w:color w:val="auto"/>
            <w:sz w:val="16"/>
            <w:szCs w:val="16"/>
          </w:rPr>
          <w:t>https://www.aph.gov.au/About_Parliament/House_of_Representatives/Powers_practice_and_procedure/practice5/chapter2#ind</w:t>
        </w:r>
      </w:hyperlink>
    </w:p>
    <w:p w14:paraId="40D34C2F" w14:textId="77777777" w:rsidR="009B3DFA" w:rsidRDefault="009B3DFA" w:rsidP="009B3DFA">
      <w:pPr>
        <w:pStyle w:val="FootnoteText"/>
      </w:pPr>
    </w:p>
  </w:footnote>
  <w:footnote w:id="51">
    <w:p w14:paraId="4ED52B5D" w14:textId="7127A240" w:rsidR="00853B39" w:rsidRDefault="00853B39" w:rsidP="000A6D7E">
      <w:pPr>
        <w:spacing w:after="0"/>
        <w:rPr>
          <w:sz w:val="16"/>
          <w:szCs w:val="16"/>
        </w:rPr>
      </w:pPr>
      <w:r w:rsidRPr="00853B39">
        <w:rPr>
          <w:rStyle w:val="FootnoteReference"/>
          <w:sz w:val="16"/>
          <w:szCs w:val="16"/>
        </w:rPr>
        <w:footnoteRef/>
      </w:r>
      <w:r w:rsidRPr="00853B39">
        <w:rPr>
          <w:sz w:val="16"/>
          <w:szCs w:val="16"/>
        </w:rPr>
        <w:t xml:space="preserve"> That may be the case for the Commonwealth at present, however, other jurisdictions such as NSW have legislative provisions giving further consequences – through anti-corruption bodies - for certain Ministerial failures.</w:t>
      </w:r>
    </w:p>
    <w:p w14:paraId="188856EE" w14:textId="77777777" w:rsidR="00173004" w:rsidRPr="009B3DFA" w:rsidRDefault="00173004" w:rsidP="000A6D7E">
      <w:pPr>
        <w:spacing w:after="0"/>
        <w:rPr>
          <w:sz w:val="16"/>
          <w:szCs w:val="16"/>
        </w:rPr>
      </w:pPr>
    </w:p>
  </w:footnote>
  <w:footnote w:id="52">
    <w:p w14:paraId="0B794DC0" w14:textId="5A6C04CE" w:rsidR="002D3009" w:rsidRPr="002D3009" w:rsidRDefault="00F82ADF">
      <w:pPr>
        <w:pStyle w:val="FootnoteText"/>
        <w:rPr>
          <w:sz w:val="16"/>
          <w:szCs w:val="16"/>
        </w:rPr>
      </w:pPr>
      <w:r w:rsidRPr="002D3009">
        <w:rPr>
          <w:rStyle w:val="FootnoteReference"/>
          <w:sz w:val="16"/>
          <w:szCs w:val="16"/>
        </w:rPr>
        <w:footnoteRef/>
      </w:r>
      <w:r w:rsidRPr="002D3009">
        <w:rPr>
          <w:sz w:val="16"/>
          <w:szCs w:val="16"/>
        </w:rPr>
        <w:t xml:space="preserve"> With the exception of actions that </w:t>
      </w:r>
      <w:r w:rsidR="002D3009" w:rsidRPr="002D3009">
        <w:rPr>
          <w:sz w:val="16"/>
          <w:szCs w:val="16"/>
        </w:rPr>
        <w:t>legislation regards as</w:t>
      </w:r>
      <w:r w:rsidRPr="002D3009">
        <w:rPr>
          <w:sz w:val="16"/>
          <w:szCs w:val="16"/>
        </w:rPr>
        <w:t xml:space="preserve"> ‘non-disallowable’</w:t>
      </w:r>
      <w:r w:rsidR="002D3009" w:rsidRPr="002D3009">
        <w:rPr>
          <w:sz w:val="16"/>
          <w:szCs w:val="16"/>
        </w:rPr>
        <w:t>.</w:t>
      </w:r>
    </w:p>
    <w:p w14:paraId="63B1BE7E" w14:textId="083F9D11" w:rsidR="00F82ADF" w:rsidRPr="002D3009" w:rsidRDefault="00F82ADF">
      <w:pPr>
        <w:pStyle w:val="FootnoteText"/>
        <w:rPr>
          <w:sz w:val="16"/>
          <w:szCs w:val="16"/>
        </w:rPr>
      </w:pPr>
      <w:r w:rsidRPr="002D3009">
        <w:rPr>
          <w:sz w:val="16"/>
          <w:szCs w:val="16"/>
        </w:rPr>
        <w:t xml:space="preserve"> </w:t>
      </w:r>
    </w:p>
  </w:footnote>
  <w:footnote w:id="53">
    <w:p w14:paraId="36E55A0B" w14:textId="0865C4A2" w:rsidR="00225B44" w:rsidRPr="00FA21FC" w:rsidRDefault="00225B44" w:rsidP="00225B44">
      <w:pPr>
        <w:pStyle w:val="FootnoteText"/>
        <w:rPr>
          <w:rFonts w:cstheme="minorHAnsi"/>
          <w:color w:val="6F6F6F"/>
          <w:sz w:val="16"/>
          <w:szCs w:val="16"/>
          <w:shd w:val="clear" w:color="auto" w:fill="FFFFFF"/>
        </w:rPr>
      </w:pPr>
      <w:r w:rsidRPr="00B169D0">
        <w:rPr>
          <w:rStyle w:val="FootnoteReference"/>
          <w:sz w:val="16"/>
          <w:szCs w:val="16"/>
        </w:rPr>
        <w:footnoteRef/>
      </w:r>
      <w:r w:rsidRPr="00B169D0">
        <w:rPr>
          <w:sz w:val="16"/>
          <w:szCs w:val="16"/>
        </w:rPr>
        <w:t xml:space="preserve"> </w:t>
      </w:r>
      <w:r w:rsidR="008D2145">
        <w:rPr>
          <w:rFonts w:cstheme="minorHAnsi"/>
          <w:sz w:val="16"/>
          <w:szCs w:val="16"/>
        </w:rPr>
        <w:t xml:space="preserve">In </w:t>
      </w:r>
      <w:r w:rsidR="00F00443">
        <w:rPr>
          <w:rFonts w:cstheme="minorHAnsi"/>
          <w:sz w:val="16"/>
          <w:szCs w:val="16"/>
        </w:rPr>
        <w:t xml:space="preserve">re Patterson; </w:t>
      </w:r>
      <w:r w:rsidR="008D2145">
        <w:rPr>
          <w:rFonts w:cstheme="minorHAnsi"/>
          <w:sz w:val="16"/>
          <w:szCs w:val="16"/>
        </w:rPr>
        <w:t>ex parte Taylor</w:t>
      </w:r>
      <w:r w:rsidR="00F00443">
        <w:rPr>
          <w:rFonts w:cstheme="minorHAnsi"/>
          <w:sz w:val="16"/>
          <w:szCs w:val="16"/>
        </w:rPr>
        <w:t xml:space="preserve"> (note 1</w:t>
      </w:r>
      <w:r w:rsidR="000A6D7E">
        <w:rPr>
          <w:rFonts w:cstheme="minorHAnsi"/>
          <w:sz w:val="16"/>
          <w:szCs w:val="16"/>
        </w:rPr>
        <w:t>4</w:t>
      </w:r>
      <w:r w:rsidR="00F00443">
        <w:rPr>
          <w:rFonts w:cstheme="minorHAnsi"/>
          <w:sz w:val="16"/>
          <w:szCs w:val="16"/>
        </w:rPr>
        <w:t xml:space="preserve"> above):</w:t>
      </w:r>
      <w:r w:rsidR="008D2145" w:rsidRPr="00911A8C">
        <w:rPr>
          <w:sz w:val="16"/>
          <w:szCs w:val="16"/>
        </w:rPr>
        <w:t xml:space="preserve"> </w:t>
      </w:r>
      <w:r w:rsidR="008D2145">
        <w:rPr>
          <w:sz w:val="16"/>
          <w:szCs w:val="16"/>
        </w:rPr>
        <w:t>‘…</w:t>
      </w:r>
      <w:r w:rsidR="008D2145">
        <w:rPr>
          <w:rFonts w:cstheme="minorHAnsi"/>
          <w:i/>
          <w:iCs/>
          <w:sz w:val="16"/>
          <w:szCs w:val="16"/>
          <w:shd w:val="clear" w:color="auto" w:fill="FFFFFF"/>
        </w:rPr>
        <w:t>.</w:t>
      </w:r>
      <w:r w:rsidR="008D2145" w:rsidRPr="00911A8C">
        <w:rPr>
          <w:rFonts w:cstheme="minorHAnsi"/>
          <w:i/>
          <w:iCs/>
          <w:sz w:val="16"/>
          <w:szCs w:val="16"/>
          <w:shd w:val="clear" w:color="auto" w:fill="FFFFFF"/>
        </w:rPr>
        <w:t xml:space="preserve"> the concept of responsible government does not require that there be only one person answerable to Parliament for the administration of a Department</w:t>
      </w:r>
      <w:r w:rsidR="008D2145">
        <w:rPr>
          <w:rFonts w:cstheme="minorHAnsi"/>
          <w:i/>
          <w:iCs/>
          <w:sz w:val="16"/>
          <w:szCs w:val="16"/>
          <w:shd w:val="clear" w:color="auto" w:fill="FFFFFF"/>
        </w:rPr>
        <w:t>….</w:t>
      </w:r>
      <w:r w:rsidR="008D2145" w:rsidRPr="00911A8C">
        <w:rPr>
          <w:rFonts w:cstheme="minorHAnsi"/>
          <w:i/>
          <w:iCs/>
          <w:sz w:val="16"/>
          <w:szCs w:val="16"/>
          <w:shd w:val="clear" w:color="auto" w:fill="FFFFFF"/>
        </w:rPr>
        <w:t xml:space="preserve">it is for the Minister and the Parliamentary Secretary to make their own arrangements as to the method by which the Department will be </w:t>
      </w:r>
      <w:r w:rsidR="008D2145">
        <w:rPr>
          <w:rFonts w:cstheme="minorHAnsi"/>
          <w:i/>
          <w:iCs/>
          <w:sz w:val="16"/>
          <w:szCs w:val="16"/>
          <w:shd w:val="clear" w:color="auto" w:fill="FFFFFF"/>
        </w:rPr>
        <w:t>a</w:t>
      </w:r>
      <w:r w:rsidR="008D2145" w:rsidRPr="00911A8C">
        <w:rPr>
          <w:rFonts w:cstheme="minorHAnsi"/>
          <w:i/>
          <w:iCs/>
          <w:sz w:val="16"/>
          <w:szCs w:val="16"/>
          <w:shd w:val="clear" w:color="auto" w:fill="FFFFFF"/>
        </w:rPr>
        <w:t>dministered.  It is for Parliament to determine the procedures by which those two persons will answer for the conduct of such administration.</w:t>
      </w:r>
      <w:r w:rsidR="008D2145">
        <w:rPr>
          <w:rFonts w:cstheme="minorHAnsi"/>
          <w:i/>
          <w:iCs/>
          <w:sz w:val="16"/>
          <w:szCs w:val="16"/>
          <w:shd w:val="clear" w:color="auto" w:fill="FFFFFF"/>
        </w:rPr>
        <w:t>’</w:t>
      </w:r>
    </w:p>
    <w:p w14:paraId="17BC29BF" w14:textId="77777777" w:rsidR="00225B44" w:rsidRDefault="00225B44" w:rsidP="00225B44">
      <w:pPr>
        <w:pStyle w:val="FootnoteText"/>
      </w:pPr>
    </w:p>
  </w:footnote>
  <w:footnote w:id="54">
    <w:p w14:paraId="73CC2936" w14:textId="66FEDA58" w:rsidR="00AE5ACB" w:rsidRPr="00FA21FC" w:rsidRDefault="00225B44" w:rsidP="00AE5ACB">
      <w:pPr>
        <w:spacing w:after="0" w:line="240" w:lineRule="auto"/>
        <w:jc w:val="both"/>
        <w:rPr>
          <w:rFonts w:cstheme="minorHAnsi"/>
          <w:sz w:val="16"/>
          <w:szCs w:val="16"/>
        </w:rPr>
      </w:pPr>
      <w:r w:rsidRPr="00B169D0">
        <w:rPr>
          <w:rStyle w:val="FootnoteReference"/>
          <w:sz w:val="16"/>
          <w:szCs w:val="16"/>
        </w:rPr>
        <w:footnoteRef/>
      </w:r>
      <w:r w:rsidRPr="00B169D0">
        <w:rPr>
          <w:sz w:val="16"/>
          <w:szCs w:val="16"/>
        </w:rPr>
        <w:t xml:space="preserve"> </w:t>
      </w:r>
      <w:r w:rsidR="00AE5ACB">
        <w:rPr>
          <w:sz w:val="16"/>
          <w:szCs w:val="16"/>
        </w:rPr>
        <w:t>In re Patterson; ex parte Taylor (note 1</w:t>
      </w:r>
      <w:r w:rsidR="000A6D7E">
        <w:rPr>
          <w:sz w:val="16"/>
          <w:szCs w:val="16"/>
        </w:rPr>
        <w:t>4</w:t>
      </w:r>
      <w:r w:rsidR="00AE5ACB">
        <w:rPr>
          <w:sz w:val="16"/>
          <w:szCs w:val="16"/>
        </w:rPr>
        <w:t xml:space="preserve"> above) </w:t>
      </w:r>
      <w:r w:rsidR="000A6D7E">
        <w:rPr>
          <w:sz w:val="16"/>
          <w:szCs w:val="16"/>
        </w:rPr>
        <w:t>j</w:t>
      </w:r>
      <w:r w:rsidR="00AE5ACB" w:rsidRPr="006962F9">
        <w:rPr>
          <w:rFonts w:cstheme="minorHAnsi"/>
          <w:sz w:val="16"/>
          <w:szCs w:val="16"/>
          <w:shd w:val="clear" w:color="auto" w:fill="FFFFFF"/>
        </w:rPr>
        <w:t>ustices</w:t>
      </w:r>
      <w:r w:rsidR="00AE5ACB">
        <w:rPr>
          <w:rFonts w:cstheme="minorHAnsi"/>
          <w:sz w:val="16"/>
          <w:szCs w:val="16"/>
          <w:shd w:val="clear" w:color="auto" w:fill="FFFFFF"/>
        </w:rPr>
        <w:t xml:space="preserve"> Gummow and Hayne noted that in responsible government one Minister could represent another and the concept is satisfied by Ministers being Parliamentarians: </w:t>
      </w:r>
      <w:r w:rsidR="00AE5ACB" w:rsidRPr="00137A67">
        <w:rPr>
          <w:rFonts w:cstheme="minorHAnsi"/>
          <w:i/>
          <w:iCs/>
          <w:sz w:val="16"/>
          <w:szCs w:val="16"/>
          <w:shd w:val="clear" w:color="auto" w:fill="FFFFFF"/>
        </w:rPr>
        <w:t>‘</w:t>
      </w:r>
      <w:r w:rsidR="00AE5ACB" w:rsidRPr="00137A67">
        <w:rPr>
          <w:rFonts w:cstheme="minorHAnsi"/>
          <w:i/>
          <w:iCs/>
          <w:sz w:val="16"/>
          <w:szCs w:val="16"/>
        </w:rPr>
        <w:t>There has developed a practice</w:t>
      </w:r>
      <w:r w:rsidR="00AE5ACB">
        <w:rPr>
          <w:rFonts w:cstheme="minorHAnsi"/>
          <w:i/>
          <w:iCs/>
          <w:sz w:val="16"/>
          <w:szCs w:val="16"/>
        </w:rPr>
        <w:t>…</w:t>
      </w:r>
      <w:r w:rsidR="00AE5ACB" w:rsidRPr="00137A67">
        <w:rPr>
          <w:rFonts w:cstheme="minorHAnsi"/>
          <w:i/>
          <w:iCs/>
          <w:sz w:val="16"/>
          <w:szCs w:val="16"/>
        </w:rPr>
        <w:t>, whereby a Minister is "represented" by another Minister in the chamber of which the first Minister is not a member.</w:t>
      </w:r>
      <w:r w:rsidR="00AE5ACB">
        <w:rPr>
          <w:rFonts w:cstheme="minorHAnsi"/>
          <w:i/>
          <w:iCs/>
          <w:sz w:val="16"/>
          <w:szCs w:val="16"/>
        </w:rPr>
        <w:t xml:space="preserve"> </w:t>
      </w:r>
      <w:r w:rsidR="00AE5ACB" w:rsidRPr="00137A67">
        <w:rPr>
          <w:rFonts w:cstheme="minorHAnsi"/>
          <w:i/>
          <w:iCs/>
          <w:sz w:val="16"/>
          <w:szCs w:val="16"/>
        </w:rPr>
        <w:t>The central purpose of responsible government is secured by the requirement in s</w:t>
      </w:r>
      <w:r w:rsidR="00AE5ACB">
        <w:rPr>
          <w:rFonts w:cstheme="minorHAnsi"/>
          <w:i/>
          <w:iCs/>
          <w:sz w:val="16"/>
          <w:szCs w:val="16"/>
        </w:rPr>
        <w:t>64</w:t>
      </w:r>
      <w:r w:rsidR="00AE5ACB" w:rsidRPr="00137A67">
        <w:rPr>
          <w:rFonts w:cstheme="minorHAnsi"/>
          <w:i/>
          <w:iCs/>
          <w:sz w:val="16"/>
          <w:szCs w:val="16"/>
        </w:rPr>
        <w:t> of the </w:t>
      </w:r>
      <w:r w:rsidR="00AE5ACB">
        <w:rPr>
          <w:rFonts w:cstheme="minorHAnsi"/>
          <w:i/>
          <w:iCs/>
          <w:sz w:val="16"/>
          <w:szCs w:val="16"/>
        </w:rPr>
        <w:t>Constitution</w:t>
      </w:r>
      <w:r w:rsidR="00AE5ACB" w:rsidRPr="00137A67">
        <w:rPr>
          <w:rFonts w:cstheme="minorHAnsi"/>
          <w:i/>
          <w:iCs/>
          <w:sz w:val="16"/>
          <w:szCs w:val="16"/>
        </w:rPr>
        <w:t> for administration of the departments of State by Ministers who are members of one or other Houses of the Parliament.</w:t>
      </w:r>
      <w:r w:rsidR="00AE5ACB">
        <w:rPr>
          <w:rFonts w:cstheme="minorHAnsi"/>
          <w:i/>
          <w:iCs/>
          <w:sz w:val="16"/>
          <w:szCs w:val="16"/>
        </w:rPr>
        <w:t>’</w:t>
      </w:r>
    </w:p>
    <w:p w14:paraId="0AF98EE2" w14:textId="77777777" w:rsidR="00225B44" w:rsidRDefault="00225B44" w:rsidP="00225B44">
      <w:pPr>
        <w:pStyle w:val="FootnoteText"/>
      </w:pPr>
    </w:p>
  </w:footnote>
  <w:footnote w:id="55">
    <w:p w14:paraId="224B7AC0" w14:textId="5334430E" w:rsidR="00A83415" w:rsidRDefault="00A83415" w:rsidP="00A83415">
      <w:pPr>
        <w:pStyle w:val="FootnoteText"/>
        <w:rPr>
          <w:rStyle w:val="Hyperlink"/>
          <w:sz w:val="16"/>
          <w:szCs w:val="16"/>
        </w:rPr>
      </w:pPr>
      <w:r w:rsidRPr="00C717AC">
        <w:rPr>
          <w:rStyle w:val="FootnoteReference"/>
          <w:sz w:val="16"/>
          <w:szCs w:val="16"/>
        </w:rPr>
        <w:footnoteRef/>
      </w:r>
      <w:r w:rsidRPr="00C717AC">
        <w:rPr>
          <w:sz w:val="16"/>
          <w:szCs w:val="16"/>
        </w:rPr>
        <w:t xml:space="preserve"> An implication of 16 Departments and 30 Ministers (and 12 Parliamentary Secretaries) – notes 1</w:t>
      </w:r>
      <w:r>
        <w:rPr>
          <w:sz w:val="16"/>
          <w:szCs w:val="16"/>
        </w:rPr>
        <w:t>1</w:t>
      </w:r>
      <w:r w:rsidRPr="00C717AC">
        <w:rPr>
          <w:sz w:val="16"/>
          <w:szCs w:val="16"/>
        </w:rPr>
        <w:t xml:space="preserve"> and 1</w:t>
      </w:r>
      <w:r>
        <w:rPr>
          <w:sz w:val="16"/>
          <w:szCs w:val="16"/>
        </w:rPr>
        <w:t>2</w:t>
      </w:r>
      <w:r w:rsidRPr="00C717AC">
        <w:rPr>
          <w:sz w:val="16"/>
          <w:szCs w:val="16"/>
        </w:rPr>
        <w:t xml:space="preserve"> (above) is several Departments have more than one Minister.  Several Ministers appear to administer more than one Department – for example Senator Gallagher administers the Department of Finance and Department of Prime Minister and Cabinet (location of the ‘Womens’ function</w:t>
      </w:r>
      <w:r w:rsidR="000308C4" w:rsidRPr="00C717AC">
        <w:rPr>
          <w:sz w:val="16"/>
          <w:szCs w:val="16"/>
        </w:rPr>
        <w:t>);</w:t>
      </w:r>
      <w:r w:rsidRPr="00C717AC">
        <w:rPr>
          <w:sz w:val="16"/>
          <w:szCs w:val="16"/>
        </w:rPr>
        <w:t xml:space="preserve"> </w:t>
      </w:r>
      <w:hyperlink r:id="rId63" w:history="1">
        <w:r w:rsidRPr="00C717AC">
          <w:rPr>
            <w:rStyle w:val="Hyperlink"/>
            <w:sz w:val="16"/>
            <w:szCs w:val="16"/>
          </w:rPr>
          <w:t>https://www.pm.gov.au/media/albanese-government-full-ministry</w:t>
        </w:r>
      </w:hyperlink>
      <w:r>
        <w:rPr>
          <w:rStyle w:val="Hyperlink"/>
          <w:sz w:val="16"/>
          <w:szCs w:val="16"/>
        </w:rPr>
        <w:t xml:space="preserve">; </w:t>
      </w:r>
      <w:hyperlink r:id="rId64" w:history="1">
        <w:r w:rsidRPr="00C717AC">
          <w:rPr>
            <w:rStyle w:val="Hyperlink"/>
            <w:sz w:val="16"/>
            <w:szCs w:val="16"/>
          </w:rPr>
          <w:t>https://www.pmc.gov.au/who-we-are/ministers</w:t>
        </w:r>
      </w:hyperlink>
    </w:p>
    <w:p w14:paraId="44B0ED9E" w14:textId="77777777" w:rsidR="00A83415" w:rsidRPr="00C717AC" w:rsidRDefault="00A83415" w:rsidP="00A83415">
      <w:pPr>
        <w:pStyle w:val="FootnoteText"/>
        <w:rPr>
          <w:sz w:val="16"/>
          <w:szCs w:val="16"/>
        </w:rPr>
      </w:pPr>
    </w:p>
  </w:footnote>
  <w:footnote w:id="56">
    <w:p w14:paraId="2020475F" w14:textId="777058E5" w:rsidR="008934A6" w:rsidRPr="00056926" w:rsidRDefault="008934A6" w:rsidP="008934A6">
      <w:pPr>
        <w:pStyle w:val="FootnoteText"/>
        <w:rPr>
          <w:sz w:val="16"/>
          <w:szCs w:val="16"/>
        </w:rPr>
      </w:pPr>
      <w:r w:rsidRPr="00056926">
        <w:rPr>
          <w:rStyle w:val="FootnoteReference"/>
          <w:sz w:val="16"/>
          <w:szCs w:val="16"/>
        </w:rPr>
        <w:footnoteRef/>
      </w:r>
      <w:r w:rsidRPr="00056926">
        <w:rPr>
          <w:sz w:val="16"/>
          <w:szCs w:val="16"/>
        </w:rPr>
        <w:t xml:space="preserve"> Hansard is full of such questions.  </w:t>
      </w:r>
      <w:r>
        <w:rPr>
          <w:sz w:val="16"/>
          <w:szCs w:val="16"/>
        </w:rPr>
        <w:t>A random</w:t>
      </w:r>
      <w:r w:rsidRPr="00056926">
        <w:rPr>
          <w:sz w:val="16"/>
          <w:szCs w:val="16"/>
        </w:rPr>
        <w:t xml:space="preserve"> example</w:t>
      </w:r>
      <w:r>
        <w:rPr>
          <w:sz w:val="16"/>
          <w:szCs w:val="16"/>
        </w:rPr>
        <w:t>:</w:t>
      </w:r>
      <w:r w:rsidRPr="00056926">
        <w:rPr>
          <w:sz w:val="16"/>
          <w:szCs w:val="16"/>
        </w:rPr>
        <w:t xml:space="preserve"> on 4 February 2021 </w:t>
      </w:r>
      <w:r>
        <w:rPr>
          <w:sz w:val="16"/>
          <w:szCs w:val="16"/>
        </w:rPr>
        <w:t>Prime Minister</w:t>
      </w:r>
      <w:r w:rsidRPr="00056926">
        <w:rPr>
          <w:sz w:val="16"/>
          <w:szCs w:val="16"/>
        </w:rPr>
        <w:t xml:space="preserve"> Morrison was asked about industrial relations and Bass Strait passenger equalisation </w:t>
      </w:r>
      <w:r>
        <w:rPr>
          <w:sz w:val="16"/>
          <w:szCs w:val="16"/>
        </w:rPr>
        <w:t>– which were the responsibilities for the Minister for Industrial Relations and the Minister for Transport respectively</w:t>
      </w:r>
      <w:r w:rsidR="008D7EAB">
        <w:rPr>
          <w:sz w:val="16"/>
          <w:szCs w:val="16"/>
        </w:rPr>
        <w:t xml:space="preserve"> </w:t>
      </w:r>
      <w:hyperlink r:id="rId65" w:history="1">
        <w:r w:rsidRPr="00AA6460">
          <w:rPr>
            <w:rStyle w:val="Hyperlink"/>
            <w:sz w:val="16"/>
            <w:szCs w:val="16"/>
          </w:rPr>
          <w:t>https://www.aph.gov.au/Parliamentary_Business/Hansard/Hansard_Display?bid=chamber/hansardr/8f08edf4-8c55-4033-ab20-918ecad6739c/&amp;sid=0000</w:t>
        </w:r>
      </w:hyperlink>
      <w:r>
        <w:rPr>
          <w:sz w:val="16"/>
          <w:szCs w:val="16"/>
        </w:rPr>
        <w:t xml:space="preserve">.  </w:t>
      </w:r>
    </w:p>
    <w:p w14:paraId="115EC9FA" w14:textId="77777777" w:rsidR="008934A6" w:rsidRPr="00A83415" w:rsidRDefault="008934A6" w:rsidP="008934A6">
      <w:pPr>
        <w:pStyle w:val="FootnoteText"/>
        <w:rPr>
          <w:sz w:val="16"/>
          <w:szCs w:val="16"/>
        </w:rPr>
      </w:pPr>
    </w:p>
  </w:footnote>
  <w:footnote w:id="57">
    <w:p w14:paraId="7227A00B" w14:textId="01401891" w:rsidR="002D166F" w:rsidRPr="004C2B35" w:rsidRDefault="002D166F">
      <w:pPr>
        <w:pStyle w:val="FootnoteText"/>
        <w:rPr>
          <w:sz w:val="16"/>
          <w:szCs w:val="16"/>
        </w:rPr>
      </w:pPr>
      <w:r w:rsidRPr="004C2B35">
        <w:rPr>
          <w:rStyle w:val="FootnoteReference"/>
          <w:sz w:val="16"/>
          <w:szCs w:val="16"/>
        </w:rPr>
        <w:footnoteRef/>
      </w:r>
      <w:r w:rsidRPr="004C2B35">
        <w:rPr>
          <w:sz w:val="16"/>
          <w:szCs w:val="16"/>
        </w:rPr>
        <w:t xml:space="preserve"> </w:t>
      </w:r>
      <w:hyperlink r:id="rId66" w:history="1">
        <w:r w:rsidRPr="004C2B35">
          <w:rPr>
            <w:rStyle w:val="Hyperlink"/>
            <w:sz w:val="16"/>
            <w:szCs w:val="16"/>
          </w:rPr>
          <w:t>https://www.thejadebeagle.com/emergencies---tinpot-series.html</w:t>
        </w:r>
      </w:hyperlink>
    </w:p>
    <w:p w14:paraId="23BDD91D" w14:textId="77777777" w:rsidR="002D166F" w:rsidRPr="000E794A" w:rsidRDefault="002D166F">
      <w:pPr>
        <w:pStyle w:val="FootnoteText"/>
        <w:rPr>
          <w:sz w:val="16"/>
          <w:szCs w:val="16"/>
        </w:rPr>
      </w:pPr>
    </w:p>
  </w:footnote>
  <w:footnote w:id="58">
    <w:p w14:paraId="38780EA0" w14:textId="71C2AF2D" w:rsidR="000E794A" w:rsidRPr="004C2B35" w:rsidRDefault="000E794A" w:rsidP="000E794A">
      <w:pPr>
        <w:pStyle w:val="FootnoteText"/>
        <w:rPr>
          <w:sz w:val="16"/>
          <w:szCs w:val="16"/>
        </w:rPr>
      </w:pPr>
      <w:r w:rsidRPr="000E794A">
        <w:rPr>
          <w:rStyle w:val="FootnoteReference"/>
          <w:sz w:val="16"/>
          <w:szCs w:val="16"/>
        </w:rPr>
        <w:footnoteRef/>
      </w:r>
      <w:r w:rsidRPr="000E794A">
        <w:rPr>
          <w:sz w:val="16"/>
          <w:szCs w:val="16"/>
        </w:rPr>
        <w:t xml:space="preserve"> The same sources later professed concerns about Prime Ministerial concentration of power when the secret appointments were revealed.</w:t>
      </w:r>
      <w:r>
        <w:rPr>
          <w:sz w:val="16"/>
          <w:szCs w:val="16"/>
        </w:rPr>
        <w:t xml:space="preserve">  </w:t>
      </w:r>
      <w:r w:rsidRPr="000E794A">
        <w:rPr>
          <w:sz w:val="16"/>
          <w:szCs w:val="16"/>
        </w:rPr>
        <w:t xml:space="preserve">For example: bushfires </w:t>
      </w:r>
      <w:hyperlink r:id="rId67" w:history="1">
        <w:r w:rsidRPr="000E794A">
          <w:rPr>
            <w:rStyle w:val="Hyperlink"/>
            <w:sz w:val="16"/>
            <w:szCs w:val="16"/>
          </w:rPr>
          <w:t>https://www.theguardian.com/australia-news/2020/jan/03/where-the-bloody-hell-was-he-how-scott-morrison-spent-the-past-week-of-the-bushfire-crisis</w:t>
        </w:r>
      </w:hyperlink>
      <w:r w:rsidRPr="004C2B35">
        <w:rPr>
          <w:sz w:val="16"/>
          <w:szCs w:val="16"/>
        </w:rPr>
        <w:t xml:space="preserve">; vaccines </w:t>
      </w:r>
      <w:hyperlink r:id="rId68" w:history="1">
        <w:r w:rsidRPr="004C2B35">
          <w:rPr>
            <w:rStyle w:val="Hyperlink"/>
            <w:sz w:val="16"/>
            <w:szCs w:val="16"/>
          </w:rPr>
          <w:t>https://www.theaustralian.com.au/nation/politics/criticism-of-scott-morrison-on-vaccines-borders-hysterical/news-story/595c8c7234c6c67bc4f80a6e4a50539c</w:t>
        </w:r>
      </w:hyperlink>
      <w:r w:rsidRPr="004C2B35">
        <w:rPr>
          <w:sz w:val="16"/>
          <w:szCs w:val="16"/>
        </w:rPr>
        <w:t xml:space="preserve">; aged care: </w:t>
      </w:r>
      <w:hyperlink r:id="rId69" w:history="1">
        <w:r w:rsidRPr="004C2B35">
          <w:rPr>
            <w:rStyle w:val="Hyperlink"/>
            <w:sz w:val="16"/>
            <w:szCs w:val="16"/>
          </w:rPr>
          <w:t>https://www.theguardian.com/australia-news/2022/feb/08/scott-morrison-faces-question-time-grilling-over-government-response-to-covid-aged-care-crisis</w:t>
        </w:r>
      </w:hyperlink>
      <w:r w:rsidRPr="004C2B35">
        <w:rPr>
          <w:sz w:val="16"/>
          <w:szCs w:val="16"/>
        </w:rPr>
        <w:t>; most policy related to the</w:t>
      </w:r>
      <w:r>
        <w:rPr>
          <w:sz w:val="16"/>
          <w:szCs w:val="16"/>
        </w:rPr>
        <w:t xml:space="preserve"> </w:t>
      </w:r>
      <w:r w:rsidRPr="004C2B35">
        <w:rPr>
          <w:sz w:val="16"/>
          <w:szCs w:val="16"/>
        </w:rPr>
        <w:t>pandemic</w:t>
      </w:r>
      <w:r>
        <w:rPr>
          <w:sz w:val="16"/>
          <w:szCs w:val="16"/>
        </w:rPr>
        <w:t xml:space="preserve"> including actions of the States</w:t>
      </w:r>
      <w:r w:rsidRPr="004C2B35">
        <w:rPr>
          <w:sz w:val="16"/>
          <w:szCs w:val="16"/>
        </w:rPr>
        <w:t>:</w:t>
      </w:r>
      <w:r>
        <w:rPr>
          <w:sz w:val="16"/>
          <w:szCs w:val="16"/>
        </w:rPr>
        <w:t xml:space="preserve"> </w:t>
      </w:r>
      <w:hyperlink r:id="rId70" w:history="1">
        <w:r w:rsidRPr="00642A93">
          <w:rPr>
            <w:rStyle w:val="Hyperlink"/>
            <w:sz w:val="16"/>
            <w:szCs w:val="16"/>
          </w:rPr>
          <w:t>https://parlinfo.aph.gov.au/parlInfo/download/committees/reportsen/024920/toc_pdf/Finalreport.pdf;fileType=application%2Fpdf</w:t>
        </w:r>
      </w:hyperlink>
      <w:r>
        <w:rPr>
          <w:sz w:val="16"/>
          <w:szCs w:val="16"/>
        </w:rPr>
        <w:t xml:space="preserve">; </w:t>
      </w:r>
      <w:hyperlink r:id="rId71" w:history="1">
        <w:r w:rsidRPr="004C2B35">
          <w:rPr>
            <w:rStyle w:val="Hyperlink"/>
            <w:sz w:val="16"/>
            <w:szCs w:val="16"/>
          </w:rPr>
          <w:t>https://independentaustralia.net/politics/politics-display/flashback-2021-morrisons-handling-of-covid-19-a-series-of-failures,16576</w:t>
        </w:r>
      </w:hyperlink>
      <w:r w:rsidRPr="004C2B35">
        <w:rPr>
          <w:sz w:val="16"/>
          <w:szCs w:val="16"/>
        </w:rPr>
        <w:t xml:space="preserve">; floods </w:t>
      </w:r>
      <w:hyperlink r:id="rId72" w:history="1">
        <w:r w:rsidRPr="004C2B35">
          <w:rPr>
            <w:rStyle w:val="Hyperlink"/>
            <w:sz w:val="16"/>
            <w:szCs w:val="16"/>
          </w:rPr>
          <w:t>https://www.theguardian.com/australia-news/commentisfree/2022/mar/22/the-floods-seamlessly-tied-together-all-of-scott-morrisons-biggest-failures-into-one-giant-catastrophe</w:t>
        </w:r>
      </w:hyperlink>
      <w:r w:rsidRPr="004C2B35">
        <w:rPr>
          <w:sz w:val="16"/>
          <w:szCs w:val="16"/>
        </w:rPr>
        <w:t xml:space="preserve">.  Same sources </w:t>
      </w:r>
      <w:r w:rsidR="000308C4" w:rsidRPr="004C2B35">
        <w:rPr>
          <w:sz w:val="16"/>
          <w:szCs w:val="16"/>
        </w:rPr>
        <w:t>e.g.</w:t>
      </w:r>
      <w:r w:rsidRPr="004C2B35">
        <w:rPr>
          <w:sz w:val="16"/>
          <w:szCs w:val="16"/>
        </w:rPr>
        <w:t xml:space="preserve"> </w:t>
      </w:r>
      <w:hyperlink r:id="rId73" w:history="1">
        <w:r w:rsidRPr="004C2B35">
          <w:rPr>
            <w:rStyle w:val="Hyperlink"/>
            <w:sz w:val="16"/>
            <w:szCs w:val="16"/>
          </w:rPr>
          <w:t>https://www.theguardian.com/commentisfree/2022/aug/17/scott-morrisons-secret-ministries-undermine-public-trust-and-we-should-be-deeply-concerned</w:t>
        </w:r>
      </w:hyperlink>
      <w:r w:rsidRPr="004C2B35">
        <w:rPr>
          <w:sz w:val="16"/>
          <w:szCs w:val="16"/>
        </w:rPr>
        <w:t xml:space="preserve">; </w:t>
      </w:r>
      <w:hyperlink r:id="rId74" w:history="1">
        <w:r w:rsidRPr="004C2B35">
          <w:rPr>
            <w:rStyle w:val="Hyperlink"/>
            <w:sz w:val="16"/>
            <w:szCs w:val="16"/>
          </w:rPr>
          <w:t>https://michaelwest.com.au/there-is-no-place-for-secret-ministers-in-australian-democracy/</w:t>
        </w:r>
      </w:hyperlink>
    </w:p>
    <w:p w14:paraId="70D5E8EA" w14:textId="77777777" w:rsidR="000E794A" w:rsidRDefault="000E794A" w:rsidP="000E794A">
      <w:pPr>
        <w:pStyle w:val="FootnoteText"/>
      </w:pPr>
    </w:p>
  </w:footnote>
  <w:footnote w:id="59">
    <w:p w14:paraId="41603D32" w14:textId="2447FAA0" w:rsidR="00F944BD" w:rsidRDefault="00C151E4" w:rsidP="00C151E4">
      <w:pPr>
        <w:pStyle w:val="FootnoteText"/>
        <w:rPr>
          <w:sz w:val="16"/>
          <w:szCs w:val="16"/>
        </w:rPr>
      </w:pPr>
      <w:r w:rsidRPr="00EB09D6">
        <w:rPr>
          <w:rStyle w:val="FootnoteReference"/>
          <w:sz w:val="16"/>
          <w:szCs w:val="16"/>
        </w:rPr>
        <w:footnoteRef/>
      </w:r>
      <w:r w:rsidRPr="00EB09D6">
        <w:rPr>
          <w:sz w:val="16"/>
          <w:szCs w:val="16"/>
        </w:rPr>
        <w:t xml:space="preserve"> </w:t>
      </w:r>
      <w:r w:rsidR="00FD20DB">
        <w:rPr>
          <w:sz w:val="16"/>
          <w:szCs w:val="16"/>
        </w:rPr>
        <w:t xml:space="preserve">Bushfires: </w:t>
      </w:r>
      <w:hyperlink r:id="rId75" w:history="1">
        <w:r w:rsidR="00F944BD" w:rsidRPr="001D4D9D">
          <w:rPr>
            <w:rStyle w:val="Hyperlink"/>
            <w:sz w:val="16"/>
            <w:szCs w:val="16"/>
          </w:rPr>
          <w:t>https://www.thejadebeagle.com/tinpot-2020.html</w:t>
        </w:r>
      </w:hyperlink>
    </w:p>
    <w:p w14:paraId="11BF0DBC" w14:textId="619C65EA" w:rsidR="00C151E4" w:rsidRDefault="00FD20DB" w:rsidP="00C151E4">
      <w:pPr>
        <w:pStyle w:val="FootnoteText"/>
        <w:rPr>
          <w:sz w:val="16"/>
          <w:szCs w:val="16"/>
        </w:rPr>
      </w:pPr>
      <w:r>
        <w:rPr>
          <w:sz w:val="16"/>
          <w:szCs w:val="16"/>
        </w:rPr>
        <w:t xml:space="preserve">Generally: </w:t>
      </w:r>
      <w:hyperlink r:id="rId76" w:history="1">
        <w:r w:rsidRPr="00642A93">
          <w:rPr>
            <w:rStyle w:val="Hyperlink"/>
            <w:sz w:val="16"/>
            <w:szCs w:val="16"/>
          </w:rPr>
          <w:t>https://www.afr.com/politics/federal/pm-seeks-the-credit-so-cops-the-blame-20220119-p59pk0</w:t>
        </w:r>
      </w:hyperlink>
      <w:r w:rsidR="00615CA4">
        <w:rPr>
          <w:sz w:val="16"/>
          <w:szCs w:val="16"/>
        </w:rPr>
        <w:t xml:space="preserve">; </w:t>
      </w:r>
      <w:hyperlink r:id="rId77" w:history="1">
        <w:r w:rsidR="00615CA4" w:rsidRPr="00642A93">
          <w:rPr>
            <w:rStyle w:val="Hyperlink"/>
            <w:sz w:val="16"/>
            <w:szCs w:val="16"/>
          </w:rPr>
          <w:t>https://www.thechronicle.com.au/news/national/pure-scapegoating-media-blames-scott-morrison-for-floods/video/bac088cdb213ef62a8bda88d56f28d0a</w:t>
        </w:r>
      </w:hyperlink>
      <w:r w:rsidR="00615CA4">
        <w:rPr>
          <w:sz w:val="16"/>
          <w:szCs w:val="16"/>
        </w:rPr>
        <w:t xml:space="preserve">  The expectations of a Prime Minister being responsible for everything continued into the 2022 election campaign.  There </w:t>
      </w:r>
      <w:r w:rsidR="00C151E4" w:rsidRPr="00EB09D6">
        <w:rPr>
          <w:sz w:val="16"/>
          <w:szCs w:val="16"/>
        </w:rPr>
        <w:t>the current Prime Minister</w:t>
      </w:r>
      <w:r w:rsidR="00615CA4">
        <w:rPr>
          <w:sz w:val="16"/>
          <w:szCs w:val="16"/>
        </w:rPr>
        <w:t>, Mr Albanese,</w:t>
      </w:r>
      <w:r w:rsidR="00C151E4" w:rsidRPr="00EB09D6">
        <w:rPr>
          <w:sz w:val="16"/>
          <w:szCs w:val="16"/>
        </w:rPr>
        <w:t xml:space="preserve"> was ridiculed </w:t>
      </w:r>
      <w:r w:rsidR="00615CA4">
        <w:rPr>
          <w:sz w:val="16"/>
          <w:szCs w:val="16"/>
        </w:rPr>
        <w:t>f</w:t>
      </w:r>
      <w:r w:rsidR="00C151E4" w:rsidRPr="00EB09D6">
        <w:rPr>
          <w:sz w:val="16"/>
          <w:szCs w:val="16"/>
        </w:rPr>
        <w:t>or not knowing certain economic statistics,</w:t>
      </w:r>
      <w:r w:rsidR="00DB288C">
        <w:rPr>
          <w:sz w:val="16"/>
          <w:szCs w:val="16"/>
        </w:rPr>
        <w:t xml:space="preserve"> and details of every Labor policy,</w:t>
      </w:r>
      <w:r w:rsidR="00C151E4" w:rsidRPr="00EB09D6">
        <w:rPr>
          <w:sz w:val="16"/>
          <w:szCs w:val="16"/>
        </w:rPr>
        <w:t xml:space="preserve"> leading to suggestions he was not ‘up to running the country’. </w:t>
      </w:r>
      <w:hyperlink r:id="rId78" w:history="1">
        <w:r w:rsidR="00DB288C" w:rsidRPr="00642A93">
          <w:rPr>
            <w:rStyle w:val="Hyperlink"/>
            <w:sz w:val="16"/>
            <w:szCs w:val="16"/>
          </w:rPr>
          <w:t>https://www.news.com.au/national/federal-election/nonsense-anthony-albanese-and-ally-langdon-in-fiery-tv-clash/news-story/49ee44f7e5928d80f5b8f801ca337b71</w:t>
        </w:r>
      </w:hyperlink>
    </w:p>
    <w:p w14:paraId="162B381E" w14:textId="77777777" w:rsidR="00DB288C" w:rsidRPr="00917E81" w:rsidRDefault="00DB288C" w:rsidP="00C151E4">
      <w:pPr>
        <w:pStyle w:val="FootnoteText"/>
        <w:rPr>
          <w:sz w:val="16"/>
          <w:szCs w:val="16"/>
        </w:rPr>
      </w:pPr>
    </w:p>
  </w:footnote>
  <w:footnote w:id="60">
    <w:p w14:paraId="432E9436" w14:textId="0A2C120A" w:rsidR="00615CA4" w:rsidRDefault="00615CA4">
      <w:pPr>
        <w:pStyle w:val="FootnoteText"/>
        <w:rPr>
          <w:sz w:val="16"/>
          <w:szCs w:val="16"/>
        </w:rPr>
      </w:pPr>
      <w:r w:rsidRPr="00917E81">
        <w:rPr>
          <w:rStyle w:val="FootnoteReference"/>
          <w:sz w:val="16"/>
          <w:szCs w:val="16"/>
        </w:rPr>
        <w:footnoteRef/>
      </w:r>
      <w:r w:rsidRPr="00917E81">
        <w:rPr>
          <w:sz w:val="16"/>
          <w:szCs w:val="16"/>
        </w:rPr>
        <w:t xml:space="preserve"> </w:t>
      </w:r>
      <w:hyperlink r:id="rId79" w:history="1">
        <w:r w:rsidRPr="00917E81">
          <w:rPr>
            <w:rStyle w:val="Hyperlink"/>
            <w:sz w:val="16"/>
            <w:szCs w:val="16"/>
          </w:rPr>
          <w:t>https://www.thejadebeagle.com/emergency-achieved.html</w:t>
        </w:r>
      </w:hyperlink>
      <w:r w:rsidR="00DC0643" w:rsidRPr="00917E81">
        <w:rPr>
          <w:sz w:val="16"/>
          <w:szCs w:val="16"/>
        </w:rPr>
        <w:t xml:space="preserve">  </w:t>
      </w:r>
      <w:r w:rsidR="00866528">
        <w:rPr>
          <w:sz w:val="16"/>
          <w:szCs w:val="16"/>
        </w:rPr>
        <w:t xml:space="preserve">Run the country: </w:t>
      </w:r>
      <w:hyperlink r:id="rId80" w:history="1">
        <w:r w:rsidR="00866528" w:rsidRPr="001D4D9D">
          <w:rPr>
            <w:rStyle w:val="Hyperlink"/>
            <w:sz w:val="16"/>
            <w:szCs w:val="16"/>
          </w:rPr>
          <w:t>https://www.9news.com.au/national/anthony-albanese-blanking-ndis-opposition-leader-federal-election-campaign/fe0b05d4-a65f-402d-b788-77b9c0ece012</w:t>
        </w:r>
      </w:hyperlink>
    </w:p>
    <w:p w14:paraId="4005D559" w14:textId="77777777" w:rsidR="00615CA4" w:rsidRPr="00866528" w:rsidRDefault="00615CA4">
      <w:pPr>
        <w:pStyle w:val="FootnoteText"/>
        <w:rPr>
          <w:sz w:val="16"/>
          <w:szCs w:val="16"/>
        </w:rPr>
      </w:pPr>
    </w:p>
  </w:footnote>
  <w:footnote w:id="61">
    <w:p w14:paraId="0FB1541D" w14:textId="2F7E591C" w:rsidR="002D7EC2" w:rsidRPr="009C0425" w:rsidRDefault="004E374F" w:rsidP="004E374F">
      <w:pPr>
        <w:pStyle w:val="FootnoteText"/>
        <w:rPr>
          <w:sz w:val="16"/>
          <w:szCs w:val="16"/>
        </w:rPr>
      </w:pPr>
      <w:r w:rsidRPr="009C0425">
        <w:rPr>
          <w:rStyle w:val="FootnoteReference"/>
          <w:sz w:val="16"/>
          <w:szCs w:val="16"/>
        </w:rPr>
        <w:footnoteRef/>
      </w:r>
      <w:r w:rsidRPr="009C0425">
        <w:rPr>
          <w:sz w:val="16"/>
          <w:szCs w:val="16"/>
        </w:rPr>
        <w:t xml:space="preserve"> </w:t>
      </w:r>
      <w:r w:rsidR="002D7EC2" w:rsidRPr="009C0425">
        <w:rPr>
          <w:sz w:val="16"/>
          <w:szCs w:val="16"/>
        </w:rPr>
        <w:t xml:space="preserve">See, for example: </w:t>
      </w:r>
      <w:hyperlink r:id="rId81" w:history="1">
        <w:r w:rsidR="002D7EC2" w:rsidRPr="009C0425">
          <w:rPr>
            <w:rStyle w:val="Hyperlink"/>
            <w:sz w:val="16"/>
            <w:szCs w:val="16"/>
          </w:rPr>
          <w:t>https://www.auspublaw.org/blog/2022/09/high-court-upholds-validity-of-surveillance-devices-legislation-against-freedom-of-political-communication-challenge</w:t>
        </w:r>
      </w:hyperlink>
    </w:p>
    <w:p w14:paraId="412B656B" w14:textId="5DC1839C" w:rsidR="004E374F" w:rsidRPr="009C0425" w:rsidRDefault="004E374F" w:rsidP="004E374F">
      <w:pPr>
        <w:pStyle w:val="FootnoteText"/>
        <w:rPr>
          <w:sz w:val="16"/>
          <w:szCs w:val="16"/>
        </w:rPr>
      </w:pPr>
    </w:p>
  </w:footnote>
  <w:footnote w:id="62">
    <w:p w14:paraId="7DA1F7F8" w14:textId="6CDAC375" w:rsidR="000B626E" w:rsidRPr="009C0425" w:rsidRDefault="000B626E">
      <w:pPr>
        <w:pStyle w:val="FootnoteText"/>
        <w:rPr>
          <w:sz w:val="16"/>
          <w:szCs w:val="16"/>
        </w:rPr>
      </w:pPr>
      <w:r w:rsidRPr="009C0425">
        <w:rPr>
          <w:rStyle w:val="FootnoteReference"/>
          <w:sz w:val="16"/>
          <w:szCs w:val="16"/>
        </w:rPr>
        <w:footnoteRef/>
      </w:r>
      <w:r w:rsidRPr="009C0425">
        <w:rPr>
          <w:sz w:val="16"/>
          <w:szCs w:val="16"/>
        </w:rPr>
        <w:t xml:space="preserve"> </w:t>
      </w:r>
      <w:hyperlink r:id="rId82" w:history="1">
        <w:r w:rsidR="002D7EC2" w:rsidRPr="009C0425">
          <w:rPr>
            <w:rStyle w:val="Hyperlink"/>
            <w:sz w:val="16"/>
            <w:szCs w:val="16"/>
          </w:rPr>
          <w:t>https://www.ag.gov.au/integrity/foreign-influence-transparency-scheme</w:t>
        </w:r>
      </w:hyperlink>
    </w:p>
    <w:p w14:paraId="100ADA93" w14:textId="77777777" w:rsidR="002D7EC2" w:rsidRPr="009C0425" w:rsidRDefault="002D7EC2">
      <w:pPr>
        <w:pStyle w:val="FootnoteText"/>
        <w:rPr>
          <w:sz w:val="16"/>
          <w:szCs w:val="16"/>
        </w:rPr>
      </w:pPr>
    </w:p>
  </w:footnote>
  <w:footnote w:id="63">
    <w:p w14:paraId="672324E2" w14:textId="06AE59DB" w:rsidR="000868EA" w:rsidRPr="009C0425" w:rsidRDefault="000868EA">
      <w:pPr>
        <w:pStyle w:val="FootnoteText"/>
        <w:rPr>
          <w:rFonts w:cstheme="minorHAnsi"/>
          <w:sz w:val="16"/>
          <w:szCs w:val="16"/>
        </w:rPr>
      </w:pPr>
      <w:r w:rsidRPr="009C0425">
        <w:rPr>
          <w:rStyle w:val="FootnoteReference"/>
          <w:sz w:val="16"/>
          <w:szCs w:val="16"/>
        </w:rPr>
        <w:footnoteRef/>
      </w:r>
      <w:r w:rsidRPr="009C0425">
        <w:rPr>
          <w:sz w:val="16"/>
          <w:szCs w:val="16"/>
        </w:rPr>
        <w:t xml:space="preserve"> </w:t>
      </w:r>
      <w:r w:rsidR="0042239B" w:rsidRPr="009C0425">
        <w:rPr>
          <w:sz w:val="16"/>
          <w:szCs w:val="16"/>
        </w:rPr>
        <w:t xml:space="preserve">While </w:t>
      </w:r>
      <w:r w:rsidR="00A90053" w:rsidRPr="009C0425">
        <w:rPr>
          <w:sz w:val="16"/>
          <w:szCs w:val="16"/>
        </w:rPr>
        <w:t xml:space="preserve">justices </w:t>
      </w:r>
      <w:r w:rsidR="0042239B" w:rsidRPr="009C0425">
        <w:rPr>
          <w:sz w:val="16"/>
          <w:szCs w:val="16"/>
        </w:rPr>
        <w:t xml:space="preserve">Gagelar and Gordon did not use the third part of the test it could be assumed their view on that would have been: </w:t>
      </w:r>
      <w:r w:rsidR="0042239B" w:rsidRPr="009C0425">
        <w:rPr>
          <w:rFonts w:cstheme="minorHAnsi"/>
          <w:sz w:val="16"/>
          <w:szCs w:val="16"/>
        </w:rPr>
        <w:t>information held by the Secretary was kept secret from the public</w:t>
      </w:r>
      <w:r w:rsidR="00E354F6" w:rsidRPr="009C0425">
        <w:rPr>
          <w:rFonts w:cstheme="minorHAnsi"/>
          <w:sz w:val="16"/>
          <w:szCs w:val="16"/>
        </w:rPr>
        <w:t>, hence the legislation</w:t>
      </w:r>
      <w:r w:rsidR="0042239B" w:rsidRPr="009C0425">
        <w:rPr>
          <w:rFonts w:cstheme="minorHAnsi"/>
          <w:sz w:val="16"/>
          <w:szCs w:val="16"/>
        </w:rPr>
        <w:t xml:space="preserve"> could not be suitable, necessary or adequate to keep the public informed of foreign influence – the legislation went beyond its supposed legitimate purposes</w:t>
      </w:r>
    </w:p>
    <w:p w14:paraId="489ED848" w14:textId="77777777" w:rsidR="001D0D25" w:rsidRPr="009C0425" w:rsidRDefault="001D0D25">
      <w:pPr>
        <w:pStyle w:val="FootnoteText"/>
        <w:rPr>
          <w:sz w:val="16"/>
          <w:szCs w:val="16"/>
        </w:rPr>
      </w:pPr>
    </w:p>
  </w:footnote>
  <w:footnote w:id="64">
    <w:p w14:paraId="7F369D9A" w14:textId="754D65AB" w:rsidR="00E354F6" w:rsidRPr="00337669" w:rsidRDefault="00E354F6">
      <w:pPr>
        <w:pStyle w:val="FootnoteText"/>
        <w:rPr>
          <w:sz w:val="16"/>
          <w:szCs w:val="16"/>
        </w:rPr>
      </w:pPr>
      <w:r w:rsidRPr="00337669">
        <w:rPr>
          <w:rStyle w:val="FootnoteReference"/>
          <w:sz w:val="16"/>
          <w:szCs w:val="16"/>
        </w:rPr>
        <w:footnoteRef/>
      </w:r>
      <w:r w:rsidRPr="00337669">
        <w:rPr>
          <w:sz w:val="16"/>
          <w:szCs w:val="16"/>
        </w:rPr>
        <w:t xml:space="preserve"> </w:t>
      </w:r>
      <w:hyperlink r:id="rId83" w:history="1">
        <w:r w:rsidR="001D0D25" w:rsidRPr="00337669">
          <w:rPr>
            <w:rStyle w:val="Hyperlink"/>
            <w:sz w:val="16"/>
            <w:szCs w:val="16"/>
          </w:rPr>
          <w:t>https://www.auspublaw.org/blog/2022/09/high-court-upholds-validity-of-surveillance-devices-legislation-against-freedom-of-political-communication-challenge</w:t>
        </w:r>
      </w:hyperlink>
    </w:p>
    <w:p w14:paraId="084B16E3" w14:textId="77777777" w:rsidR="001D0D25" w:rsidRDefault="001D0D25">
      <w:pPr>
        <w:pStyle w:val="FootnoteText"/>
      </w:pPr>
    </w:p>
  </w:footnote>
  <w:footnote w:id="65">
    <w:p w14:paraId="61867127" w14:textId="122C1ED3" w:rsidR="003F1329" w:rsidRPr="00637942" w:rsidRDefault="003F1329">
      <w:pPr>
        <w:pStyle w:val="FootnoteText"/>
        <w:rPr>
          <w:sz w:val="16"/>
          <w:szCs w:val="16"/>
        </w:rPr>
      </w:pPr>
      <w:r w:rsidRPr="00637942">
        <w:rPr>
          <w:rStyle w:val="FootnoteReference"/>
          <w:sz w:val="16"/>
          <w:szCs w:val="16"/>
        </w:rPr>
        <w:footnoteRef/>
      </w:r>
      <w:r w:rsidRPr="00637942">
        <w:rPr>
          <w:sz w:val="16"/>
          <w:szCs w:val="16"/>
        </w:rPr>
        <w:t xml:space="preserve"> </w:t>
      </w:r>
      <w:hyperlink r:id="rId84" w:history="1">
        <w:r w:rsidRPr="00637942">
          <w:rPr>
            <w:rStyle w:val="Hyperlink"/>
            <w:sz w:val="16"/>
            <w:szCs w:val="16"/>
          </w:rPr>
          <w:t>https://www.cjccl.ca/wp-content/uploads/2021/05/10-Twomey.pdf</w:t>
        </w:r>
      </w:hyperlink>
    </w:p>
  </w:footnote>
  <w:footnote w:id="66">
    <w:p w14:paraId="48C9EB27" w14:textId="7285A02F" w:rsidR="00416109" w:rsidRPr="00637942" w:rsidRDefault="00416109">
      <w:pPr>
        <w:pStyle w:val="FootnoteText"/>
        <w:rPr>
          <w:sz w:val="16"/>
          <w:szCs w:val="16"/>
        </w:rPr>
      </w:pPr>
      <w:r w:rsidRPr="00637942">
        <w:rPr>
          <w:rStyle w:val="FootnoteReference"/>
          <w:sz w:val="16"/>
          <w:szCs w:val="16"/>
        </w:rPr>
        <w:footnoteRef/>
      </w:r>
      <w:r w:rsidRPr="00637942">
        <w:rPr>
          <w:sz w:val="16"/>
          <w:szCs w:val="16"/>
        </w:rPr>
        <w:t xml:space="preserve"> </w:t>
      </w:r>
      <w:hyperlink r:id="rId85" w:history="1">
        <w:r w:rsidR="00637942" w:rsidRPr="00637942">
          <w:rPr>
            <w:rStyle w:val="Hyperlink"/>
            <w:sz w:val="16"/>
            <w:szCs w:val="16"/>
          </w:rPr>
          <w:t>https://www.thejadebeagle.com/covid---july-2020.html</w:t>
        </w:r>
      </w:hyperlink>
    </w:p>
    <w:p w14:paraId="2CC4E0A7" w14:textId="77777777" w:rsidR="00637942" w:rsidRPr="00637942" w:rsidRDefault="00637942">
      <w:pPr>
        <w:pStyle w:val="FootnoteText"/>
        <w:rPr>
          <w:sz w:val="16"/>
          <w:szCs w:val="16"/>
        </w:rPr>
      </w:pPr>
    </w:p>
  </w:footnote>
  <w:footnote w:id="67">
    <w:p w14:paraId="67B271AB" w14:textId="0A605D04" w:rsidR="00416109" w:rsidRPr="00637942" w:rsidRDefault="00416109">
      <w:pPr>
        <w:pStyle w:val="FootnoteText"/>
        <w:rPr>
          <w:sz w:val="16"/>
          <w:szCs w:val="16"/>
        </w:rPr>
      </w:pPr>
      <w:r w:rsidRPr="00637942">
        <w:rPr>
          <w:rStyle w:val="FootnoteReference"/>
          <w:sz w:val="16"/>
          <w:szCs w:val="16"/>
        </w:rPr>
        <w:footnoteRef/>
      </w:r>
      <w:hyperlink r:id="rId86" w:history="1">
        <w:r w:rsidR="00637942" w:rsidRPr="001D4D9D">
          <w:rPr>
            <w:rStyle w:val="Hyperlink"/>
            <w:sz w:val="16"/>
            <w:szCs w:val="16"/>
          </w:rPr>
          <w:t>https://www.aph.gov.au/about_parliament/parliamentary_departments/parliamentary_library/parliamentary_handbook/current_ministry_list</w:t>
        </w:r>
      </w:hyperlink>
    </w:p>
    <w:p w14:paraId="6A87EA96" w14:textId="77777777" w:rsidR="00416109" w:rsidRDefault="004161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60E8" w14:textId="77777777" w:rsidR="00E65EB1" w:rsidRDefault="00E65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1DF8" w14:textId="77777777" w:rsidR="00E65EB1" w:rsidRDefault="00E65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F396" w14:textId="77777777" w:rsidR="00E65EB1" w:rsidRDefault="00E65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82E"/>
    <w:multiLevelType w:val="hybridMultilevel"/>
    <w:tmpl w:val="F9E0C864"/>
    <w:lvl w:ilvl="0" w:tplc="0C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2635F9"/>
    <w:multiLevelType w:val="hybridMultilevel"/>
    <w:tmpl w:val="A06254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F1735C0"/>
    <w:multiLevelType w:val="hybridMultilevel"/>
    <w:tmpl w:val="C59C9AEA"/>
    <w:lvl w:ilvl="0" w:tplc="77E615C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EB51F3"/>
    <w:multiLevelType w:val="multilevel"/>
    <w:tmpl w:val="E9CE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304525"/>
    <w:multiLevelType w:val="multilevel"/>
    <w:tmpl w:val="E9CE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FA684E"/>
    <w:multiLevelType w:val="hybridMultilevel"/>
    <w:tmpl w:val="894A5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776DD6"/>
    <w:multiLevelType w:val="multilevel"/>
    <w:tmpl w:val="E9CE3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8A3543"/>
    <w:multiLevelType w:val="hybridMultilevel"/>
    <w:tmpl w:val="DEC24CE0"/>
    <w:lvl w:ilvl="0" w:tplc="57E0B6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84009E"/>
    <w:multiLevelType w:val="hybridMultilevel"/>
    <w:tmpl w:val="99827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5324921">
    <w:abstractNumId w:val="6"/>
    <w:lvlOverride w:ilvl="0">
      <w:startOverride w:val="218"/>
    </w:lvlOverride>
  </w:num>
  <w:num w:numId="2" w16cid:durableId="1554808601">
    <w:abstractNumId w:val="4"/>
  </w:num>
  <w:num w:numId="3" w16cid:durableId="463474992">
    <w:abstractNumId w:val="3"/>
    <w:lvlOverride w:ilvl="0">
      <w:startOverride w:val="220"/>
    </w:lvlOverride>
  </w:num>
  <w:num w:numId="4" w16cid:durableId="1484735087">
    <w:abstractNumId w:val="5"/>
  </w:num>
  <w:num w:numId="5" w16cid:durableId="265579741">
    <w:abstractNumId w:val="2"/>
  </w:num>
  <w:num w:numId="6" w16cid:durableId="498542198">
    <w:abstractNumId w:val="7"/>
  </w:num>
  <w:num w:numId="7" w16cid:durableId="1491020802">
    <w:abstractNumId w:val="0"/>
  </w:num>
  <w:num w:numId="8" w16cid:durableId="1716536988">
    <w:abstractNumId w:val="1"/>
  </w:num>
  <w:num w:numId="9" w16cid:durableId="10354219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E92"/>
    <w:rsid w:val="00005807"/>
    <w:rsid w:val="00012012"/>
    <w:rsid w:val="00021496"/>
    <w:rsid w:val="00022450"/>
    <w:rsid w:val="000308C4"/>
    <w:rsid w:val="00032009"/>
    <w:rsid w:val="000410E2"/>
    <w:rsid w:val="00050F65"/>
    <w:rsid w:val="00054136"/>
    <w:rsid w:val="000554DF"/>
    <w:rsid w:val="00056926"/>
    <w:rsid w:val="00062D03"/>
    <w:rsid w:val="000759D9"/>
    <w:rsid w:val="000868EA"/>
    <w:rsid w:val="0009008B"/>
    <w:rsid w:val="00090F6B"/>
    <w:rsid w:val="00091B93"/>
    <w:rsid w:val="000A657D"/>
    <w:rsid w:val="000A6D7E"/>
    <w:rsid w:val="000B21BA"/>
    <w:rsid w:val="000B626E"/>
    <w:rsid w:val="000B7739"/>
    <w:rsid w:val="000C5FD3"/>
    <w:rsid w:val="000E794A"/>
    <w:rsid w:val="000F24EA"/>
    <w:rsid w:val="000F349C"/>
    <w:rsid w:val="00106AA9"/>
    <w:rsid w:val="001110AD"/>
    <w:rsid w:val="0011718F"/>
    <w:rsid w:val="00125796"/>
    <w:rsid w:val="001278EE"/>
    <w:rsid w:val="00133B54"/>
    <w:rsid w:val="00137A67"/>
    <w:rsid w:val="0014076E"/>
    <w:rsid w:val="00140987"/>
    <w:rsid w:val="00145685"/>
    <w:rsid w:val="00146347"/>
    <w:rsid w:val="00150423"/>
    <w:rsid w:val="00150F5B"/>
    <w:rsid w:val="001520A5"/>
    <w:rsid w:val="00156A37"/>
    <w:rsid w:val="00160C61"/>
    <w:rsid w:val="00162165"/>
    <w:rsid w:val="001632A8"/>
    <w:rsid w:val="001637A4"/>
    <w:rsid w:val="00163B65"/>
    <w:rsid w:val="0016734F"/>
    <w:rsid w:val="00167B07"/>
    <w:rsid w:val="0017214A"/>
    <w:rsid w:val="00173004"/>
    <w:rsid w:val="00176449"/>
    <w:rsid w:val="001861F4"/>
    <w:rsid w:val="001943B2"/>
    <w:rsid w:val="00194833"/>
    <w:rsid w:val="00194F0F"/>
    <w:rsid w:val="00196EAA"/>
    <w:rsid w:val="001A13F9"/>
    <w:rsid w:val="001A6547"/>
    <w:rsid w:val="001C0E24"/>
    <w:rsid w:val="001C4768"/>
    <w:rsid w:val="001C6A51"/>
    <w:rsid w:val="001C6DAF"/>
    <w:rsid w:val="001D0D25"/>
    <w:rsid w:val="001D4B45"/>
    <w:rsid w:val="001D7642"/>
    <w:rsid w:val="001F398D"/>
    <w:rsid w:val="001F7194"/>
    <w:rsid w:val="0020450C"/>
    <w:rsid w:val="00221625"/>
    <w:rsid w:val="0022417E"/>
    <w:rsid w:val="00225B44"/>
    <w:rsid w:val="00227A39"/>
    <w:rsid w:val="0023343B"/>
    <w:rsid w:val="00245F36"/>
    <w:rsid w:val="00251170"/>
    <w:rsid w:val="00262954"/>
    <w:rsid w:val="00264446"/>
    <w:rsid w:val="0027000E"/>
    <w:rsid w:val="002734B6"/>
    <w:rsid w:val="00282FA0"/>
    <w:rsid w:val="002C3D6E"/>
    <w:rsid w:val="002C6EE4"/>
    <w:rsid w:val="002D0B49"/>
    <w:rsid w:val="002D166F"/>
    <w:rsid w:val="002D1CE5"/>
    <w:rsid w:val="002D3009"/>
    <w:rsid w:val="002D40DD"/>
    <w:rsid w:val="002D7EC2"/>
    <w:rsid w:val="002E2B98"/>
    <w:rsid w:val="002E6048"/>
    <w:rsid w:val="003168DB"/>
    <w:rsid w:val="00331B82"/>
    <w:rsid w:val="003332A7"/>
    <w:rsid w:val="00337669"/>
    <w:rsid w:val="00342149"/>
    <w:rsid w:val="00343AE2"/>
    <w:rsid w:val="00347B2A"/>
    <w:rsid w:val="00357B1D"/>
    <w:rsid w:val="00362F7A"/>
    <w:rsid w:val="00366D45"/>
    <w:rsid w:val="00371E25"/>
    <w:rsid w:val="0038282C"/>
    <w:rsid w:val="00387DE9"/>
    <w:rsid w:val="00390416"/>
    <w:rsid w:val="0039067D"/>
    <w:rsid w:val="003906E4"/>
    <w:rsid w:val="00391140"/>
    <w:rsid w:val="003A42AB"/>
    <w:rsid w:val="003A4472"/>
    <w:rsid w:val="003A66CA"/>
    <w:rsid w:val="003B1F63"/>
    <w:rsid w:val="003B24E5"/>
    <w:rsid w:val="003C138C"/>
    <w:rsid w:val="003C3574"/>
    <w:rsid w:val="003C36DA"/>
    <w:rsid w:val="003C5579"/>
    <w:rsid w:val="003D034C"/>
    <w:rsid w:val="003D0C51"/>
    <w:rsid w:val="003D5F37"/>
    <w:rsid w:val="003E12EB"/>
    <w:rsid w:val="003E5452"/>
    <w:rsid w:val="003F0DF2"/>
    <w:rsid w:val="003F1329"/>
    <w:rsid w:val="003F3F16"/>
    <w:rsid w:val="003F4B24"/>
    <w:rsid w:val="003F6501"/>
    <w:rsid w:val="003F7570"/>
    <w:rsid w:val="004002D8"/>
    <w:rsid w:val="0040418B"/>
    <w:rsid w:val="004041A3"/>
    <w:rsid w:val="004058EC"/>
    <w:rsid w:val="00407535"/>
    <w:rsid w:val="0041131F"/>
    <w:rsid w:val="00411C4A"/>
    <w:rsid w:val="00415A17"/>
    <w:rsid w:val="00416109"/>
    <w:rsid w:val="00416B55"/>
    <w:rsid w:val="0042239B"/>
    <w:rsid w:val="00423459"/>
    <w:rsid w:val="0043068B"/>
    <w:rsid w:val="0044355D"/>
    <w:rsid w:val="00444F33"/>
    <w:rsid w:val="004478CD"/>
    <w:rsid w:val="00451B23"/>
    <w:rsid w:val="004520ED"/>
    <w:rsid w:val="004576DC"/>
    <w:rsid w:val="004650D2"/>
    <w:rsid w:val="0046708F"/>
    <w:rsid w:val="00467428"/>
    <w:rsid w:val="004810C5"/>
    <w:rsid w:val="004826FD"/>
    <w:rsid w:val="0049099A"/>
    <w:rsid w:val="00494E92"/>
    <w:rsid w:val="00494F64"/>
    <w:rsid w:val="00495D29"/>
    <w:rsid w:val="004B12B6"/>
    <w:rsid w:val="004C04B5"/>
    <w:rsid w:val="004C0982"/>
    <w:rsid w:val="004C2530"/>
    <w:rsid w:val="004C2B35"/>
    <w:rsid w:val="004E2D56"/>
    <w:rsid w:val="004E374F"/>
    <w:rsid w:val="004E4A82"/>
    <w:rsid w:val="004E5C2E"/>
    <w:rsid w:val="004F0DF2"/>
    <w:rsid w:val="004F3523"/>
    <w:rsid w:val="00503F02"/>
    <w:rsid w:val="00504264"/>
    <w:rsid w:val="005146E1"/>
    <w:rsid w:val="00527B06"/>
    <w:rsid w:val="00527D07"/>
    <w:rsid w:val="00536882"/>
    <w:rsid w:val="00541C53"/>
    <w:rsid w:val="00541E37"/>
    <w:rsid w:val="00551602"/>
    <w:rsid w:val="00555146"/>
    <w:rsid w:val="00556872"/>
    <w:rsid w:val="00567688"/>
    <w:rsid w:val="00571E70"/>
    <w:rsid w:val="00577240"/>
    <w:rsid w:val="005813B5"/>
    <w:rsid w:val="00581C99"/>
    <w:rsid w:val="0059099A"/>
    <w:rsid w:val="00595017"/>
    <w:rsid w:val="005A167F"/>
    <w:rsid w:val="005A2C1D"/>
    <w:rsid w:val="005A599D"/>
    <w:rsid w:val="005B014D"/>
    <w:rsid w:val="005B4A1B"/>
    <w:rsid w:val="005C322D"/>
    <w:rsid w:val="005C5945"/>
    <w:rsid w:val="005C6FC8"/>
    <w:rsid w:val="005D0DC1"/>
    <w:rsid w:val="005D1B14"/>
    <w:rsid w:val="005D253A"/>
    <w:rsid w:val="005E6843"/>
    <w:rsid w:val="005F23BB"/>
    <w:rsid w:val="005F2A44"/>
    <w:rsid w:val="005F3F97"/>
    <w:rsid w:val="005F50DC"/>
    <w:rsid w:val="005F50FA"/>
    <w:rsid w:val="00600FDB"/>
    <w:rsid w:val="00603360"/>
    <w:rsid w:val="0060458E"/>
    <w:rsid w:val="00604792"/>
    <w:rsid w:val="00611373"/>
    <w:rsid w:val="006140CD"/>
    <w:rsid w:val="00615CA4"/>
    <w:rsid w:val="00615DCC"/>
    <w:rsid w:val="00623D63"/>
    <w:rsid w:val="006246B9"/>
    <w:rsid w:val="00633D4F"/>
    <w:rsid w:val="00637942"/>
    <w:rsid w:val="006556AF"/>
    <w:rsid w:val="00656F97"/>
    <w:rsid w:val="00657A02"/>
    <w:rsid w:val="00661692"/>
    <w:rsid w:val="00667913"/>
    <w:rsid w:val="0068424F"/>
    <w:rsid w:val="006867BD"/>
    <w:rsid w:val="00687E3A"/>
    <w:rsid w:val="00691CC6"/>
    <w:rsid w:val="006962F9"/>
    <w:rsid w:val="006A0936"/>
    <w:rsid w:val="006A6A0A"/>
    <w:rsid w:val="006A6C0F"/>
    <w:rsid w:val="006A6D76"/>
    <w:rsid w:val="006B2DC3"/>
    <w:rsid w:val="006D0F69"/>
    <w:rsid w:val="006E2A71"/>
    <w:rsid w:val="006E2E99"/>
    <w:rsid w:val="006F5A3D"/>
    <w:rsid w:val="00701E74"/>
    <w:rsid w:val="007072A6"/>
    <w:rsid w:val="00713547"/>
    <w:rsid w:val="00714936"/>
    <w:rsid w:val="0071514A"/>
    <w:rsid w:val="00717B2A"/>
    <w:rsid w:val="00723BA5"/>
    <w:rsid w:val="007300CE"/>
    <w:rsid w:val="00733270"/>
    <w:rsid w:val="00736911"/>
    <w:rsid w:val="007375B3"/>
    <w:rsid w:val="00743E25"/>
    <w:rsid w:val="0074753B"/>
    <w:rsid w:val="00750E99"/>
    <w:rsid w:val="00751C66"/>
    <w:rsid w:val="00753BB1"/>
    <w:rsid w:val="0075448D"/>
    <w:rsid w:val="00762701"/>
    <w:rsid w:val="00771FE2"/>
    <w:rsid w:val="007727DA"/>
    <w:rsid w:val="00792E22"/>
    <w:rsid w:val="007A26DB"/>
    <w:rsid w:val="007A3985"/>
    <w:rsid w:val="007B1D79"/>
    <w:rsid w:val="007B40AE"/>
    <w:rsid w:val="007B57AE"/>
    <w:rsid w:val="007C2799"/>
    <w:rsid w:val="007C4BC5"/>
    <w:rsid w:val="007C4CEB"/>
    <w:rsid w:val="007C6020"/>
    <w:rsid w:val="007E20E5"/>
    <w:rsid w:val="007E4C87"/>
    <w:rsid w:val="007F0782"/>
    <w:rsid w:val="007F46C6"/>
    <w:rsid w:val="00813EC9"/>
    <w:rsid w:val="00820F3E"/>
    <w:rsid w:val="00822133"/>
    <w:rsid w:val="008378CD"/>
    <w:rsid w:val="00841390"/>
    <w:rsid w:val="008468D1"/>
    <w:rsid w:val="008469D2"/>
    <w:rsid w:val="0084792D"/>
    <w:rsid w:val="0085090B"/>
    <w:rsid w:val="00853B39"/>
    <w:rsid w:val="00853D7C"/>
    <w:rsid w:val="00857BBB"/>
    <w:rsid w:val="00866528"/>
    <w:rsid w:val="00873BC2"/>
    <w:rsid w:val="00874AC8"/>
    <w:rsid w:val="00880EC6"/>
    <w:rsid w:val="00892349"/>
    <w:rsid w:val="008934A6"/>
    <w:rsid w:val="00896486"/>
    <w:rsid w:val="00897B6E"/>
    <w:rsid w:val="008A3933"/>
    <w:rsid w:val="008A54CF"/>
    <w:rsid w:val="008B773B"/>
    <w:rsid w:val="008C5B1C"/>
    <w:rsid w:val="008C6A73"/>
    <w:rsid w:val="008D2145"/>
    <w:rsid w:val="008D340F"/>
    <w:rsid w:val="008D5628"/>
    <w:rsid w:val="008D6111"/>
    <w:rsid w:val="008D7EAB"/>
    <w:rsid w:val="008E35EA"/>
    <w:rsid w:val="008E469F"/>
    <w:rsid w:val="00902B78"/>
    <w:rsid w:val="00905D1B"/>
    <w:rsid w:val="00907B00"/>
    <w:rsid w:val="00911654"/>
    <w:rsid w:val="00911A8C"/>
    <w:rsid w:val="00912CB1"/>
    <w:rsid w:val="00917E81"/>
    <w:rsid w:val="00923318"/>
    <w:rsid w:val="0094096D"/>
    <w:rsid w:val="0094335D"/>
    <w:rsid w:val="009467E3"/>
    <w:rsid w:val="00960C50"/>
    <w:rsid w:val="0097131B"/>
    <w:rsid w:val="00977D17"/>
    <w:rsid w:val="00981677"/>
    <w:rsid w:val="00987B7E"/>
    <w:rsid w:val="009A4FC2"/>
    <w:rsid w:val="009A73A4"/>
    <w:rsid w:val="009B3DFA"/>
    <w:rsid w:val="009C0425"/>
    <w:rsid w:val="009E18E7"/>
    <w:rsid w:val="009F4125"/>
    <w:rsid w:val="009F468C"/>
    <w:rsid w:val="00A0464C"/>
    <w:rsid w:val="00A17AC0"/>
    <w:rsid w:val="00A25ACB"/>
    <w:rsid w:val="00A31511"/>
    <w:rsid w:val="00A32681"/>
    <w:rsid w:val="00A35DFC"/>
    <w:rsid w:val="00A43A2F"/>
    <w:rsid w:val="00A5389A"/>
    <w:rsid w:val="00A55C17"/>
    <w:rsid w:val="00A56AC3"/>
    <w:rsid w:val="00A63E0E"/>
    <w:rsid w:val="00A64127"/>
    <w:rsid w:val="00A66F9D"/>
    <w:rsid w:val="00A72FD5"/>
    <w:rsid w:val="00A83415"/>
    <w:rsid w:val="00A85CA8"/>
    <w:rsid w:val="00A90053"/>
    <w:rsid w:val="00A97590"/>
    <w:rsid w:val="00AA0BEB"/>
    <w:rsid w:val="00AB066C"/>
    <w:rsid w:val="00AB0CAC"/>
    <w:rsid w:val="00AB6403"/>
    <w:rsid w:val="00AC0C63"/>
    <w:rsid w:val="00AC2529"/>
    <w:rsid w:val="00AC66CE"/>
    <w:rsid w:val="00AC7274"/>
    <w:rsid w:val="00AD0553"/>
    <w:rsid w:val="00AD2720"/>
    <w:rsid w:val="00AD371D"/>
    <w:rsid w:val="00AD62A0"/>
    <w:rsid w:val="00AE1482"/>
    <w:rsid w:val="00AE1F98"/>
    <w:rsid w:val="00AE5925"/>
    <w:rsid w:val="00AE5ACB"/>
    <w:rsid w:val="00AF0060"/>
    <w:rsid w:val="00AF497E"/>
    <w:rsid w:val="00B019AB"/>
    <w:rsid w:val="00B0496A"/>
    <w:rsid w:val="00B0604D"/>
    <w:rsid w:val="00B104D9"/>
    <w:rsid w:val="00B14142"/>
    <w:rsid w:val="00B1438C"/>
    <w:rsid w:val="00B169D0"/>
    <w:rsid w:val="00B1724F"/>
    <w:rsid w:val="00B30634"/>
    <w:rsid w:val="00B32528"/>
    <w:rsid w:val="00B445E2"/>
    <w:rsid w:val="00B46266"/>
    <w:rsid w:val="00B47934"/>
    <w:rsid w:val="00B54610"/>
    <w:rsid w:val="00B54C25"/>
    <w:rsid w:val="00B56929"/>
    <w:rsid w:val="00B6187C"/>
    <w:rsid w:val="00B6527A"/>
    <w:rsid w:val="00B66997"/>
    <w:rsid w:val="00B75750"/>
    <w:rsid w:val="00B8171A"/>
    <w:rsid w:val="00B81B03"/>
    <w:rsid w:val="00B847E0"/>
    <w:rsid w:val="00B857EE"/>
    <w:rsid w:val="00B90196"/>
    <w:rsid w:val="00B92FAC"/>
    <w:rsid w:val="00BA3E01"/>
    <w:rsid w:val="00BA3FE6"/>
    <w:rsid w:val="00BA6A40"/>
    <w:rsid w:val="00BA71C2"/>
    <w:rsid w:val="00BB548E"/>
    <w:rsid w:val="00BC3DEF"/>
    <w:rsid w:val="00BC5774"/>
    <w:rsid w:val="00BC6E2B"/>
    <w:rsid w:val="00BD28BC"/>
    <w:rsid w:val="00BD354B"/>
    <w:rsid w:val="00BE0479"/>
    <w:rsid w:val="00BE0A13"/>
    <w:rsid w:val="00BF0F3D"/>
    <w:rsid w:val="00BF7986"/>
    <w:rsid w:val="00C01DCF"/>
    <w:rsid w:val="00C04DF8"/>
    <w:rsid w:val="00C110DF"/>
    <w:rsid w:val="00C1115A"/>
    <w:rsid w:val="00C151E4"/>
    <w:rsid w:val="00C154CF"/>
    <w:rsid w:val="00C20C06"/>
    <w:rsid w:val="00C214B7"/>
    <w:rsid w:val="00C25B89"/>
    <w:rsid w:val="00C3225A"/>
    <w:rsid w:val="00C35D69"/>
    <w:rsid w:val="00C35DA3"/>
    <w:rsid w:val="00C37BF4"/>
    <w:rsid w:val="00C40253"/>
    <w:rsid w:val="00C414EB"/>
    <w:rsid w:val="00C42B67"/>
    <w:rsid w:val="00C466AE"/>
    <w:rsid w:val="00C47FCA"/>
    <w:rsid w:val="00C62458"/>
    <w:rsid w:val="00C62666"/>
    <w:rsid w:val="00C6384B"/>
    <w:rsid w:val="00C717AC"/>
    <w:rsid w:val="00C72452"/>
    <w:rsid w:val="00C84B81"/>
    <w:rsid w:val="00C84E27"/>
    <w:rsid w:val="00C86CA3"/>
    <w:rsid w:val="00C90016"/>
    <w:rsid w:val="00C94F13"/>
    <w:rsid w:val="00C97A69"/>
    <w:rsid w:val="00CA110B"/>
    <w:rsid w:val="00CD0A9F"/>
    <w:rsid w:val="00CD4C77"/>
    <w:rsid w:val="00CD730E"/>
    <w:rsid w:val="00CD7501"/>
    <w:rsid w:val="00CE00AC"/>
    <w:rsid w:val="00CE057F"/>
    <w:rsid w:val="00CE5F2E"/>
    <w:rsid w:val="00CE64B1"/>
    <w:rsid w:val="00CE6868"/>
    <w:rsid w:val="00CF27F9"/>
    <w:rsid w:val="00CF5455"/>
    <w:rsid w:val="00CF65F1"/>
    <w:rsid w:val="00D03C4E"/>
    <w:rsid w:val="00D15E49"/>
    <w:rsid w:val="00D24ABA"/>
    <w:rsid w:val="00D32B2D"/>
    <w:rsid w:val="00D35EE3"/>
    <w:rsid w:val="00D377C3"/>
    <w:rsid w:val="00D400A4"/>
    <w:rsid w:val="00D8303C"/>
    <w:rsid w:val="00D8310E"/>
    <w:rsid w:val="00D86854"/>
    <w:rsid w:val="00D92751"/>
    <w:rsid w:val="00D956CF"/>
    <w:rsid w:val="00DA5368"/>
    <w:rsid w:val="00DA6AAF"/>
    <w:rsid w:val="00DB0B9C"/>
    <w:rsid w:val="00DB0C58"/>
    <w:rsid w:val="00DB288C"/>
    <w:rsid w:val="00DB3A5C"/>
    <w:rsid w:val="00DC0643"/>
    <w:rsid w:val="00DC1AAB"/>
    <w:rsid w:val="00DC49A4"/>
    <w:rsid w:val="00DD09FB"/>
    <w:rsid w:val="00DD4591"/>
    <w:rsid w:val="00DE147D"/>
    <w:rsid w:val="00DE1555"/>
    <w:rsid w:val="00DE375C"/>
    <w:rsid w:val="00DF700E"/>
    <w:rsid w:val="00E021D2"/>
    <w:rsid w:val="00E02E5C"/>
    <w:rsid w:val="00E04643"/>
    <w:rsid w:val="00E053F4"/>
    <w:rsid w:val="00E10A22"/>
    <w:rsid w:val="00E123F9"/>
    <w:rsid w:val="00E17397"/>
    <w:rsid w:val="00E241E6"/>
    <w:rsid w:val="00E2510E"/>
    <w:rsid w:val="00E2773C"/>
    <w:rsid w:val="00E354F6"/>
    <w:rsid w:val="00E360CF"/>
    <w:rsid w:val="00E42BA5"/>
    <w:rsid w:val="00E6026C"/>
    <w:rsid w:val="00E65EB1"/>
    <w:rsid w:val="00E724B1"/>
    <w:rsid w:val="00E72757"/>
    <w:rsid w:val="00E74D23"/>
    <w:rsid w:val="00E75F2E"/>
    <w:rsid w:val="00E80BF3"/>
    <w:rsid w:val="00EA66F4"/>
    <w:rsid w:val="00EB09D6"/>
    <w:rsid w:val="00EB33D8"/>
    <w:rsid w:val="00EC2676"/>
    <w:rsid w:val="00EC2FD3"/>
    <w:rsid w:val="00EC4946"/>
    <w:rsid w:val="00ED4040"/>
    <w:rsid w:val="00ED45CC"/>
    <w:rsid w:val="00ED47B1"/>
    <w:rsid w:val="00ED71C7"/>
    <w:rsid w:val="00ED7E97"/>
    <w:rsid w:val="00EE01C1"/>
    <w:rsid w:val="00EE0464"/>
    <w:rsid w:val="00EE300B"/>
    <w:rsid w:val="00EF0286"/>
    <w:rsid w:val="00EF1299"/>
    <w:rsid w:val="00EF1E03"/>
    <w:rsid w:val="00F00443"/>
    <w:rsid w:val="00F02754"/>
    <w:rsid w:val="00F03A50"/>
    <w:rsid w:val="00F03B64"/>
    <w:rsid w:val="00F055D1"/>
    <w:rsid w:val="00F05820"/>
    <w:rsid w:val="00F25B49"/>
    <w:rsid w:val="00F3692C"/>
    <w:rsid w:val="00F53D73"/>
    <w:rsid w:val="00F72CE6"/>
    <w:rsid w:val="00F80030"/>
    <w:rsid w:val="00F82ADF"/>
    <w:rsid w:val="00F9401F"/>
    <w:rsid w:val="00F944BD"/>
    <w:rsid w:val="00FA13C2"/>
    <w:rsid w:val="00FA21FC"/>
    <w:rsid w:val="00FC0465"/>
    <w:rsid w:val="00FD20DB"/>
    <w:rsid w:val="00FD58A4"/>
    <w:rsid w:val="00FD61D8"/>
    <w:rsid w:val="00FD6DD7"/>
    <w:rsid w:val="00FE7EF4"/>
    <w:rsid w:val="00FF294D"/>
    <w:rsid w:val="00FF5132"/>
    <w:rsid w:val="00FF77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1D0F"/>
  <w15:chartTrackingRefBased/>
  <w15:docId w15:val="{ADA53BBF-FBB8-4FD1-8C7F-FB7F23A8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A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7B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D0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343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0AC"/>
    <w:rPr>
      <w:color w:val="0563C1" w:themeColor="hyperlink"/>
      <w:u w:val="single"/>
    </w:rPr>
  </w:style>
  <w:style w:type="character" w:styleId="UnresolvedMention">
    <w:name w:val="Unresolved Mention"/>
    <w:basedOn w:val="DefaultParagraphFont"/>
    <w:uiPriority w:val="99"/>
    <w:semiHidden/>
    <w:unhideWhenUsed/>
    <w:rsid w:val="00CE00AC"/>
    <w:rPr>
      <w:color w:val="605E5C"/>
      <w:shd w:val="clear" w:color="auto" w:fill="E1DFDD"/>
    </w:rPr>
  </w:style>
  <w:style w:type="character" w:customStyle="1" w:styleId="Heading1Char">
    <w:name w:val="Heading 1 Char"/>
    <w:basedOn w:val="DefaultParagraphFont"/>
    <w:link w:val="Heading1"/>
    <w:uiPriority w:val="9"/>
    <w:rsid w:val="00156A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7B0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1A13F9"/>
    <w:pPr>
      <w:spacing w:after="0" w:line="240" w:lineRule="auto"/>
    </w:pPr>
    <w:rPr>
      <w:sz w:val="20"/>
      <w:szCs w:val="20"/>
    </w:rPr>
  </w:style>
  <w:style w:type="character" w:customStyle="1" w:styleId="FootnoteTextChar">
    <w:name w:val="Footnote Text Char"/>
    <w:basedOn w:val="DefaultParagraphFont"/>
    <w:link w:val="FootnoteText"/>
    <w:uiPriority w:val="99"/>
    <w:rsid w:val="001A13F9"/>
    <w:rPr>
      <w:sz w:val="20"/>
      <w:szCs w:val="20"/>
    </w:rPr>
  </w:style>
  <w:style w:type="character" w:styleId="FootnoteReference">
    <w:name w:val="footnote reference"/>
    <w:basedOn w:val="DefaultParagraphFont"/>
    <w:uiPriority w:val="99"/>
    <w:semiHidden/>
    <w:unhideWhenUsed/>
    <w:rsid w:val="001A13F9"/>
    <w:rPr>
      <w:vertAlign w:val="superscript"/>
    </w:rPr>
  </w:style>
  <w:style w:type="character" w:customStyle="1" w:styleId="Heading3Char">
    <w:name w:val="Heading 3 Char"/>
    <w:basedOn w:val="DefaultParagraphFont"/>
    <w:link w:val="Heading3"/>
    <w:uiPriority w:val="9"/>
    <w:rsid w:val="00062D03"/>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700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D0A9F"/>
    <w:pPr>
      <w:ind w:left="720"/>
      <w:contextualSpacing/>
    </w:pPr>
  </w:style>
  <w:style w:type="paragraph" w:styleId="Header">
    <w:name w:val="header"/>
    <w:basedOn w:val="Normal"/>
    <w:link w:val="HeaderChar"/>
    <w:uiPriority w:val="99"/>
    <w:unhideWhenUsed/>
    <w:rsid w:val="00E65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EB1"/>
  </w:style>
  <w:style w:type="paragraph" w:styleId="Footer">
    <w:name w:val="footer"/>
    <w:basedOn w:val="Normal"/>
    <w:link w:val="FooterChar"/>
    <w:uiPriority w:val="99"/>
    <w:unhideWhenUsed/>
    <w:rsid w:val="00E65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EB1"/>
  </w:style>
  <w:style w:type="paragraph" w:styleId="TOCHeading">
    <w:name w:val="TOC Heading"/>
    <w:basedOn w:val="Heading1"/>
    <w:next w:val="Normal"/>
    <w:uiPriority w:val="39"/>
    <w:unhideWhenUsed/>
    <w:qFormat/>
    <w:rsid w:val="00EE300B"/>
    <w:pPr>
      <w:outlineLvl w:val="9"/>
    </w:pPr>
    <w:rPr>
      <w:lang w:val="en-US"/>
    </w:rPr>
  </w:style>
  <w:style w:type="paragraph" w:styleId="TOC1">
    <w:name w:val="toc 1"/>
    <w:basedOn w:val="Normal"/>
    <w:next w:val="Normal"/>
    <w:autoRedefine/>
    <w:uiPriority w:val="39"/>
    <w:unhideWhenUsed/>
    <w:rsid w:val="00EE300B"/>
    <w:pPr>
      <w:spacing w:after="100"/>
    </w:pPr>
  </w:style>
  <w:style w:type="paragraph" w:styleId="TOC2">
    <w:name w:val="toc 2"/>
    <w:basedOn w:val="Normal"/>
    <w:next w:val="Normal"/>
    <w:autoRedefine/>
    <w:uiPriority w:val="39"/>
    <w:unhideWhenUsed/>
    <w:rsid w:val="00EE300B"/>
    <w:pPr>
      <w:spacing w:after="100"/>
      <w:ind w:left="220"/>
    </w:pPr>
  </w:style>
  <w:style w:type="paragraph" w:styleId="TOC3">
    <w:name w:val="toc 3"/>
    <w:basedOn w:val="Normal"/>
    <w:next w:val="Normal"/>
    <w:autoRedefine/>
    <w:uiPriority w:val="39"/>
    <w:unhideWhenUsed/>
    <w:rsid w:val="00EE300B"/>
    <w:pPr>
      <w:spacing w:after="100"/>
      <w:ind w:left="440"/>
    </w:pPr>
  </w:style>
  <w:style w:type="character" w:styleId="Emphasis">
    <w:name w:val="Emphasis"/>
    <w:basedOn w:val="DefaultParagraphFont"/>
    <w:uiPriority w:val="20"/>
    <w:qFormat/>
    <w:rsid w:val="00896486"/>
    <w:rPr>
      <w:i/>
      <w:iCs/>
    </w:rPr>
  </w:style>
  <w:style w:type="paragraph" w:customStyle="1" w:styleId="mol-para-with-font">
    <w:name w:val="mol-para-with-font"/>
    <w:basedOn w:val="Normal"/>
    <w:rsid w:val="00282FA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23343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49">
      <w:bodyDiv w:val="1"/>
      <w:marLeft w:val="0"/>
      <w:marRight w:val="0"/>
      <w:marTop w:val="0"/>
      <w:marBottom w:val="0"/>
      <w:divBdr>
        <w:top w:val="none" w:sz="0" w:space="0" w:color="auto"/>
        <w:left w:val="none" w:sz="0" w:space="0" w:color="auto"/>
        <w:bottom w:val="none" w:sz="0" w:space="0" w:color="auto"/>
        <w:right w:val="none" w:sz="0" w:space="0" w:color="auto"/>
      </w:divBdr>
      <w:divsChild>
        <w:div w:id="1119296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72230">
          <w:blockQuote w:val="1"/>
          <w:marLeft w:val="720"/>
          <w:marRight w:val="720"/>
          <w:marTop w:val="100"/>
          <w:marBottom w:val="100"/>
          <w:divBdr>
            <w:top w:val="none" w:sz="0" w:space="0" w:color="auto"/>
            <w:left w:val="none" w:sz="0" w:space="0" w:color="auto"/>
            <w:bottom w:val="none" w:sz="0" w:space="0" w:color="auto"/>
            <w:right w:val="none" w:sz="0" w:space="0" w:color="auto"/>
          </w:divBdr>
        </w:div>
        <w:div w:id="794979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19564">
      <w:bodyDiv w:val="1"/>
      <w:marLeft w:val="0"/>
      <w:marRight w:val="0"/>
      <w:marTop w:val="0"/>
      <w:marBottom w:val="0"/>
      <w:divBdr>
        <w:top w:val="none" w:sz="0" w:space="0" w:color="auto"/>
        <w:left w:val="none" w:sz="0" w:space="0" w:color="auto"/>
        <w:bottom w:val="none" w:sz="0" w:space="0" w:color="auto"/>
        <w:right w:val="none" w:sz="0" w:space="0" w:color="auto"/>
      </w:divBdr>
    </w:div>
    <w:div w:id="207574281">
      <w:bodyDiv w:val="1"/>
      <w:marLeft w:val="0"/>
      <w:marRight w:val="0"/>
      <w:marTop w:val="0"/>
      <w:marBottom w:val="0"/>
      <w:divBdr>
        <w:top w:val="none" w:sz="0" w:space="0" w:color="auto"/>
        <w:left w:val="none" w:sz="0" w:space="0" w:color="auto"/>
        <w:bottom w:val="none" w:sz="0" w:space="0" w:color="auto"/>
        <w:right w:val="none" w:sz="0" w:space="0" w:color="auto"/>
      </w:divBdr>
    </w:div>
    <w:div w:id="535390769">
      <w:bodyDiv w:val="1"/>
      <w:marLeft w:val="0"/>
      <w:marRight w:val="0"/>
      <w:marTop w:val="0"/>
      <w:marBottom w:val="0"/>
      <w:divBdr>
        <w:top w:val="none" w:sz="0" w:space="0" w:color="auto"/>
        <w:left w:val="none" w:sz="0" w:space="0" w:color="auto"/>
        <w:bottom w:val="none" w:sz="0" w:space="0" w:color="auto"/>
        <w:right w:val="none" w:sz="0" w:space="0" w:color="auto"/>
      </w:divBdr>
    </w:div>
    <w:div w:id="1359697495">
      <w:bodyDiv w:val="1"/>
      <w:marLeft w:val="0"/>
      <w:marRight w:val="0"/>
      <w:marTop w:val="0"/>
      <w:marBottom w:val="0"/>
      <w:divBdr>
        <w:top w:val="none" w:sz="0" w:space="0" w:color="auto"/>
        <w:left w:val="none" w:sz="0" w:space="0" w:color="auto"/>
        <w:bottom w:val="none" w:sz="0" w:space="0" w:color="auto"/>
        <w:right w:val="none" w:sz="0" w:space="0" w:color="auto"/>
      </w:divBdr>
    </w:div>
    <w:div w:id="13894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berratimes.com.au/story/732809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ww.canberratimes.com.au/story/7862308/kennedy-pezzullo-unaware-of-morrisons-secret-ministries/" TargetMode="External"/><Relationship Id="rId18" Type="http://schemas.openxmlformats.org/officeDocument/2006/relationships/hyperlink" Target="https://theconversation.com/view-from-the-hill-morrisons-passion-for-control-trashed-conventions-and-accountability-188747" TargetMode="External"/><Relationship Id="rId26" Type="http://schemas.openxmlformats.org/officeDocument/2006/relationships/hyperlink" Target="https://www.pmc.gov.au/who-we-are/ministers" TargetMode="External"/><Relationship Id="rId39" Type="http://schemas.openxmlformats.org/officeDocument/2006/relationships/hyperlink" Target="https://www.canberratimes.com.au/story/7328096/the-pm-can-have-his-cake-and-eat-it-when-it-comes-to-vaccine-rollout/" TargetMode="External"/><Relationship Id="rId21" Type="http://schemas.openxmlformats.org/officeDocument/2006/relationships/hyperlink" Target="https://www.ag.gov.au/about-us/publications/inquiry-multiple-ministerial-appointments" TargetMode="External"/><Relationship Id="rId34" Type="http://schemas.openxmlformats.org/officeDocument/2006/relationships/hyperlink" Target="https://www.canberratimes.com.au/story/7875535/was-it-the-pm-or-federalism-that-undermined-the-principles-of-responsible-government/" TargetMode="External"/><Relationship Id="rId42" Type="http://schemas.openxmlformats.org/officeDocument/2006/relationships/hyperlink" Target="https://www.thejadebeagle.com/covid---july-2020.html" TargetMode="External"/><Relationship Id="rId47" Type="http://schemas.openxmlformats.org/officeDocument/2006/relationships/hyperlink" Target="https://www.theaustralian.com.au/commentary/morrisons-power-grab-a-pandoras-box-for-democracy/news-story/810eb39cbb003bd2eb6561504fc4a45d" TargetMode="External"/><Relationship Id="rId50" Type="http://schemas.openxmlformats.org/officeDocument/2006/relationships/hyperlink" Target="https://whitlamdismissal.com/1975/11/10/barwick-advice-to-kerr.html" TargetMode="External"/><Relationship Id="rId55" Type="http://schemas.openxmlformats.org/officeDocument/2006/relationships/hyperlink" Target="https://www.auspublaw.org/blog/2022/09/high-court-upholds-validity-of-surveillance-devices-legislation-against-freedom-of-political-communication-challenge" TargetMode="External"/><Relationship Id="rId63" Type="http://schemas.openxmlformats.org/officeDocument/2006/relationships/hyperlink" Target="https://www.pm.gov.au/media/albanese-government-full-ministry" TargetMode="External"/><Relationship Id="rId68" Type="http://schemas.openxmlformats.org/officeDocument/2006/relationships/hyperlink" Target="https://www.theaustralian.com.au/nation/politics/criticism-of-scott-morrison-on-vaccines-borders-hysterical/news-story/595c8c7234c6c67bc4f80a6e4a50539c" TargetMode="External"/><Relationship Id="rId76" Type="http://schemas.openxmlformats.org/officeDocument/2006/relationships/hyperlink" Target="https://www.afr.com/politics/federal/pm-seeks-the-credit-so-cops-the-blame-20220119-p59pk0" TargetMode="External"/><Relationship Id="rId84" Type="http://schemas.openxmlformats.org/officeDocument/2006/relationships/hyperlink" Target="https://www.cjccl.ca/wp-content/uploads/2021/05/10-Twomey.pdf" TargetMode="External"/><Relationship Id="rId7" Type="http://schemas.openxmlformats.org/officeDocument/2006/relationships/hyperlink" Target="http://www7.austlii.edu.au/cgi-bin/viewdoc/au/cases/cth/HCA/2013/58.html" TargetMode="External"/><Relationship Id="rId71" Type="http://schemas.openxmlformats.org/officeDocument/2006/relationships/hyperlink" Target="https://independentaustralia.net/politics/politics-display/flashback-2021-morrisons-handling-of-covid-19-a-series-of-failures,16576" TargetMode="External"/><Relationship Id="rId2" Type="http://schemas.openxmlformats.org/officeDocument/2006/relationships/hyperlink" Target="https://www.thejadebeagle.com/tinpot.html" TargetMode="External"/><Relationship Id="rId16" Type="http://schemas.openxmlformats.org/officeDocument/2006/relationships/hyperlink" Target="https://www.theaustralian.com.au/nation/politics/asset-energy-in-push-to-overturn-block-on-pep11-gas-exploration-permit/news-story/b576535fe9912d032a633bc74ed1de00" TargetMode="External"/><Relationship Id="rId29" Type="http://schemas.openxmlformats.org/officeDocument/2006/relationships/hyperlink" Target="https://johnmenadue.com/scott-morrisons-ministerial-fetish-an-unprecedented-trashing-of-our-democracy/" TargetMode="External"/><Relationship Id="rId11" Type="http://schemas.openxmlformats.org/officeDocument/2006/relationships/hyperlink" Target="http://classic.austlii.edu.au/au/journals/NSWBarAssocNews/2009/29.pdf" TargetMode="External"/><Relationship Id="rId24" Type="http://schemas.openxmlformats.org/officeDocument/2006/relationships/hyperlink" Target="https://www.aph.gov.au/About_Parliament/House_of_Representatives/Powers_practice_and_procedure/Practice7/HTML/Chapter2/The_Ministry" TargetMode="External"/><Relationship Id="rId32" Type="http://schemas.openxmlformats.org/officeDocument/2006/relationships/hyperlink" Target="https://johnmenadue.com/super-scott-and-the-coup-vaccine/" TargetMode="External"/><Relationship Id="rId37" Type="http://schemas.openxmlformats.org/officeDocument/2006/relationships/hyperlink" Target="https://www.theguardian.com/australia-news/2022/jun/17/anthony-albanese-backflips-on-national-cabinet-secrecy-and-refuses-to-say-why" TargetMode="External"/><Relationship Id="rId40" Type="http://schemas.openxmlformats.org/officeDocument/2006/relationships/hyperlink" Target="https://www.panterapress.com.au/product/plagued/" TargetMode="External"/><Relationship Id="rId45" Type="http://schemas.openxmlformats.org/officeDocument/2006/relationships/hyperlink" Target="https://www.thejadebeagle.com/not-so-fast.html" TargetMode="External"/><Relationship Id="rId53" Type="http://schemas.openxmlformats.org/officeDocument/2006/relationships/hyperlink" Target="https://en.wikipedia.org/wiki/Second_Morrison_ministry" TargetMode="External"/><Relationship Id="rId58" Type="http://schemas.openxmlformats.org/officeDocument/2006/relationships/hyperlink" Target="https://whitlamdismissal.com/government/the-first-whitlam-ministry" TargetMode="External"/><Relationship Id="rId66" Type="http://schemas.openxmlformats.org/officeDocument/2006/relationships/hyperlink" Target="https://www.thejadebeagle.com/emergencies---tinpot-series.html" TargetMode="External"/><Relationship Id="rId74" Type="http://schemas.openxmlformats.org/officeDocument/2006/relationships/hyperlink" Target="https://michaelwest.com.au/there-is-no-place-for-secret-ministers-in-australian-democracy/" TargetMode="External"/><Relationship Id="rId79" Type="http://schemas.openxmlformats.org/officeDocument/2006/relationships/hyperlink" Target="https://www.thejadebeagle.com/emergency-achieved.html" TargetMode="External"/><Relationship Id="rId5" Type="http://schemas.openxmlformats.org/officeDocument/2006/relationships/hyperlink" Target="https://verdemode.com/bowerbirds-and-blue/" TargetMode="External"/><Relationship Id="rId61" Type="http://schemas.openxmlformats.org/officeDocument/2006/relationships/hyperlink" Target="http://classic.austlii.edu.au/au/journals/UQLawJl/1997/2.pdf" TargetMode="External"/><Relationship Id="rId82" Type="http://schemas.openxmlformats.org/officeDocument/2006/relationships/hyperlink" Target="https://www.ag.gov.au/integrity/foreign-influence-transparency-scheme" TargetMode="External"/><Relationship Id="rId19" Type="http://schemas.openxmlformats.org/officeDocument/2006/relationships/hyperlink" Target="https://www.abs.gov.au/articles/impact-lockdowns-household-consumption-insights-alternative-data-sources" TargetMode="External"/><Relationship Id="rId4" Type="http://schemas.openxmlformats.org/officeDocument/2006/relationships/hyperlink" Target="https://www.news.com.au/travel/travel-updates/travel-stories/peter-dutton-holidaying-in-us-as-colleagues-blast-albo-for-ukraine-visit/news-story/f26d4282141802151df84d9487ad4a30" TargetMode="External"/><Relationship Id="rId9" Type="http://schemas.openxmlformats.org/officeDocument/2006/relationships/hyperlink" Target="http://www.austlii.edu.au/cgi-bin/viewdoc/au/cases/cth/HCA/2019/23.html?context=1;query=banerji;mask_path=%C2%A0" TargetMode="External"/><Relationship Id="rId14" Type="http://schemas.openxmlformats.org/officeDocument/2006/relationships/hyperlink" Target="https://thenewdaily.com.au/news/politics/australian-politics/2022/08/17/scott-morrison-secret-portfolio/" TargetMode="External"/><Relationship Id="rId22" Type="http://schemas.openxmlformats.org/officeDocument/2006/relationships/hyperlink" Target="https://jade.io/article/68286" TargetMode="External"/><Relationship Id="rId27" Type="http://schemas.openxmlformats.org/officeDocument/2006/relationships/hyperlink" Target="https://www.hcourt.gov.au/cases/case_s211-2014" TargetMode="External"/><Relationship Id="rId30" Type="http://schemas.openxmlformats.org/officeDocument/2006/relationships/hyperlink" Target="https://johnmenadue.com/graham-maddox-concerning-laws-and-conventions/" TargetMode="External"/><Relationship Id="rId35" Type="http://schemas.openxmlformats.org/officeDocument/2006/relationships/hyperlink" Target="https://www.auspublaw.org/blog/2020/10/the-national-cabinet-presidentialised-politics-power-sharing-and-a-deficit-in-transparency" TargetMode="External"/><Relationship Id="rId43" Type="http://schemas.openxmlformats.org/officeDocument/2006/relationships/hyperlink" Target="https://www.thejadebeagle.com/not-so-fast.html" TargetMode="External"/><Relationship Id="rId48" Type="http://schemas.openxmlformats.org/officeDocument/2006/relationships/hyperlink" Target="https://www.hcourt.gov.au/cases/case_s211-2014" TargetMode="External"/><Relationship Id="rId56" Type="http://schemas.openxmlformats.org/officeDocument/2006/relationships/hyperlink" Target="https://www.thejadebeagle.com/emergency-achieved.html" TargetMode="External"/><Relationship Id="rId64" Type="http://schemas.openxmlformats.org/officeDocument/2006/relationships/hyperlink" Target="https://www.pmc.gov.au/who-we-are/ministers" TargetMode="External"/><Relationship Id="rId69" Type="http://schemas.openxmlformats.org/officeDocument/2006/relationships/hyperlink" Target="https://www.theguardian.com/australia-news/2022/feb/08/scott-morrison-faces-question-time-grilling-over-government-response-to-covid-aged-care-crisis" TargetMode="External"/><Relationship Id="rId77" Type="http://schemas.openxmlformats.org/officeDocument/2006/relationships/hyperlink" Target="https://www.thechronicle.com.au/news/national/pure-scapegoating-media-blames-scott-morrison-for-floods/video/bac088cdb213ef62a8bda88d56f28d0a" TargetMode="External"/><Relationship Id="rId8" Type="http://schemas.openxmlformats.org/officeDocument/2006/relationships/hyperlink" Target="https://eresources.hcourt.gov.au/downloadPdf/2015/HCA/34" TargetMode="External"/><Relationship Id="rId51" Type="http://schemas.openxmlformats.org/officeDocument/2006/relationships/hyperlink" Target="https://theconversation.com/masons-role-in-the-1975-dismissal-unprecedented-hardly-9174" TargetMode="External"/><Relationship Id="rId72" Type="http://schemas.openxmlformats.org/officeDocument/2006/relationships/hyperlink" Target="https://www.theguardian.com/australia-news/commentisfree/2022/mar/22/the-floods-seamlessly-tied-together-all-of-scott-morrisons-biggest-failures-into-one-giant-catastrophe" TargetMode="External"/><Relationship Id="rId80" Type="http://schemas.openxmlformats.org/officeDocument/2006/relationships/hyperlink" Target="https://www.9news.com.au/national/anthony-albanese-blanking-ndis-opposition-leader-federal-election-campaign/fe0b05d4-a65f-402d-b788-77b9c0ece012" TargetMode="External"/><Relationship Id="rId85" Type="http://schemas.openxmlformats.org/officeDocument/2006/relationships/hyperlink" Target="https://www.thejadebeagle.com/covid---july-2020.html" TargetMode="External"/><Relationship Id="rId3" Type="http://schemas.openxmlformats.org/officeDocument/2006/relationships/hyperlink" Target="https://www.dailymail.co.uk/news/article-11111447/Shirtless-Anthony-Albanese-spotted-swimming-Broome-holiday.html" TargetMode="External"/><Relationship Id="rId12" Type="http://schemas.openxmlformats.org/officeDocument/2006/relationships/hyperlink" Target="https://www.minister.industry.gov.au/ministers/archive" TargetMode="External"/><Relationship Id="rId17" Type="http://schemas.openxmlformats.org/officeDocument/2006/relationships/hyperlink" Target="https://www.pmc.gov.au/sites/default/files/sg-no-12-of-2022.pdf" TargetMode="External"/><Relationship Id="rId25" Type="http://schemas.openxmlformats.org/officeDocument/2006/relationships/hyperlink" Target="https://www.pm.gov.au/media/albanese-government-full-ministry" TargetMode="External"/><Relationship Id="rId33" Type="http://schemas.openxmlformats.org/officeDocument/2006/relationships/hyperlink" Target="https://independentaustralia.net/politics/politics-display/journalists-slow-out-of-the-blocks-to-condemn-morrison-ministry-moves,16683" TargetMode="External"/><Relationship Id="rId38" Type="http://schemas.openxmlformats.org/officeDocument/2006/relationships/hyperlink" Target="https://federation.gov.au/national-cabinet" TargetMode="External"/><Relationship Id="rId46" Type="http://schemas.openxmlformats.org/officeDocument/2006/relationships/hyperlink" Target="https://www.thejadebeagle.com/emergency-achieved.html" TargetMode="External"/><Relationship Id="rId59" Type="http://schemas.openxmlformats.org/officeDocument/2006/relationships/hyperlink" Target="https://www.ags.gov.au/publications/litigation-notes/LitNote07.htm" TargetMode="External"/><Relationship Id="rId67" Type="http://schemas.openxmlformats.org/officeDocument/2006/relationships/hyperlink" Target="https://www.theguardian.com/australia-news/2020/jan/03/where-the-bloody-hell-was-he-how-scott-morrison-spent-the-past-week-of-the-bushfire-crisis" TargetMode="External"/><Relationship Id="rId20" Type="http://schemas.openxmlformats.org/officeDocument/2006/relationships/hyperlink" Target="https://www.southcoastregister.com.au/story/7862842/betrayal-of-trust-karen-andrews-tells-morrison-to-resign-from-parliament/" TargetMode="External"/><Relationship Id="rId41" Type="http://schemas.openxmlformats.org/officeDocument/2006/relationships/hyperlink" Target="https://www.thejadebeagle.com/covid---may.html" TargetMode="External"/><Relationship Id="rId54" Type="http://schemas.openxmlformats.org/officeDocument/2006/relationships/hyperlink" Target="https://www.aph.gov.au/About_Parliament/House_of_Representatives/Powers_practice_and_procedure/00_-_Infosheets/Infosheet_20_-_The_Australian_system_of_government" TargetMode="External"/><Relationship Id="rId62" Type="http://schemas.openxmlformats.org/officeDocument/2006/relationships/hyperlink" Target="https://www.aph.gov.au/About_Parliament/House_of_Representatives/Powers_practice_and_procedure/practice5/chapter2" TargetMode="External"/><Relationship Id="rId70" Type="http://schemas.openxmlformats.org/officeDocument/2006/relationships/hyperlink" Target="https://parlinfo.aph.gov.au/parlInfo/download/committees/reportsen/024920/toc_pdf/Finalreport.pdf;fileType=application%2Fpdf" TargetMode="External"/><Relationship Id="rId75" Type="http://schemas.openxmlformats.org/officeDocument/2006/relationships/hyperlink" Target="https://www.thejadebeagle.com/tinpot-2020.html" TargetMode="External"/><Relationship Id="rId83" Type="http://schemas.openxmlformats.org/officeDocument/2006/relationships/hyperlink" Target="https://www.auspublaw.org/blog/2022/09/high-court-upholds-validity-of-surveillance-devices-legislation-against-freedom-of-political-communication-challenge" TargetMode="External"/><Relationship Id="rId1" Type="http://schemas.openxmlformats.org/officeDocument/2006/relationships/hyperlink" Target="https://dictionary.cambridge.org/dictionary/english/hoard" TargetMode="External"/><Relationship Id="rId6" Type="http://schemas.openxmlformats.org/officeDocument/2006/relationships/hyperlink" Target="https://www.thejadebeagle.com/tinpot-2020.html" TargetMode="External"/><Relationship Id="rId15" Type="http://schemas.openxmlformats.org/officeDocument/2006/relationships/hyperlink" Target="https://www.dailymail.co.uk/news/article-11122293/Plagued-book-reveals-Scott-Morrison-fell-power-Covid-pandemic.html" TargetMode="External"/><Relationship Id="rId23" Type="http://schemas.openxmlformats.org/officeDocument/2006/relationships/hyperlink" Target="https://www.pmc.gov.au/sites/default/files/publications/administrative-arrangements-order-23-June-2022.pdf" TargetMode="External"/><Relationship Id="rId28" Type="http://schemas.openxmlformats.org/officeDocument/2006/relationships/hyperlink" Target="https://newsroom.unsw.edu.au/news/business-law/scott-morrisons-secret-appointments-legal-undermined-principles-government" TargetMode="External"/><Relationship Id="rId36" Type="http://schemas.openxmlformats.org/officeDocument/2006/relationships/hyperlink" Target="https://theconversation.com/nowhere-to-hide-the-significance-of-national-cabinet-not-being-a-cabinet-165671" TargetMode="External"/><Relationship Id="rId49" Type="http://schemas.openxmlformats.org/officeDocument/2006/relationships/hyperlink" Target="https://publications.parliament.uk/pa/ld201011/ldselect/ldconst/97/9705.htm" TargetMode="External"/><Relationship Id="rId57" Type="http://schemas.openxmlformats.org/officeDocument/2006/relationships/hyperlink" Target="https://www.aph.gov.au/About_Parliament/House_of_Representatives/Powers_practice_and_procedure/Practice7/HTML/Chapter2/The_Ministry" TargetMode="External"/><Relationship Id="rId10" Type="http://schemas.openxmlformats.org/officeDocument/2006/relationships/hyperlink" Target="https://eresources.hcourt.gov.au/downloadPdf/2019/HCA/11" TargetMode="External"/><Relationship Id="rId31" Type="http://schemas.openxmlformats.org/officeDocument/2006/relationships/hyperlink" Target="https://theconversation.com/word-from-the-hill-more-heat-piled-on-morrison-over-those-multiple-ministries-189244" TargetMode="External"/><Relationship Id="rId44" Type="http://schemas.openxmlformats.org/officeDocument/2006/relationships/hyperlink" Target="https://www.theaustralian.com.au/commentary/emergency-powers-secret-ministries-avoid-scrutiny-of-parliament/news-story/5c8580593ff6319994d9625a3b0f8a99" TargetMode="External"/><Relationship Id="rId52" Type="http://schemas.openxmlformats.org/officeDocument/2006/relationships/hyperlink" Target="https://www.pmc.gov.au/resource-centre/government/cabinet-handbook" TargetMode="External"/><Relationship Id="rId60" Type="http://schemas.openxmlformats.org/officeDocument/2006/relationships/hyperlink" Target="https://www.pmc.gov.au/who-we-are/minister" TargetMode="External"/><Relationship Id="rId65" Type="http://schemas.openxmlformats.org/officeDocument/2006/relationships/hyperlink" Target="https://www.aph.gov.au/Parliamentary_Business/Hansard/Hansard_Display?bid=chamber/hansardr/8f08edf4-8c55-4033-ab20-918ecad6739c/&amp;sid=0000" TargetMode="External"/><Relationship Id="rId73" Type="http://schemas.openxmlformats.org/officeDocument/2006/relationships/hyperlink" Target="https://www.theguardian.com/commentisfree/2022/aug/17/scott-morrisons-secret-ministries-undermine-public-trust-and-we-should-be-deeply-concerned" TargetMode="External"/><Relationship Id="rId78" Type="http://schemas.openxmlformats.org/officeDocument/2006/relationships/hyperlink" Target="https://www.news.com.au/national/federal-election/nonsense-anthony-albanese-and-ally-langdon-in-fiery-tv-clash/news-story/49ee44f7e5928d80f5b8f801ca337b71" TargetMode="External"/><Relationship Id="rId81" Type="http://schemas.openxmlformats.org/officeDocument/2006/relationships/hyperlink" Target="https://www.auspublaw.org/blog/2022/09/high-court-upholds-validity-of-surveillance-devices-legislation-against-freedom-of-political-communication-challenge" TargetMode="External"/><Relationship Id="rId86" Type="http://schemas.openxmlformats.org/officeDocument/2006/relationships/hyperlink" Target="https://www.aph.gov.au/about_parliament/parliamentary_departments/parliamentary_library/parliamentary_handbook/current_ministry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DBBC2-9B33-4AF4-8B84-2DFA0E75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21</Pages>
  <Words>7655</Words>
  <Characters>43634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9</cp:revision>
  <dcterms:created xsi:type="dcterms:W3CDTF">2022-09-29T04:24:00Z</dcterms:created>
  <dcterms:modified xsi:type="dcterms:W3CDTF">2022-09-29T05:34:00Z</dcterms:modified>
</cp:coreProperties>
</file>