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C9" w:rsidRDefault="00A015C9" w:rsidP="00A015C9">
      <w:pPr>
        <w:pStyle w:val="Heading1"/>
        <w:rPr>
          <w:shd w:val="clear" w:color="auto" w:fill="FFFFFF"/>
        </w:rPr>
      </w:pPr>
      <w:r>
        <w:rPr>
          <w:shd w:val="clear" w:color="auto" w:fill="FFFFFF"/>
        </w:rPr>
        <w:t>Maldon-Dombarton: the dog that didn’t bark</w:t>
      </w:r>
    </w:p>
    <w:p w:rsidR="005E7EB5" w:rsidRPr="003929DE" w:rsidRDefault="00612BB9" w:rsidP="004C5B54">
      <w:pPr>
        <w:spacing w:after="0"/>
        <w:rPr>
          <w:rFonts w:cstheme="minorHAnsi"/>
          <w:i/>
          <w:shd w:val="clear" w:color="auto" w:fill="FFFFFF"/>
        </w:rPr>
      </w:pPr>
      <w:r w:rsidRPr="003929DE">
        <w:rPr>
          <w:rFonts w:cstheme="minorHAnsi"/>
          <w:i/>
          <w:shd w:val="clear" w:color="auto" w:fill="FFFFFF"/>
        </w:rPr>
        <w:t xml:space="preserve">Proponent: </w:t>
      </w:r>
      <w:r w:rsidR="0052694B" w:rsidRPr="003929DE">
        <w:rPr>
          <w:rFonts w:cstheme="minorHAnsi"/>
          <w:i/>
          <w:shd w:val="clear" w:color="auto" w:fill="FFFFFF"/>
        </w:rPr>
        <w:t>A person who advocates a theory, proposal, or course of action.</w:t>
      </w:r>
    </w:p>
    <w:p w:rsidR="0052694B" w:rsidRPr="003929DE" w:rsidRDefault="00612BB9" w:rsidP="004C5B54">
      <w:pPr>
        <w:spacing w:after="0"/>
        <w:rPr>
          <w:rFonts w:cstheme="minorHAnsi"/>
          <w:i/>
          <w:shd w:val="clear" w:color="auto" w:fill="FFFFFF"/>
        </w:rPr>
      </w:pPr>
      <w:r w:rsidRPr="003929DE">
        <w:rPr>
          <w:rFonts w:cstheme="minorHAnsi"/>
          <w:i/>
          <w:shd w:val="clear" w:color="auto" w:fill="FFFFFF"/>
        </w:rPr>
        <w:t xml:space="preserve">Opponent: </w:t>
      </w:r>
      <w:r w:rsidR="0052694B" w:rsidRPr="003929DE">
        <w:rPr>
          <w:rFonts w:cstheme="minorHAnsi"/>
          <w:i/>
          <w:shd w:val="clear" w:color="auto" w:fill="FFFFFF"/>
        </w:rPr>
        <w:t>A person who disagrees with or resists a proposal or practice.</w:t>
      </w:r>
      <w:r w:rsidR="0052694B" w:rsidRPr="003929DE">
        <w:rPr>
          <w:rStyle w:val="EndnoteReference"/>
          <w:rFonts w:cstheme="minorHAnsi"/>
          <w:i/>
          <w:shd w:val="clear" w:color="auto" w:fill="FFFFFF"/>
        </w:rPr>
        <w:endnoteReference w:id="1"/>
      </w:r>
    </w:p>
    <w:p w:rsidR="004C5B54" w:rsidRPr="003929DE" w:rsidRDefault="004C5B54" w:rsidP="004C5B54">
      <w:pPr>
        <w:spacing w:after="0"/>
        <w:rPr>
          <w:rFonts w:cstheme="minorHAnsi"/>
          <w:i/>
          <w:shd w:val="clear" w:color="auto" w:fill="FFFFFF"/>
        </w:rPr>
      </w:pPr>
    </w:p>
    <w:p w:rsidR="00612BB9" w:rsidRPr="003929DE" w:rsidRDefault="00612BB9">
      <w:pPr>
        <w:rPr>
          <w:rFonts w:cstheme="minorHAnsi"/>
          <w:shd w:val="clear" w:color="auto" w:fill="FFFFFF"/>
        </w:rPr>
      </w:pPr>
      <w:r w:rsidRPr="003929DE">
        <w:rPr>
          <w:rFonts w:cstheme="minorHAnsi"/>
          <w:shd w:val="clear" w:color="auto" w:fill="FFFFFF"/>
        </w:rPr>
        <w:t xml:space="preserve">So </w:t>
      </w:r>
      <w:r w:rsidR="00236FCB" w:rsidRPr="003929DE">
        <w:rPr>
          <w:rFonts w:cstheme="minorHAnsi"/>
          <w:shd w:val="clear" w:color="auto" w:fill="FFFFFF"/>
        </w:rPr>
        <w:t>far,</w:t>
      </w:r>
      <w:r w:rsidRPr="003929DE">
        <w:rPr>
          <w:rFonts w:cstheme="minorHAnsi"/>
          <w:shd w:val="clear" w:color="auto" w:fill="FFFFFF"/>
        </w:rPr>
        <w:t xml:space="preserve"> the beagle has brought you all manner of infrastructure </w:t>
      </w:r>
      <w:r w:rsidR="002675D9" w:rsidRPr="003929DE">
        <w:rPr>
          <w:rFonts w:cstheme="minorHAnsi"/>
          <w:shd w:val="clear" w:color="auto" w:fill="FFFFFF"/>
        </w:rPr>
        <w:t>curios</w:t>
      </w:r>
      <w:r w:rsidRPr="003929DE">
        <w:rPr>
          <w:rFonts w:cstheme="minorHAnsi"/>
          <w:shd w:val="clear" w:color="auto" w:fill="FFFFFF"/>
        </w:rPr>
        <w:t xml:space="preserve"> including some </w:t>
      </w:r>
      <w:r w:rsidR="006028A6">
        <w:rPr>
          <w:rFonts w:cstheme="minorHAnsi"/>
          <w:shd w:val="clear" w:color="auto" w:fill="FFFFFF"/>
        </w:rPr>
        <w:t>caused</w:t>
      </w:r>
      <w:r w:rsidRPr="003929DE">
        <w:rPr>
          <w:rFonts w:cstheme="minorHAnsi"/>
          <w:shd w:val="clear" w:color="auto" w:fill="FFFFFF"/>
        </w:rPr>
        <w:t xml:space="preserve"> </w:t>
      </w:r>
      <w:proofErr w:type="gramStart"/>
      <w:r w:rsidRPr="003929DE">
        <w:rPr>
          <w:rFonts w:cstheme="minorHAnsi"/>
          <w:shd w:val="clear" w:color="auto" w:fill="FFFFFF"/>
        </w:rPr>
        <w:t>by  curses</w:t>
      </w:r>
      <w:proofErr w:type="gramEnd"/>
      <w:r w:rsidRPr="003929DE">
        <w:rPr>
          <w:rFonts w:cstheme="minorHAnsi"/>
          <w:shd w:val="clear" w:color="auto" w:fill="FFFFFF"/>
        </w:rPr>
        <w:t xml:space="preserve"> and straw men taken seriously.</w:t>
      </w:r>
    </w:p>
    <w:p w:rsidR="00612BB9" w:rsidRPr="003929DE" w:rsidRDefault="009A27D7">
      <w:pPr>
        <w:rPr>
          <w:rFonts w:cstheme="minorHAnsi"/>
          <w:shd w:val="clear" w:color="auto" w:fill="FFFFFF"/>
        </w:rPr>
      </w:pPr>
      <w:r w:rsidRPr="003929DE">
        <w:rPr>
          <w:rFonts w:cstheme="minorHAnsi"/>
          <w:shd w:val="clear" w:color="auto" w:fill="FFFFFF"/>
        </w:rPr>
        <w:t>Here</w:t>
      </w:r>
      <w:r w:rsidR="00612BB9" w:rsidRPr="003929DE">
        <w:rPr>
          <w:rFonts w:cstheme="minorHAnsi"/>
          <w:shd w:val="clear" w:color="auto" w:fill="FFFFFF"/>
        </w:rPr>
        <w:t xml:space="preserve"> is another </w:t>
      </w:r>
      <w:r w:rsidR="006028A6">
        <w:rPr>
          <w:rFonts w:cstheme="minorHAnsi"/>
          <w:shd w:val="clear" w:color="auto" w:fill="FFFFFF"/>
        </w:rPr>
        <w:t>for</w:t>
      </w:r>
      <w:r w:rsidR="00612BB9" w:rsidRPr="003929DE">
        <w:rPr>
          <w:rFonts w:cstheme="minorHAnsi"/>
          <w:shd w:val="clear" w:color="auto" w:fill="FFFFFF"/>
        </w:rPr>
        <w:t xml:space="preserve"> the collection.</w:t>
      </w:r>
    </w:p>
    <w:p w:rsidR="00612BB9" w:rsidRPr="003929DE" w:rsidRDefault="00612BB9">
      <w:pPr>
        <w:rPr>
          <w:rFonts w:cstheme="minorHAnsi"/>
          <w:shd w:val="clear" w:color="auto" w:fill="FFFFFF"/>
        </w:rPr>
      </w:pPr>
      <w:r w:rsidRPr="003929DE">
        <w:rPr>
          <w:rFonts w:cstheme="minorHAnsi"/>
          <w:shd w:val="clear" w:color="auto" w:fill="FFFFFF"/>
        </w:rPr>
        <w:t>Infrastructure Australia</w:t>
      </w:r>
      <w:r w:rsidR="004C5B54" w:rsidRPr="003929DE">
        <w:rPr>
          <w:rFonts w:cstheme="minorHAnsi"/>
          <w:shd w:val="clear" w:color="auto" w:fill="FFFFFF"/>
        </w:rPr>
        <w:t>’s core business is to</w:t>
      </w:r>
      <w:r w:rsidRPr="003929DE">
        <w:rPr>
          <w:rFonts w:cstheme="minorHAnsi"/>
          <w:shd w:val="clear" w:color="auto" w:fill="FFFFFF"/>
        </w:rPr>
        <w:t xml:space="preserve"> assess projects put forward by proponents.</w:t>
      </w:r>
      <w:r w:rsidR="004C5B54" w:rsidRPr="003929DE">
        <w:rPr>
          <w:rFonts w:cstheme="minorHAnsi"/>
          <w:shd w:val="clear" w:color="auto" w:fill="FFFFFF"/>
        </w:rPr>
        <w:t xml:space="preserve">  In recent </w:t>
      </w:r>
      <w:r w:rsidR="00236FCB" w:rsidRPr="003929DE">
        <w:rPr>
          <w:rFonts w:cstheme="minorHAnsi"/>
          <w:shd w:val="clear" w:color="auto" w:fill="FFFFFF"/>
        </w:rPr>
        <w:t>years,</w:t>
      </w:r>
      <w:r w:rsidR="004C5B54" w:rsidRPr="003929DE">
        <w:rPr>
          <w:rFonts w:cstheme="minorHAnsi"/>
          <w:shd w:val="clear" w:color="auto" w:fill="FFFFFF"/>
        </w:rPr>
        <w:t xml:space="preserve"> it published</w:t>
      </w:r>
      <w:r w:rsidRPr="003929DE">
        <w:rPr>
          <w:rFonts w:cstheme="minorHAnsi"/>
          <w:shd w:val="clear" w:color="auto" w:fill="FFFFFF"/>
        </w:rPr>
        <w:t xml:space="preserve"> </w:t>
      </w:r>
      <w:r w:rsidR="004C5B54" w:rsidRPr="003929DE">
        <w:rPr>
          <w:rFonts w:cstheme="minorHAnsi"/>
          <w:shd w:val="clear" w:color="auto" w:fill="FFFFFF"/>
        </w:rPr>
        <w:t>s</w:t>
      </w:r>
      <w:r w:rsidRPr="003929DE">
        <w:rPr>
          <w:rFonts w:cstheme="minorHAnsi"/>
          <w:shd w:val="clear" w:color="auto" w:fill="FFFFFF"/>
        </w:rPr>
        <w:t xml:space="preserve">ummary ‘evaluations’ of </w:t>
      </w:r>
      <w:r w:rsidR="002C1F82" w:rsidRPr="003929DE">
        <w:rPr>
          <w:rFonts w:cstheme="minorHAnsi"/>
          <w:shd w:val="clear" w:color="auto" w:fill="FFFFFF"/>
        </w:rPr>
        <w:t>business cases</w:t>
      </w:r>
      <w:r w:rsidRPr="003929DE">
        <w:rPr>
          <w:rFonts w:cstheme="minorHAnsi"/>
          <w:shd w:val="clear" w:color="auto" w:fill="FFFFFF"/>
        </w:rPr>
        <w:t xml:space="preserve"> deemed worthwhile.  </w:t>
      </w:r>
    </w:p>
    <w:p w:rsidR="009A27D7" w:rsidRPr="003929DE" w:rsidRDefault="004C5B54">
      <w:pPr>
        <w:rPr>
          <w:rFonts w:cstheme="minorHAnsi"/>
          <w:shd w:val="clear" w:color="auto" w:fill="FFFFFF"/>
        </w:rPr>
      </w:pPr>
      <w:r w:rsidRPr="003929DE">
        <w:rPr>
          <w:rFonts w:cstheme="minorHAnsi"/>
          <w:shd w:val="clear" w:color="auto" w:fill="FFFFFF"/>
        </w:rPr>
        <w:t xml:space="preserve">It published </w:t>
      </w:r>
      <w:r w:rsidR="002C1F82" w:rsidRPr="003929DE">
        <w:rPr>
          <w:rFonts w:cstheme="minorHAnsi"/>
          <w:shd w:val="clear" w:color="auto" w:fill="FFFFFF"/>
        </w:rPr>
        <w:t>one other evaluation</w:t>
      </w:r>
      <w:r w:rsidR="00612BB9" w:rsidRPr="003929DE">
        <w:rPr>
          <w:rFonts w:cstheme="minorHAnsi"/>
          <w:shd w:val="clear" w:color="auto" w:fill="FFFFFF"/>
        </w:rPr>
        <w:t>; for completion of a Maldon</w:t>
      </w:r>
      <w:r w:rsidR="006028A6">
        <w:rPr>
          <w:rFonts w:cstheme="minorHAnsi"/>
          <w:shd w:val="clear" w:color="auto" w:fill="FFFFFF"/>
        </w:rPr>
        <w:t>-</w:t>
      </w:r>
      <w:r w:rsidR="00612BB9" w:rsidRPr="003929DE">
        <w:rPr>
          <w:rFonts w:cstheme="minorHAnsi"/>
          <w:shd w:val="clear" w:color="auto" w:fill="FFFFFF"/>
        </w:rPr>
        <w:t>Dombarton</w:t>
      </w:r>
      <w:r w:rsidR="006028A6">
        <w:rPr>
          <w:rFonts w:cstheme="minorHAnsi"/>
          <w:shd w:val="clear" w:color="auto" w:fill="FFFFFF"/>
        </w:rPr>
        <w:t xml:space="preserve"> rail line</w:t>
      </w:r>
      <w:r w:rsidR="00612BB9" w:rsidRPr="003929DE">
        <w:rPr>
          <w:rFonts w:cstheme="minorHAnsi"/>
          <w:shd w:val="clear" w:color="auto" w:fill="FFFFFF"/>
        </w:rPr>
        <w:t xml:space="preserve">; roughly between Picton </w:t>
      </w:r>
      <w:r w:rsidR="00653B0C" w:rsidRPr="003929DE">
        <w:rPr>
          <w:rFonts w:cstheme="minorHAnsi"/>
          <w:shd w:val="clear" w:color="auto" w:fill="FFFFFF"/>
        </w:rPr>
        <w:t>80km south</w:t>
      </w:r>
      <w:r w:rsidR="003929DE">
        <w:rPr>
          <w:rFonts w:cstheme="minorHAnsi"/>
          <w:shd w:val="clear" w:color="auto" w:fill="FFFFFF"/>
        </w:rPr>
        <w:t>-</w:t>
      </w:r>
      <w:r w:rsidR="00653B0C" w:rsidRPr="003929DE">
        <w:rPr>
          <w:rFonts w:cstheme="minorHAnsi"/>
          <w:shd w:val="clear" w:color="auto" w:fill="FFFFFF"/>
        </w:rPr>
        <w:t xml:space="preserve">west of Sydney </w:t>
      </w:r>
      <w:r w:rsidR="00612BB9" w:rsidRPr="003929DE">
        <w:rPr>
          <w:rFonts w:cstheme="minorHAnsi"/>
          <w:shd w:val="clear" w:color="auto" w:fill="FFFFFF"/>
        </w:rPr>
        <w:t>and Wollongong</w:t>
      </w:r>
      <w:r w:rsidR="00530274" w:rsidRPr="003929DE">
        <w:rPr>
          <w:rFonts w:cstheme="minorHAnsi"/>
          <w:shd w:val="clear" w:color="auto" w:fill="FFFFFF"/>
        </w:rPr>
        <w:t>/Port Kembla</w:t>
      </w:r>
      <w:r w:rsidR="00653B0C" w:rsidRPr="003929DE">
        <w:rPr>
          <w:rFonts w:cstheme="minorHAnsi"/>
          <w:shd w:val="clear" w:color="auto" w:fill="FFFFFF"/>
        </w:rPr>
        <w:t xml:space="preserve"> 80 km south of Sydney</w:t>
      </w:r>
      <w:r w:rsidR="00612BB9" w:rsidRPr="003929DE">
        <w:rPr>
          <w:rFonts w:cstheme="minorHAnsi"/>
          <w:shd w:val="clear" w:color="auto" w:fill="FFFFFF"/>
        </w:rPr>
        <w:t>.</w:t>
      </w:r>
      <w:r w:rsidR="00F547D0" w:rsidRPr="003929DE">
        <w:rPr>
          <w:rStyle w:val="EndnoteReference"/>
          <w:rFonts w:cstheme="minorHAnsi"/>
          <w:shd w:val="clear" w:color="auto" w:fill="FFFFFF"/>
        </w:rPr>
        <w:endnoteReference w:id="2"/>
      </w:r>
      <w:r w:rsidR="00612BB9" w:rsidRPr="003929DE">
        <w:rPr>
          <w:rFonts w:cstheme="minorHAnsi"/>
          <w:shd w:val="clear" w:color="auto" w:fill="FFFFFF"/>
        </w:rPr>
        <w:t xml:space="preserve">   </w:t>
      </w:r>
    </w:p>
    <w:p w:rsidR="00612BB9" w:rsidRPr="003929DE" w:rsidRDefault="00612BB9">
      <w:pPr>
        <w:rPr>
          <w:rFonts w:cstheme="minorHAnsi"/>
          <w:shd w:val="clear" w:color="auto" w:fill="FFFFFF"/>
        </w:rPr>
      </w:pPr>
      <w:r w:rsidRPr="003929DE">
        <w:rPr>
          <w:rFonts w:cstheme="minorHAnsi"/>
          <w:shd w:val="clear" w:color="auto" w:fill="FFFFFF"/>
        </w:rPr>
        <w:t xml:space="preserve">This is the sole case of </w:t>
      </w:r>
      <w:r w:rsidR="004C5B54" w:rsidRPr="003929DE">
        <w:rPr>
          <w:rFonts w:cstheme="minorHAnsi"/>
          <w:shd w:val="clear" w:color="auto" w:fill="FFFFFF"/>
        </w:rPr>
        <w:t>Infrastructure Australia publishing a ‘</w:t>
      </w:r>
      <w:r w:rsidRPr="003929DE">
        <w:rPr>
          <w:rFonts w:cstheme="minorHAnsi"/>
          <w:shd w:val="clear" w:color="auto" w:fill="FFFFFF"/>
        </w:rPr>
        <w:t>not recommended’</w:t>
      </w:r>
      <w:r w:rsidR="004C5B54" w:rsidRPr="003929DE">
        <w:rPr>
          <w:rFonts w:cstheme="minorHAnsi"/>
          <w:shd w:val="clear" w:color="auto" w:fill="FFFFFF"/>
        </w:rPr>
        <w:t xml:space="preserve"> </w:t>
      </w:r>
      <w:r w:rsidR="003929DE">
        <w:rPr>
          <w:rFonts w:cstheme="minorHAnsi"/>
          <w:shd w:val="clear" w:color="auto" w:fill="FFFFFF"/>
        </w:rPr>
        <w:t>evaluation</w:t>
      </w:r>
      <w:r w:rsidRPr="003929DE">
        <w:rPr>
          <w:rFonts w:cstheme="minorHAnsi"/>
          <w:shd w:val="clear" w:color="auto" w:fill="FFFFFF"/>
        </w:rPr>
        <w:t xml:space="preserve">. </w:t>
      </w:r>
    </w:p>
    <w:p w:rsidR="002C2FD1" w:rsidRPr="003929DE" w:rsidRDefault="00612BB9">
      <w:pPr>
        <w:rPr>
          <w:rFonts w:cstheme="minorHAnsi"/>
          <w:shd w:val="clear" w:color="auto" w:fill="FFFFFF"/>
        </w:rPr>
      </w:pPr>
      <w:r w:rsidRPr="003929DE">
        <w:rPr>
          <w:rFonts w:cstheme="minorHAnsi"/>
          <w:shd w:val="clear" w:color="auto" w:fill="FFFFFF"/>
        </w:rPr>
        <w:t xml:space="preserve">That is, instead of ‘it is an initiative/has some potential’ or ‘may be worth doing later or if circumstances change’ or the (almost universal) refrain from comment at all, </w:t>
      </w:r>
      <w:r w:rsidR="002C2FD1" w:rsidRPr="003929DE">
        <w:rPr>
          <w:rFonts w:cstheme="minorHAnsi"/>
          <w:shd w:val="clear" w:color="auto" w:fill="FFFFFF"/>
        </w:rPr>
        <w:t xml:space="preserve">Maldon-Dombarton </w:t>
      </w:r>
      <w:r w:rsidR="004C5B54" w:rsidRPr="003929DE">
        <w:rPr>
          <w:rFonts w:cstheme="minorHAnsi"/>
          <w:shd w:val="clear" w:color="auto" w:fill="FFFFFF"/>
        </w:rPr>
        <w:t>was</w:t>
      </w:r>
      <w:r w:rsidR="002C2FD1" w:rsidRPr="003929DE">
        <w:rPr>
          <w:rFonts w:cstheme="minorHAnsi"/>
          <w:shd w:val="clear" w:color="auto" w:fill="FFFFFF"/>
        </w:rPr>
        <w:t xml:space="preserve"> given a definitive thumbs</w:t>
      </w:r>
      <w:r w:rsidR="003929DE">
        <w:rPr>
          <w:rFonts w:cstheme="minorHAnsi"/>
          <w:shd w:val="clear" w:color="auto" w:fill="FFFFFF"/>
        </w:rPr>
        <w:t>-</w:t>
      </w:r>
      <w:r w:rsidR="002C2FD1" w:rsidRPr="003929DE">
        <w:rPr>
          <w:rFonts w:cstheme="minorHAnsi"/>
          <w:shd w:val="clear" w:color="auto" w:fill="FFFFFF"/>
        </w:rPr>
        <w:t>down.</w:t>
      </w:r>
    </w:p>
    <w:p w:rsidR="002C2FD1" w:rsidRPr="003929DE" w:rsidRDefault="002C2FD1">
      <w:pPr>
        <w:rPr>
          <w:rFonts w:cstheme="minorHAnsi"/>
          <w:shd w:val="clear" w:color="auto" w:fill="FFFFFF"/>
        </w:rPr>
      </w:pPr>
      <w:r w:rsidRPr="003929DE">
        <w:rPr>
          <w:rFonts w:cstheme="minorHAnsi"/>
          <w:shd w:val="clear" w:color="auto" w:fill="FFFFFF"/>
        </w:rPr>
        <w:t>Why?</w:t>
      </w:r>
    </w:p>
    <w:p w:rsidR="002C2FD1" w:rsidRPr="003929DE" w:rsidRDefault="002C2FD1">
      <w:pPr>
        <w:rPr>
          <w:rFonts w:cstheme="minorHAnsi"/>
          <w:shd w:val="clear" w:color="auto" w:fill="FFFFFF"/>
        </w:rPr>
      </w:pPr>
      <w:r w:rsidRPr="003929DE">
        <w:rPr>
          <w:rFonts w:cstheme="minorHAnsi"/>
          <w:shd w:val="clear" w:color="auto" w:fill="FFFFFF"/>
        </w:rPr>
        <w:t>T</w:t>
      </w:r>
      <w:r w:rsidR="003929DE">
        <w:rPr>
          <w:rFonts w:cstheme="minorHAnsi"/>
          <w:shd w:val="clear" w:color="auto" w:fill="FFFFFF"/>
        </w:rPr>
        <w:t xml:space="preserve">his brings to mind a </w:t>
      </w:r>
      <w:r w:rsidRPr="003929DE">
        <w:rPr>
          <w:rFonts w:cstheme="minorHAnsi"/>
          <w:shd w:val="clear" w:color="auto" w:fill="FFFFFF"/>
        </w:rPr>
        <w:t>Sherlock Holmes</w:t>
      </w:r>
      <w:r w:rsidR="004C5B54" w:rsidRPr="003929DE">
        <w:rPr>
          <w:rFonts w:cstheme="minorHAnsi"/>
          <w:shd w:val="clear" w:color="auto" w:fill="FFFFFF"/>
        </w:rPr>
        <w:t>’ case;</w:t>
      </w:r>
      <w:r w:rsidRPr="003929DE">
        <w:rPr>
          <w:rFonts w:cstheme="minorHAnsi"/>
          <w:shd w:val="clear" w:color="auto" w:fill="FFFFFF"/>
        </w:rPr>
        <w:t xml:space="preserve"> </w:t>
      </w:r>
      <w:r w:rsidR="004C5B54" w:rsidRPr="003929DE">
        <w:rPr>
          <w:rFonts w:cstheme="minorHAnsi"/>
          <w:shd w:val="clear" w:color="auto" w:fill="FFFFFF"/>
        </w:rPr>
        <w:t>Sherlock</w:t>
      </w:r>
      <w:r w:rsidRPr="003929DE">
        <w:rPr>
          <w:rFonts w:cstheme="minorHAnsi"/>
          <w:shd w:val="clear" w:color="auto" w:fill="FFFFFF"/>
        </w:rPr>
        <w:t xml:space="preserve"> concluded that a night-time theft was an inside job because the dog didn’t bark.</w:t>
      </w:r>
      <w:r w:rsidR="00F547D0" w:rsidRPr="003929DE">
        <w:rPr>
          <w:rStyle w:val="EndnoteReference"/>
          <w:rFonts w:cstheme="minorHAnsi"/>
          <w:shd w:val="clear" w:color="auto" w:fill="FFFFFF"/>
        </w:rPr>
        <w:endnoteReference w:id="3"/>
      </w:r>
    </w:p>
    <w:p w:rsidR="00F547D0" w:rsidRDefault="00530274">
      <w:pPr>
        <w:rPr>
          <w:rFonts w:cstheme="minorHAnsi"/>
          <w:shd w:val="clear" w:color="auto" w:fill="FFFFFF"/>
        </w:rPr>
      </w:pPr>
      <w:r w:rsidRPr="003929DE">
        <w:rPr>
          <w:rFonts w:cstheme="minorHAnsi"/>
          <w:shd w:val="clear" w:color="auto" w:fill="FFFFFF"/>
        </w:rPr>
        <w:t>The idea behind Maldon-Dombarton is to provide another route for freight to/from Port Kembla.</w:t>
      </w:r>
      <w:r w:rsidR="00F547D0" w:rsidRPr="003929DE">
        <w:rPr>
          <w:rFonts w:cstheme="minorHAnsi"/>
          <w:shd w:val="clear" w:color="auto" w:fill="FFFFFF"/>
        </w:rPr>
        <w:t xml:space="preserve">  </w:t>
      </w:r>
    </w:p>
    <w:p w:rsidR="00685B20" w:rsidRPr="003929DE" w:rsidRDefault="00685B20" w:rsidP="00685B20">
      <w:pPr>
        <w:rPr>
          <w:rFonts w:cstheme="minorHAnsi"/>
          <w:shd w:val="clear" w:color="auto" w:fill="FFFFFF"/>
        </w:rPr>
      </w:pPr>
      <w:r w:rsidRPr="003929DE">
        <w:rPr>
          <w:rFonts w:cstheme="minorHAnsi"/>
          <w:shd w:val="clear" w:color="auto" w:fill="FFFFFF"/>
        </w:rPr>
        <w:t xml:space="preserve">Port Kembla is already one of Australia’s most significant freight places e.g. steel, coal, large goods such as turbines.  It is the principal point of car imports for Sydney, many of which are moved by road to storage near Campbelltown in south-western Sydney. </w:t>
      </w:r>
    </w:p>
    <w:p w:rsidR="00685B20" w:rsidRPr="003929DE" w:rsidRDefault="00685B20" w:rsidP="00685B20">
      <w:pPr>
        <w:rPr>
          <w:rFonts w:cstheme="minorHAnsi"/>
          <w:shd w:val="clear" w:color="auto" w:fill="FFFFFF"/>
        </w:rPr>
      </w:pPr>
      <w:r w:rsidRPr="003929DE">
        <w:rPr>
          <w:rFonts w:cstheme="minorHAnsi"/>
          <w:shd w:val="clear" w:color="auto" w:fill="FFFFFF"/>
        </w:rPr>
        <w:t>Its importance will increase very substantially in the medium term.  It will be an ‘overflow’ for Port Botany (in Sydney, 70 km distant).  Timing will depend on industrial and warehousing development in south western Sydney much of which is closer to Port Kembla than Botany.</w:t>
      </w:r>
    </w:p>
    <w:p w:rsidR="00685B20" w:rsidRPr="003929DE" w:rsidRDefault="00685B20" w:rsidP="00685B20">
      <w:pPr>
        <w:spacing w:after="0"/>
        <w:rPr>
          <w:rFonts w:cstheme="minorHAnsi"/>
          <w:shd w:val="clear" w:color="auto" w:fill="FFFFFF"/>
        </w:rPr>
      </w:pPr>
      <w:r w:rsidRPr="003929DE">
        <w:rPr>
          <w:rFonts w:cstheme="minorHAnsi"/>
          <w:shd w:val="clear" w:color="auto" w:fill="FFFFFF"/>
        </w:rPr>
        <w:t>At present, there</w:t>
      </w:r>
      <w:r>
        <w:rPr>
          <w:rFonts w:cstheme="minorHAnsi"/>
          <w:shd w:val="clear" w:color="auto" w:fill="FFFFFF"/>
        </w:rPr>
        <w:t xml:space="preserve"> are</w:t>
      </w:r>
      <w:r w:rsidRPr="003929DE">
        <w:rPr>
          <w:rFonts w:cstheme="minorHAnsi"/>
          <w:shd w:val="clear" w:color="auto" w:fill="FFFFFF"/>
        </w:rPr>
        <w:t xml:space="preserve"> four freight routes to Kembla. These are inadequate for growth of the port:</w:t>
      </w:r>
    </w:p>
    <w:p w:rsidR="00685B20" w:rsidRPr="003929DE" w:rsidRDefault="00685B20" w:rsidP="00685B20">
      <w:pPr>
        <w:pStyle w:val="ListParagraph"/>
        <w:numPr>
          <w:ilvl w:val="0"/>
          <w:numId w:val="1"/>
        </w:numPr>
        <w:spacing w:after="0"/>
        <w:rPr>
          <w:rFonts w:cstheme="minorHAnsi"/>
          <w:shd w:val="clear" w:color="auto" w:fill="FFFFFF"/>
        </w:rPr>
      </w:pPr>
      <w:r w:rsidRPr="003929DE">
        <w:rPr>
          <w:rFonts w:cstheme="minorHAnsi"/>
          <w:shd w:val="clear" w:color="auto" w:fill="FFFFFF"/>
        </w:rPr>
        <w:t xml:space="preserve">By road via Mt Ousley; large numbers of trucks </w:t>
      </w:r>
      <w:r>
        <w:rPr>
          <w:rFonts w:cstheme="minorHAnsi"/>
          <w:shd w:val="clear" w:color="auto" w:fill="FFFFFF"/>
        </w:rPr>
        <w:t xml:space="preserve">already </w:t>
      </w:r>
      <w:r w:rsidRPr="003929DE">
        <w:rPr>
          <w:rFonts w:cstheme="minorHAnsi"/>
          <w:shd w:val="clear" w:color="auto" w:fill="FFFFFF"/>
        </w:rPr>
        <w:t>cross probably unsuitable gradients;</w:t>
      </w:r>
    </w:p>
    <w:p w:rsidR="00685B20" w:rsidRPr="003929DE" w:rsidRDefault="00685B20" w:rsidP="00685B20">
      <w:pPr>
        <w:pStyle w:val="ListParagraph"/>
        <w:numPr>
          <w:ilvl w:val="0"/>
          <w:numId w:val="1"/>
        </w:numPr>
        <w:rPr>
          <w:rFonts w:cstheme="minorHAnsi"/>
          <w:shd w:val="clear" w:color="auto" w:fill="FFFFFF"/>
        </w:rPr>
      </w:pPr>
      <w:r w:rsidRPr="003929DE">
        <w:rPr>
          <w:rFonts w:cstheme="minorHAnsi"/>
          <w:shd w:val="clear" w:color="auto" w:fill="FFFFFF"/>
        </w:rPr>
        <w:t>By road via Macquarie Pass; unsuitable for most trucks;</w:t>
      </w:r>
    </w:p>
    <w:p w:rsidR="00685B20" w:rsidRPr="003929DE" w:rsidRDefault="00685B20" w:rsidP="00685B20">
      <w:pPr>
        <w:pStyle w:val="ListParagraph"/>
        <w:numPr>
          <w:ilvl w:val="0"/>
          <w:numId w:val="1"/>
        </w:numPr>
        <w:rPr>
          <w:rFonts w:cstheme="minorHAnsi"/>
          <w:shd w:val="clear" w:color="auto" w:fill="FFFFFF"/>
        </w:rPr>
      </w:pPr>
      <w:r w:rsidRPr="003929DE">
        <w:rPr>
          <w:rFonts w:cstheme="minorHAnsi"/>
          <w:shd w:val="clear" w:color="auto" w:fill="FFFFFF"/>
        </w:rPr>
        <w:t>By rail through most of the Sydney metropolitan area and via the Illawarra line; which is already capacity constrained and has freight curfews;</w:t>
      </w:r>
    </w:p>
    <w:p w:rsidR="00685B20" w:rsidRPr="003929DE" w:rsidRDefault="00685B20" w:rsidP="00685B20">
      <w:pPr>
        <w:pStyle w:val="ListParagraph"/>
        <w:numPr>
          <w:ilvl w:val="0"/>
          <w:numId w:val="1"/>
        </w:numPr>
        <w:rPr>
          <w:rFonts w:cstheme="minorHAnsi"/>
          <w:shd w:val="clear" w:color="auto" w:fill="FFFFFF"/>
        </w:rPr>
      </w:pPr>
      <w:r w:rsidRPr="003929DE">
        <w:rPr>
          <w:rFonts w:cstheme="minorHAnsi"/>
          <w:shd w:val="clear" w:color="auto" w:fill="FFFFFF"/>
        </w:rPr>
        <w:t xml:space="preserve">By rail from Moss Vale around </w:t>
      </w:r>
      <w:r>
        <w:rPr>
          <w:rFonts w:cstheme="minorHAnsi"/>
          <w:shd w:val="clear" w:color="auto" w:fill="FFFFFF"/>
        </w:rPr>
        <w:t>45</w:t>
      </w:r>
      <w:r w:rsidRPr="003929DE">
        <w:rPr>
          <w:rFonts w:cstheme="minorHAnsi"/>
          <w:shd w:val="clear" w:color="auto" w:fill="FFFFFF"/>
        </w:rPr>
        <w:t>km south of Picton; 1</w:t>
      </w:r>
      <w:r>
        <w:rPr>
          <w:rFonts w:cstheme="minorHAnsi"/>
          <w:shd w:val="clear" w:color="auto" w:fill="FFFFFF"/>
        </w:rPr>
        <w:t>10</w:t>
      </w:r>
      <w:r w:rsidRPr="003929DE">
        <w:rPr>
          <w:rFonts w:cstheme="minorHAnsi"/>
          <w:shd w:val="clear" w:color="auto" w:fill="FFFFFF"/>
        </w:rPr>
        <w:t xml:space="preserve">km from Sydney and which imposes high operational </w:t>
      </w:r>
      <w:r>
        <w:rPr>
          <w:rFonts w:cstheme="minorHAnsi"/>
          <w:shd w:val="clear" w:color="auto" w:fill="FFFFFF"/>
        </w:rPr>
        <w:t xml:space="preserve">and cycle </w:t>
      </w:r>
      <w:r w:rsidRPr="003929DE">
        <w:rPr>
          <w:rFonts w:cstheme="minorHAnsi"/>
          <w:shd w:val="clear" w:color="auto" w:fill="FFFFFF"/>
        </w:rPr>
        <w:t>costs.</w:t>
      </w:r>
      <w:r>
        <w:rPr>
          <w:rFonts w:cstheme="minorHAnsi"/>
          <w:shd w:val="clear" w:color="auto" w:fill="FFFFFF"/>
        </w:rPr>
        <w:t xml:space="preserve">  </w:t>
      </w:r>
    </w:p>
    <w:p w:rsidR="00685B20" w:rsidRPr="003929DE" w:rsidRDefault="00685B20" w:rsidP="00685B20">
      <w:pPr>
        <w:rPr>
          <w:rFonts w:cstheme="minorHAnsi"/>
          <w:shd w:val="clear" w:color="auto" w:fill="FFFFFF"/>
        </w:rPr>
      </w:pPr>
      <w:r>
        <w:rPr>
          <w:rFonts w:cstheme="minorHAnsi"/>
          <w:shd w:val="clear" w:color="auto" w:fill="FFFFFF"/>
        </w:rPr>
        <w:t>A</w:t>
      </w:r>
      <w:r w:rsidRPr="003929DE">
        <w:rPr>
          <w:rFonts w:cstheme="minorHAnsi"/>
          <w:shd w:val="clear" w:color="auto" w:fill="FFFFFF"/>
        </w:rPr>
        <w:t xml:space="preserve"> Maldon</w:t>
      </w:r>
      <w:r>
        <w:rPr>
          <w:rFonts w:cstheme="minorHAnsi"/>
          <w:shd w:val="clear" w:color="auto" w:fill="FFFFFF"/>
        </w:rPr>
        <w:t>-</w:t>
      </w:r>
      <w:r w:rsidRPr="003929DE">
        <w:rPr>
          <w:rFonts w:cstheme="minorHAnsi"/>
          <w:shd w:val="clear" w:color="auto" w:fill="FFFFFF"/>
        </w:rPr>
        <w:t>Dombarton line</w:t>
      </w:r>
      <w:r>
        <w:rPr>
          <w:rFonts w:cstheme="minorHAnsi"/>
          <w:shd w:val="clear" w:color="auto" w:fill="FFFFFF"/>
        </w:rPr>
        <w:t xml:space="preserve"> would shorten the distance between south west Sydney and Kembla by at least 65km.  It was</w:t>
      </w:r>
      <w:r w:rsidRPr="003929DE">
        <w:rPr>
          <w:rFonts w:cstheme="minorHAnsi"/>
          <w:shd w:val="clear" w:color="auto" w:fill="FFFFFF"/>
        </w:rPr>
        <w:t xml:space="preserve"> identified in the early 1980s.  At that time, significant engineering works were undertaken in expectation of Kembla rapidly expanding as a coal port.  In the event Newcastle expanded quickly and the works were suspended.</w:t>
      </w:r>
      <w:r w:rsidRPr="003929DE">
        <w:rPr>
          <w:rStyle w:val="EndnoteReference"/>
          <w:rFonts w:cstheme="minorHAnsi"/>
          <w:shd w:val="clear" w:color="auto" w:fill="FFFFFF"/>
        </w:rPr>
        <w:endnoteReference w:id="4"/>
      </w:r>
    </w:p>
    <w:p w:rsidR="00685B20" w:rsidRPr="003929DE" w:rsidRDefault="00685B20" w:rsidP="00685B20">
      <w:pPr>
        <w:rPr>
          <w:rFonts w:cstheme="minorHAnsi"/>
          <w:shd w:val="clear" w:color="auto" w:fill="FFFFFF"/>
        </w:rPr>
      </w:pPr>
      <w:r w:rsidRPr="003929DE">
        <w:rPr>
          <w:rFonts w:cstheme="minorHAnsi"/>
          <w:shd w:val="clear" w:color="auto" w:fill="FFFFFF"/>
        </w:rPr>
        <w:t xml:space="preserve">The strategic case for the line is clear.  It is therefore a question of freight volumes; a ‘when’ not ‘if’ even if it is not economic today.  </w:t>
      </w:r>
      <w:r>
        <w:rPr>
          <w:rFonts w:cstheme="minorHAnsi"/>
          <w:shd w:val="clear" w:color="auto" w:fill="FFFFFF"/>
        </w:rPr>
        <w:t>I</w:t>
      </w:r>
      <w:r w:rsidRPr="003929DE">
        <w:rPr>
          <w:rFonts w:cstheme="minorHAnsi"/>
          <w:shd w:val="clear" w:color="auto" w:fill="FFFFFF"/>
        </w:rPr>
        <w:t xml:space="preserve">ssues arising from Sydney Metro </w:t>
      </w:r>
      <w:r>
        <w:rPr>
          <w:rFonts w:cstheme="minorHAnsi"/>
          <w:shd w:val="clear" w:color="auto" w:fill="FFFFFF"/>
        </w:rPr>
        <w:t>may</w:t>
      </w:r>
      <w:r w:rsidRPr="003929DE">
        <w:rPr>
          <w:rFonts w:cstheme="minorHAnsi"/>
          <w:shd w:val="clear" w:color="auto" w:fill="FFFFFF"/>
        </w:rPr>
        <w:t xml:space="preserve"> make ‘when’ sooner rather than later.</w:t>
      </w:r>
      <w:r w:rsidRPr="003929DE">
        <w:rPr>
          <w:rStyle w:val="EndnoteReference"/>
          <w:rFonts w:cstheme="minorHAnsi"/>
          <w:shd w:val="clear" w:color="auto" w:fill="FFFFFF"/>
        </w:rPr>
        <w:endnoteReference w:id="5"/>
      </w:r>
    </w:p>
    <w:p w:rsidR="00685B20" w:rsidRPr="003929DE" w:rsidRDefault="00685B20">
      <w:pPr>
        <w:rPr>
          <w:rFonts w:cstheme="minorHAnsi"/>
          <w:shd w:val="clear" w:color="auto" w:fill="FFFFFF"/>
        </w:rPr>
      </w:pPr>
    </w:p>
    <w:p w:rsidR="00F547D0" w:rsidRPr="003929DE" w:rsidRDefault="00685B20">
      <w:pPr>
        <w:rPr>
          <w:rFonts w:cstheme="minorHAnsi"/>
          <w:shd w:val="clear" w:color="auto" w:fill="FFFFFF"/>
        </w:rPr>
      </w:pPr>
      <w:r>
        <w:rPr>
          <w:rFonts w:cstheme="minorHAnsi"/>
          <w:noProof/>
          <w:shd w:val="clear" w:color="auto" w:fill="FFFFFF"/>
        </w:rPr>
        <w:drawing>
          <wp:inline distT="0" distB="0" distL="0" distR="0">
            <wp:extent cx="5321218" cy="7529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 Maldon-Dombarton-Freight-Rail - TfNSW Rail is source (1).jpg"/>
                    <pic:cNvPicPr/>
                  </pic:nvPicPr>
                  <pic:blipFill>
                    <a:blip r:embed="rId8">
                      <a:extLst>
                        <a:ext uri="{28A0092B-C50C-407E-A947-70E740481C1C}">
                          <a14:useLocalDpi xmlns:a14="http://schemas.microsoft.com/office/drawing/2010/main" val="0"/>
                        </a:ext>
                      </a:extLst>
                    </a:blip>
                    <a:stretch>
                      <a:fillRect/>
                    </a:stretch>
                  </pic:blipFill>
                  <pic:spPr>
                    <a:xfrm>
                      <a:off x="0" y="0"/>
                      <a:ext cx="5323923" cy="7533475"/>
                    </a:xfrm>
                    <a:prstGeom prst="rect">
                      <a:avLst/>
                    </a:prstGeom>
                  </pic:spPr>
                </pic:pic>
              </a:graphicData>
            </a:graphic>
          </wp:inline>
        </w:drawing>
      </w:r>
    </w:p>
    <w:p w:rsidR="002859D8" w:rsidRDefault="00BA0EB7">
      <w:pPr>
        <w:rPr>
          <w:rFonts w:cstheme="minorHAnsi"/>
          <w:shd w:val="clear" w:color="auto" w:fill="FFFFFF"/>
        </w:rPr>
      </w:pPr>
      <w:r w:rsidRPr="003929DE">
        <w:rPr>
          <w:rFonts w:cstheme="minorHAnsi"/>
          <w:shd w:val="clear" w:color="auto" w:fill="FFFFFF"/>
        </w:rPr>
        <w:t xml:space="preserve">Infrastructure Australia, however, concluded </w:t>
      </w:r>
      <w:r w:rsidR="002859D8">
        <w:rPr>
          <w:rFonts w:cstheme="minorHAnsi"/>
          <w:shd w:val="clear" w:color="auto" w:fill="FFFFFF"/>
        </w:rPr>
        <w:t>an</w:t>
      </w:r>
      <w:r w:rsidRPr="003929DE">
        <w:rPr>
          <w:rFonts w:cstheme="minorHAnsi"/>
          <w:shd w:val="clear" w:color="auto" w:fill="FFFFFF"/>
        </w:rPr>
        <w:t xml:space="preserve"> economic case could not be made.  </w:t>
      </w:r>
      <w:r w:rsidR="00DD3586" w:rsidRPr="003929DE">
        <w:rPr>
          <w:rFonts w:cstheme="minorHAnsi"/>
          <w:shd w:val="clear" w:color="auto" w:fill="FFFFFF"/>
        </w:rPr>
        <w:t>Only c</w:t>
      </w:r>
      <w:r w:rsidRPr="003929DE">
        <w:rPr>
          <w:rFonts w:cstheme="minorHAnsi"/>
          <w:shd w:val="clear" w:color="auto" w:fill="FFFFFF"/>
        </w:rPr>
        <w:t xml:space="preserve">iting claims from the proponent, the NSW Government, </w:t>
      </w:r>
      <w:r w:rsidR="00981EDE" w:rsidRPr="003929DE">
        <w:rPr>
          <w:rFonts w:cstheme="minorHAnsi"/>
          <w:shd w:val="clear" w:color="auto" w:fill="FFFFFF"/>
        </w:rPr>
        <w:t>of a 0.9</w:t>
      </w:r>
      <w:r w:rsidRPr="003929DE">
        <w:rPr>
          <w:rFonts w:cstheme="minorHAnsi"/>
          <w:shd w:val="clear" w:color="auto" w:fill="FFFFFF"/>
        </w:rPr>
        <w:t xml:space="preserve"> benefit</w:t>
      </w:r>
      <w:r w:rsidR="002C1F82" w:rsidRPr="003929DE">
        <w:rPr>
          <w:rFonts w:cstheme="minorHAnsi"/>
          <w:shd w:val="clear" w:color="auto" w:fill="FFFFFF"/>
        </w:rPr>
        <w:t>/</w:t>
      </w:r>
      <w:r w:rsidRPr="003929DE">
        <w:rPr>
          <w:rFonts w:cstheme="minorHAnsi"/>
          <w:shd w:val="clear" w:color="auto" w:fill="FFFFFF"/>
        </w:rPr>
        <w:t xml:space="preserve">cost it held the project would impose a net cost on the Australian economy.  </w:t>
      </w:r>
    </w:p>
    <w:p w:rsidR="00BA0EB7" w:rsidRPr="003929DE" w:rsidRDefault="006028A6">
      <w:pPr>
        <w:rPr>
          <w:rFonts w:cstheme="minorHAnsi"/>
          <w:shd w:val="clear" w:color="auto" w:fill="FFFFFF"/>
        </w:rPr>
      </w:pPr>
      <w:r>
        <w:rPr>
          <w:rFonts w:cstheme="minorHAnsi"/>
          <w:shd w:val="clear" w:color="auto" w:fill="FFFFFF"/>
        </w:rPr>
        <w:t>I</w:t>
      </w:r>
      <w:r w:rsidR="002C1F82" w:rsidRPr="003929DE">
        <w:rPr>
          <w:rFonts w:cstheme="minorHAnsi"/>
          <w:shd w:val="clear" w:color="auto" w:fill="FFFFFF"/>
        </w:rPr>
        <w:t>t added there is sufficient capacity on the existing lines to meet medium term projections.</w:t>
      </w:r>
    </w:p>
    <w:p w:rsidR="007179EB" w:rsidRPr="003929DE" w:rsidRDefault="002C1F82">
      <w:pPr>
        <w:rPr>
          <w:rFonts w:cstheme="minorHAnsi"/>
          <w:shd w:val="clear" w:color="auto" w:fill="FFFFFF"/>
        </w:rPr>
      </w:pPr>
      <w:r w:rsidRPr="003929DE">
        <w:rPr>
          <w:rFonts w:cstheme="minorHAnsi"/>
          <w:shd w:val="clear" w:color="auto" w:fill="FFFFFF"/>
        </w:rPr>
        <w:lastRenderedPageBreak/>
        <w:t>All well and good</w:t>
      </w:r>
      <w:r w:rsidR="00DD3586" w:rsidRPr="003929DE">
        <w:rPr>
          <w:rFonts w:cstheme="minorHAnsi"/>
          <w:shd w:val="clear" w:color="auto" w:fill="FFFFFF"/>
        </w:rPr>
        <w:t xml:space="preserve">; </w:t>
      </w:r>
      <w:r w:rsidR="00981EDE" w:rsidRPr="003929DE">
        <w:rPr>
          <w:rFonts w:cstheme="minorHAnsi"/>
          <w:shd w:val="clear" w:color="auto" w:fill="FFFFFF"/>
        </w:rPr>
        <w:t>it is not</w:t>
      </w:r>
      <w:r w:rsidRPr="003929DE">
        <w:rPr>
          <w:rFonts w:cstheme="minorHAnsi"/>
          <w:shd w:val="clear" w:color="auto" w:fill="FFFFFF"/>
        </w:rPr>
        <w:t xml:space="preserve"> the only project where there is supposedly sufficient existing capacity and where benefit</w:t>
      </w:r>
      <w:r w:rsidR="00802B25" w:rsidRPr="003929DE">
        <w:rPr>
          <w:rFonts w:cstheme="minorHAnsi"/>
          <w:shd w:val="clear" w:color="auto" w:fill="FFFFFF"/>
        </w:rPr>
        <w:t>s</w:t>
      </w:r>
      <w:r w:rsidRPr="003929DE">
        <w:rPr>
          <w:rFonts w:cstheme="minorHAnsi"/>
          <w:shd w:val="clear" w:color="auto" w:fill="FFFFFF"/>
        </w:rPr>
        <w:t xml:space="preserve"> seem less than costs</w:t>
      </w:r>
      <w:r w:rsidR="00802B25" w:rsidRPr="003929DE">
        <w:rPr>
          <w:rFonts w:cstheme="minorHAnsi"/>
          <w:shd w:val="clear" w:color="auto" w:fill="FFFFFF"/>
        </w:rPr>
        <w:t xml:space="preserve"> at present</w:t>
      </w:r>
      <w:r w:rsidRPr="003929DE">
        <w:rPr>
          <w:rFonts w:cstheme="minorHAnsi"/>
          <w:shd w:val="clear" w:color="auto" w:fill="FFFFFF"/>
        </w:rPr>
        <w:t xml:space="preserve">.  </w:t>
      </w:r>
    </w:p>
    <w:p w:rsidR="002C1F82" w:rsidRPr="003929DE" w:rsidRDefault="002C1F82">
      <w:pPr>
        <w:rPr>
          <w:rFonts w:cstheme="minorHAnsi"/>
          <w:shd w:val="clear" w:color="auto" w:fill="FFFFFF"/>
        </w:rPr>
      </w:pPr>
      <w:r w:rsidRPr="003929DE">
        <w:rPr>
          <w:rFonts w:cstheme="minorHAnsi"/>
          <w:shd w:val="clear" w:color="auto" w:fill="FFFFFF"/>
        </w:rPr>
        <w:t>But it is the only project t</w:t>
      </w:r>
      <w:r w:rsidR="00C30826">
        <w:rPr>
          <w:rFonts w:cstheme="minorHAnsi"/>
          <w:shd w:val="clear" w:color="auto" w:fill="FFFFFF"/>
        </w:rPr>
        <w:t>o</w:t>
      </w:r>
      <w:r w:rsidRPr="003929DE">
        <w:rPr>
          <w:rFonts w:cstheme="minorHAnsi"/>
          <w:shd w:val="clear" w:color="auto" w:fill="FFFFFF"/>
        </w:rPr>
        <w:t xml:space="preserve"> </w:t>
      </w:r>
      <w:r w:rsidR="00C30826">
        <w:rPr>
          <w:rFonts w:cstheme="minorHAnsi"/>
          <w:shd w:val="clear" w:color="auto" w:fill="FFFFFF"/>
        </w:rPr>
        <w:t>achieve</w:t>
      </w:r>
      <w:r w:rsidRPr="003929DE">
        <w:rPr>
          <w:rFonts w:cstheme="minorHAnsi"/>
          <w:shd w:val="clear" w:color="auto" w:fill="FFFFFF"/>
        </w:rPr>
        <w:t xml:space="preserve"> an explicit ‘not recommended’.</w:t>
      </w:r>
    </w:p>
    <w:p w:rsidR="002C1F82" w:rsidRPr="003929DE" w:rsidRDefault="002C1F82">
      <w:pPr>
        <w:rPr>
          <w:rFonts w:cstheme="minorHAnsi"/>
          <w:shd w:val="clear" w:color="auto" w:fill="FFFFFF"/>
        </w:rPr>
      </w:pPr>
      <w:r w:rsidRPr="003929DE">
        <w:rPr>
          <w:rFonts w:cstheme="minorHAnsi"/>
          <w:shd w:val="clear" w:color="auto" w:fill="FFFFFF"/>
        </w:rPr>
        <w:t xml:space="preserve">It is also the only case in which the ‘proponent’ </w:t>
      </w:r>
      <w:r w:rsidR="006028A6">
        <w:rPr>
          <w:rFonts w:cstheme="minorHAnsi"/>
          <w:shd w:val="clear" w:color="auto" w:fill="FFFFFF"/>
        </w:rPr>
        <w:t xml:space="preserve">virtually </w:t>
      </w:r>
      <w:r w:rsidRPr="003929DE">
        <w:rPr>
          <w:rFonts w:cstheme="minorHAnsi"/>
          <w:shd w:val="clear" w:color="auto" w:fill="FFFFFF"/>
        </w:rPr>
        <w:t>opposed the project.</w:t>
      </w:r>
      <w:r w:rsidR="00DD3586" w:rsidRPr="003929DE">
        <w:rPr>
          <w:rFonts w:cstheme="minorHAnsi"/>
          <w:shd w:val="clear" w:color="auto" w:fill="FFFFFF"/>
        </w:rPr>
        <w:t xml:space="preserve"> </w:t>
      </w:r>
    </w:p>
    <w:p w:rsidR="002C1F82" w:rsidRPr="003929DE" w:rsidRDefault="00802B25">
      <w:pPr>
        <w:rPr>
          <w:rFonts w:cstheme="minorHAnsi"/>
          <w:shd w:val="clear" w:color="auto" w:fill="FFFFFF"/>
        </w:rPr>
      </w:pPr>
      <w:r w:rsidRPr="003929DE">
        <w:rPr>
          <w:rFonts w:cstheme="minorHAnsi"/>
          <w:shd w:val="clear" w:color="auto" w:fill="FFFFFF"/>
        </w:rPr>
        <w:t>C</w:t>
      </w:r>
      <w:r w:rsidR="002C1F82" w:rsidRPr="003929DE">
        <w:rPr>
          <w:rFonts w:cstheme="minorHAnsi"/>
          <w:shd w:val="clear" w:color="auto" w:fill="FFFFFF"/>
        </w:rPr>
        <w:t>urious indeed Dr Watson!</w:t>
      </w:r>
      <w:r w:rsidR="000973A9" w:rsidRPr="003929DE">
        <w:rPr>
          <w:rFonts w:cstheme="minorHAnsi"/>
          <w:shd w:val="clear" w:color="auto" w:fill="FFFFFF"/>
        </w:rPr>
        <w:t xml:space="preserve">  </w:t>
      </w:r>
    </w:p>
    <w:p w:rsidR="002C1F82" w:rsidRPr="003929DE" w:rsidRDefault="00DD3586">
      <w:pPr>
        <w:rPr>
          <w:rFonts w:cstheme="minorHAnsi"/>
          <w:shd w:val="clear" w:color="auto" w:fill="FFFFFF"/>
        </w:rPr>
      </w:pPr>
      <w:r w:rsidRPr="003929DE">
        <w:rPr>
          <w:rFonts w:cstheme="minorHAnsi"/>
          <w:shd w:val="clear" w:color="auto" w:fill="FFFFFF"/>
        </w:rPr>
        <w:t xml:space="preserve">The Commonwealth Department of Infrastructure also seems to have taken a dislike to the project.  It ‘assessed’ the proposal </w:t>
      </w:r>
      <w:r w:rsidR="00914419">
        <w:rPr>
          <w:rFonts w:cstheme="minorHAnsi"/>
          <w:shd w:val="clear" w:color="auto" w:fill="FFFFFF"/>
        </w:rPr>
        <w:t>several times</w:t>
      </w:r>
      <w:r w:rsidRPr="003929DE">
        <w:rPr>
          <w:rFonts w:cstheme="minorHAnsi"/>
          <w:shd w:val="clear" w:color="auto" w:fill="FFFFFF"/>
        </w:rPr>
        <w:t xml:space="preserve"> concluding it is not worthwhile.  However, before it</w:t>
      </w:r>
      <w:r w:rsidR="000973A9" w:rsidRPr="003929DE">
        <w:rPr>
          <w:rFonts w:cstheme="minorHAnsi"/>
          <w:shd w:val="clear" w:color="auto" w:fill="FFFFFF"/>
        </w:rPr>
        <w:t>s views are taken too seriously</w:t>
      </w:r>
      <w:r w:rsidRPr="003929DE">
        <w:rPr>
          <w:rFonts w:cstheme="minorHAnsi"/>
          <w:shd w:val="clear" w:color="auto" w:fill="FFFFFF"/>
        </w:rPr>
        <w:t xml:space="preserve"> readers should reflect on </w:t>
      </w:r>
      <w:r w:rsidR="007179EB" w:rsidRPr="003929DE">
        <w:rPr>
          <w:rFonts w:cstheme="minorHAnsi"/>
          <w:shd w:val="clear" w:color="auto" w:fill="FFFFFF"/>
        </w:rPr>
        <w:t>its</w:t>
      </w:r>
      <w:r w:rsidRPr="003929DE">
        <w:rPr>
          <w:rFonts w:cstheme="minorHAnsi"/>
          <w:shd w:val="clear" w:color="auto" w:fill="FFFFFF"/>
        </w:rPr>
        <w:t xml:space="preserve"> ‘stitch up’ of high speed rail, </w:t>
      </w:r>
      <w:r w:rsidR="007179EB" w:rsidRPr="003929DE">
        <w:rPr>
          <w:rFonts w:cstheme="minorHAnsi"/>
          <w:shd w:val="clear" w:color="auto" w:fill="FFFFFF"/>
        </w:rPr>
        <w:t>inability</w:t>
      </w:r>
      <w:r w:rsidRPr="003929DE">
        <w:rPr>
          <w:rFonts w:cstheme="minorHAnsi"/>
          <w:shd w:val="clear" w:color="auto" w:fill="FFFFFF"/>
        </w:rPr>
        <w:t xml:space="preserve"> </w:t>
      </w:r>
      <w:r w:rsidR="007179EB" w:rsidRPr="003929DE">
        <w:rPr>
          <w:rFonts w:cstheme="minorHAnsi"/>
          <w:shd w:val="clear" w:color="auto" w:fill="FFFFFF"/>
        </w:rPr>
        <w:t xml:space="preserve">to </w:t>
      </w:r>
      <w:r w:rsidRPr="003929DE">
        <w:rPr>
          <w:rFonts w:cstheme="minorHAnsi"/>
          <w:shd w:val="clear" w:color="auto" w:fill="FFFFFF"/>
        </w:rPr>
        <w:t xml:space="preserve">get to grips with western Sydney rail and </w:t>
      </w:r>
      <w:r w:rsidR="000F0C79" w:rsidRPr="003929DE">
        <w:rPr>
          <w:rFonts w:cstheme="minorHAnsi"/>
          <w:shd w:val="clear" w:color="auto" w:fill="FFFFFF"/>
        </w:rPr>
        <w:t>lead</w:t>
      </w:r>
      <w:r w:rsidR="00914419">
        <w:rPr>
          <w:rFonts w:cstheme="minorHAnsi"/>
          <w:shd w:val="clear" w:color="auto" w:fill="FFFFFF"/>
        </w:rPr>
        <w:t>ership of</w:t>
      </w:r>
      <w:r w:rsidR="000F0C79" w:rsidRPr="003929DE">
        <w:rPr>
          <w:rFonts w:cstheme="minorHAnsi"/>
          <w:shd w:val="clear" w:color="auto" w:fill="FFFFFF"/>
        </w:rPr>
        <w:t xml:space="preserve"> </w:t>
      </w:r>
      <w:r w:rsidRPr="003929DE">
        <w:rPr>
          <w:rFonts w:cstheme="minorHAnsi"/>
          <w:shd w:val="clear" w:color="auto" w:fill="FFFFFF"/>
        </w:rPr>
        <w:t xml:space="preserve">policy </w:t>
      </w:r>
      <w:r w:rsidR="007179EB" w:rsidRPr="003929DE">
        <w:rPr>
          <w:rFonts w:cstheme="minorHAnsi"/>
          <w:shd w:val="clear" w:color="auto" w:fill="FFFFFF"/>
        </w:rPr>
        <w:t>failures</w:t>
      </w:r>
      <w:r w:rsidRPr="003929DE">
        <w:rPr>
          <w:rFonts w:cstheme="minorHAnsi"/>
          <w:shd w:val="clear" w:color="auto" w:fill="FFFFFF"/>
        </w:rPr>
        <w:t xml:space="preserve"> such as non-recognition of gauge standardisation and mistakes about the nature of rail regulation.</w:t>
      </w:r>
      <w:r w:rsidR="00F547D0" w:rsidRPr="003929DE">
        <w:rPr>
          <w:rStyle w:val="EndnoteReference"/>
          <w:rFonts w:cstheme="minorHAnsi"/>
          <w:shd w:val="clear" w:color="auto" w:fill="FFFFFF"/>
        </w:rPr>
        <w:endnoteReference w:id="6"/>
      </w:r>
    </w:p>
    <w:p w:rsidR="003929DE" w:rsidRPr="003929DE" w:rsidRDefault="00354660">
      <w:pPr>
        <w:rPr>
          <w:rFonts w:cstheme="minorHAnsi"/>
          <w:shd w:val="clear" w:color="auto" w:fill="FFFFFF"/>
        </w:rPr>
      </w:pPr>
      <w:r w:rsidRPr="003929DE">
        <w:rPr>
          <w:rFonts w:cstheme="minorHAnsi"/>
          <w:shd w:val="clear" w:color="auto" w:fill="FFFFFF"/>
        </w:rPr>
        <w:t>C</w:t>
      </w:r>
      <w:r w:rsidR="009A27D7" w:rsidRPr="003929DE">
        <w:rPr>
          <w:rFonts w:cstheme="minorHAnsi"/>
          <w:shd w:val="clear" w:color="auto" w:fill="FFFFFF"/>
        </w:rPr>
        <w:t>ommon sense</w:t>
      </w:r>
      <w:r w:rsidR="00087D7A" w:rsidRPr="003929DE">
        <w:rPr>
          <w:rFonts w:cstheme="minorHAnsi"/>
          <w:shd w:val="clear" w:color="auto" w:fill="FFFFFF"/>
        </w:rPr>
        <w:t xml:space="preserve"> </w:t>
      </w:r>
      <w:r w:rsidRPr="003929DE">
        <w:rPr>
          <w:rFonts w:cstheme="minorHAnsi"/>
          <w:shd w:val="clear" w:color="auto" w:fill="FFFFFF"/>
        </w:rPr>
        <w:t xml:space="preserve">stolen </w:t>
      </w:r>
      <w:r w:rsidR="00087D7A" w:rsidRPr="003929DE">
        <w:rPr>
          <w:rFonts w:cstheme="minorHAnsi"/>
          <w:shd w:val="clear" w:color="auto" w:fill="FFFFFF"/>
        </w:rPr>
        <w:t>while</w:t>
      </w:r>
      <w:r w:rsidR="009A27D7" w:rsidRPr="003929DE">
        <w:rPr>
          <w:rFonts w:cstheme="minorHAnsi"/>
          <w:shd w:val="clear" w:color="auto" w:fill="FFFFFF"/>
        </w:rPr>
        <w:t xml:space="preserve"> the watchdog didn’t bark?</w:t>
      </w:r>
      <w:r w:rsidR="000973A9" w:rsidRPr="003929DE">
        <w:rPr>
          <w:rFonts w:cstheme="minorHAnsi"/>
          <w:shd w:val="clear" w:color="auto" w:fill="FFFFFF"/>
        </w:rPr>
        <w:t xml:space="preserve">  </w:t>
      </w:r>
    </w:p>
    <w:p w:rsidR="00DD3586" w:rsidRPr="003929DE" w:rsidRDefault="00354660">
      <w:pPr>
        <w:rPr>
          <w:rFonts w:cstheme="minorHAnsi"/>
          <w:shd w:val="clear" w:color="auto" w:fill="FFFFFF"/>
        </w:rPr>
      </w:pPr>
      <w:r w:rsidRPr="003929DE">
        <w:rPr>
          <w:rFonts w:cstheme="minorHAnsi"/>
          <w:shd w:val="clear" w:color="auto" w:fill="FFFFFF"/>
        </w:rPr>
        <w:t>The beagle bays: a</w:t>
      </w:r>
      <w:r w:rsidR="00DD3586" w:rsidRPr="003929DE">
        <w:rPr>
          <w:rFonts w:cstheme="minorHAnsi"/>
          <w:shd w:val="clear" w:color="auto" w:fill="FFFFFF"/>
        </w:rPr>
        <w:t xml:space="preserve">nother case </w:t>
      </w:r>
      <w:r w:rsidR="003929DE" w:rsidRPr="003929DE">
        <w:rPr>
          <w:rFonts w:cstheme="minorHAnsi"/>
          <w:shd w:val="clear" w:color="auto" w:fill="FFFFFF"/>
        </w:rPr>
        <w:t>deserving</w:t>
      </w:r>
      <w:r w:rsidR="00087D7A" w:rsidRPr="003929DE">
        <w:rPr>
          <w:rFonts w:cstheme="minorHAnsi"/>
          <w:shd w:val="clear" w:color="auto" w:fill="FFFFFF"/>
        </w:rPr>
        <w:t xml:space="preserve"> an</w:t>
      </w:r>
      <w:r w:rsidR="00DD3586" w:rsidRPr="003929DE">
        <w:rPr>
          <w:rFonts w:cstheme="minorHAnsi"/>
          <w:shd w:val="clear" w:color="auto" w:fill="FFFFFF"/>
        </w:rPr>
        <w:t xml:space="preserve"> independent open review</w:t>
      </w:r>
      <w:r w:rsidR="000973A9" w:rsidRPr="003929DE">
        <w:rPr>
          <w:rFonts w:cstheme="minorHAnsi"/>
          <w:shd w:val="clear" w:color="auto" w:fill="FFFFFF"/>
        </w:rPr>
        <w:t>.</w:t>
      </w:r>
    </w:p>
    <w:p w:rsidR="00981EDE" w:rsidRPr="003929DE" w:rsidRDefault="00981EDE">
      <w:pPr>
        <w:rPr>
          <w:rFonts w:cstheme="minorHAnsi"/>
          <w:shd w:val="clear" w:color="auto" w:fill="FFFFFF"/>
        </w:rPr>
      </w:pPr>
    </w:p>
    <w:p w:rsidR="00DD3586" w:rsidRPr="003929DE" w:rsidRDefault="00DD3586" w:rsidP="00EA7256">
      <w:pPr>
        <w:spacing w:after="0"/>
        <w:rPr>
          <w:rFonts w:cstheme="minorHAnsi"/>
          <w:shd w:val="clear" w:color="auto" w:fill="FFFFFF"/>
        </w:rPr>
      </w:pPr>
      <w:r w:rsidRPr="003929DE">
        <w:rPr>
          <w:rFonts w:cstheme="minorHAnsi"/>
          <w:shd w:val="clear" w:color="auto" w:fill="FFFFFF"/>
        </w:rPr>
        <w:t>J Austen</w:t>
      </w:r>
    </w:p>
    <w:p w:rsidR="00DD3586" w:rsidRPr="003929DE" w:rsidRDefault="00236FCB" w:rsidP="00EA7256">
      <w:pPr>
        <w:spacing w:after="0"/>
        <w:rPr>
          <w:rFonts w:cstheme="minorHAnsi"/>
          <w:shd w:val="clear" w:color="auto" w:fill="FFFFFF"/>
        </w:rPr>
      </w:pPr>
      <w:r w:rsidRPr="003929DE">
        <w:rPr>
          <w:rFonts w:cstheme="minorHAnsi"/>
          <w:shd w:val="clear" w:color="auto" w:fill="FFFFFF"/>
        </w:rPr>
        <w:t>1</w:t>
      </w:r>
      <w:r w:rsidR="00EE6C61">
        <w:rPr>
          <w:rFonts w:cstheme="minorHAnsi"/>
          <w:shd w:val="clear" w:color="auto" w:fill="FFFFFF"/>
        </w:rPr>
        <w:t>5</w:t>
      </w:r>
      <w:bookmarkStart w:id="0" w:name="_GoBack"/>
      <w:bookmarkEnd w:id="0"/>
      <w:r w:rsidRPr="003929DE">
        <w:rPr>
          <w:rFonts w:cstheme="minorHAnsi"/>
          <w:shd w:val="clear" w:color="auto" w:fill="FFFFFF"/>
        </w:rPr>
        <w:t xml:space="preserve"> September</w:t>
      </w:r>
      <w:r w:rsidR="00DD3586" w:rsidRPr="003929DE">
        <w:rPr>
          <w:rFonts w:cstheme="minorHAnsi"/>
          <w:shd w:val="clear" w:color="auto" w:fill="FFFFFF"/>
        </w:rPr>
        <w:t xml:space="preserve"> 2017</w:t>
      </w:r>
    </w:p>
    <w:sectPr w:rsidR="00DD3586" w:rsidRPr="003929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9E3" w:rsidRDefault="005C79E3" w:rsidP="0052694B">
      <w:pPr>
        <w:spacing w:after="0" w:line="240" w:lineRule="auto"/>
      </w:pPr>
      <w:r>
        <w:separator/>
      </w:r>
    </w:p>
  </w:endnote>
  <w:endnote w:type="continuationSeparator" w:id="0">
    <w:p w:rsidR="005C79E3" w:rsidRDefault="005C79E3" w:rsidP="0052694B">
      <w:pPr>
        <w:spacing w:after="0" w:line="240" w:lineRule="auto"/>
      </w:pPr>
      <w:r>
        <w:continuationSeparator/>
      </w:r>
    </w:p>
  </w:endnote>
  <w:endnote w:id="1">
    <w:p w:rsidR="00310738" w:rsidRDefault="00310738">
      <w:pPr>
        <w:pStyle w:val="EndnoteText"/>
      </w:pPr>
      <w:r>
        <w:rPr>
          <w:rStyle w:val="EndnoteReference"/>
        </w:rPr>
        <w:endnoteRef/>
      </w:r>
      <w:r>
        <w:t xml:space="preserve"> </w:t>
      </w:r>
      <w:hyperlink r:id="rId1" w:history="1">
        <w:r w:rsidRPr="00A72CD6">
          <w:rPr>
            <w:rStyle w:val="Hyperlink"/>
          </w:rPr>
          <w:t>https://en.oxforddictionaries.com/definition/opponent</w:t>
        </w:r>
      </w:hyperlink>
    </w:p>
    <w:p w:rsidR="00310738" w:rsidRDefault="00310738">
      <w:pPr>
        <w:pStyle w:val="EndnoteText"/>
      </w:pPr>
    </w:p>
  </w:endnote>
  <w:endnote w:id="2">
    <w:p w:rsidR="00310738" w:rsidRDefault="00310738">
      <w:pPr>
        <w:pStyle w:val="EndnoteText"/>
      </w:pPr>
      <w:r>
        <w:rPr>
          <w:rStyle w:val="EndnoteReference"/>
        </w:rPr>
        <w:endnoteRef/>
      </w:r>
      <w:r>
        <w:t xml:space="preserve"> </w:t>
      </w:r>
      <w:hyperlink r:id="rId2" w:history="1">
        <w:r w:rsidRPr="00A72CD6">
          <w:rPr>
            <w:rStyle w:val="Hyperlink"/>
          </w:rPr>
          <w:t>http://infrastructureaustralia.gov.au/projects/files/Maldon-to-Dombarton-summary.pdf</w:t>
        </w:r>
      </w:hyperlink>
    </w:p>
    <w:p w:rsidR="00310738" w:rsidRDefault="00310738">
      <w:pPr>
        <w:pStyle w:val="EndnoteText"/>
      </w:pPr>
    </w:p>
  </w:endnote>
  <w:endnote w:id="3">
    <w:p w:rsidR="00310738" w:rsidRDefault="00310738">
      <w:pPr>
        <w:pStyle w:val="EndnoteText"/>
      </w:pPr>
      <w:r>
        <w:rPr>
          <w:rStyle w:val="EndnoteReference"/>
        </w:rPr>
        <w:endnoteRef/>
      </w:r>
      <w:r>
        <w:t xml:space="preserve"> </w:t>
      </w:r>
      <w:hyperlink r:id="rId3" w:history="1">
        <w:r w:rsidRPr="00A72CD6">
          <w:rPr>
            <w:rStyle w:val="Hyperlink"/>
          </w:rPr>
          <w:t>https://brieflywriting.com/2012/07/25/the-dog-that-didnt-bark-what-we-can-learn-from-sir-arthur-conan-doyle-about-using-the-absence-of-expected-facts/</w:t>
        </w:r>
      </w:hyperlink>
    </w:p>
    <w:p w:rsidR="00310738" w:rsidRDefault="00310738">
      <w:pPr>
        <w:pStyle w:val="EndnoteText"/>
      </w:pPr>
    </w:p>
  </w:endnote>
  <w:endnote w:id="4">
    <w:p w:rsidR="00685B20" w:rsidRDefault="00685B20" w:rsidP="00685B20">
      <w:pPr>
        <w:pStyle w:val="EndnoteText"/>
      </w:pPr>
      <w:r>
        <w:rPr>
          <w:rStyle w:val="EndnoteReference"/>
        </w:rPr>
        <w:endnoteRef/>
      </w:r>
      <w:r>
        <w:t xml:space="preserve"> A short history of the proposal is at </w:t>
      </w:r>
      <w:hyperlink r:id="rId4" w:history="1">
        <w:r w:rsidRPr="00A72CD6">
          <w:rPr>
            <w:rStyle w:val="Hyperlink"/>
          </w:rPr>
          <w:t>http://investment.infrastructure.gov.au/publications/reports/pdf/Maldon_Dombarton_Feasibility_Study_Full_Report_Final.pdf</w:t>
        </w:r>
      </w:hyperlink>
      <w:r>
        <w:t>.</w:t>
      </w:r>
    </w:p>
    <w:p w:rsidR="00685B20" w:rsidRDefault="00685B20" w:rsidP="00685B20">
      <w:pPr>
        <w:pStyle w:val="EndnoteText"/>
      </w:pPr>
    </w:p>
  </w:endnote>
  <w:endnote w:id="5">
    <w:p w:rsidR="00685B20" w:rsidRDefault="00685B20" w:rsidP="00685B20">
      <w:pPr>
        <w:pStyle w:val="EndnoteText"/>
      </w:pPr>
      <w:r>
        <w:rPr>
          <w:rStyle w:val="EndnoteReference"/>
        </w:rPr>
        <w:endnoteRef/>
      </w:r>
      <w:r>
        <w:t xml:space="preserve"> Distance compared with Moss Vale: Maldon-Dombarton = 35km; Moss Vale-Unanderra = 57km + Moss Vale-Picton =43 km.  </w:t>
      </w:r>
    </w:p>
    <w:p w:rsidR="00685B20" w:rsidRDefault="00685B20" w:rsidP="00685B20">
      <w:pPr>
        <w:pStyle w:val="EndnoteText"/>
      </w:pPr>
      <w:r>
        <w:t>For Metro see the discussion of rail balancing at:</w:t>
      </w:r>
      <w:r w:rsidRPr="000F0C79">
        <w:t xml:space="preserve"> </w:t>
      </w:r>
      <w:hyperlink r:id="rId5" w:history="1">
        <w:r w:rsidRPr="00A72CD6">
          <w:rPr>
            <w:rStyle w:val="Hyperlink"/>
          </w:rPr>
          <w:t>http://www.thejadebeagle.com/sydney-2-exhibit-2-toucheth-not-the-monorail.html</w:t>
        </w:r>
      </w:hyperlink>
      <w:r>
        <w:t xml:space="preserve"> and</w:t>
      </w:r>
    </w:p>
    <w:p w:rsidR="00685B20" w:rsidRDefault="00685B20" w:rsidP="00685B20">
      <w:pPr>
        <w:pStyle w:val="EndnoteText"/>
      </w:pPr>
      <w:r>
        <w:t xml:space="preserve"> </w:t>
      </w:r>
      <w:hyperlink r:id="rId6" w:history="1">
        <w:r w:rsidRPr="00A72CD6">
          <w:rPr>
            <w:rStyle w:val="Hyperlink"/>
          </w:rPr>
          <w:t>http://www.thejadebeagle.com/toucheth-not-the-monorail-metro-summary-business-case.html</w:t>
        </w:r>
      </w:hyperlink>
    </w:p>
    <w:p w:rsidR="00685B20" w:rsidRDefault="00685B20" w:rsidP="00685B20">
      <w:pPr>
        <w:pStyle w:val="EndnoteText"/>
      </w:pPr>
    </w:p>
  </w:endnote>
  <w:endnote w:id="6">
    <w:p w:rsidR="00310738" w:rsidRDefault="00310738">
      <w:pPr>
        <w:pStyle w:val="EndnoteText"/>
      </w:pPr>
      <w:r>
        <w:rPr>
          <w:rStyle w:val="EndnoteReference"/>
        </w:rPr>
        <w:endnoteRef/>
      </w:r>
      <w:r>
        <w:t xml:space="preserve"> Compare </w:t>
      </w:r>
      <w:hyperlink r:id="rId7" w:history="1">
        <w:r w:rsidRPr="00A72CD6">
          <w:rPr>
            <w:rStyle w:val="Hyperlink"/>
          </w:rPr>
          <w:t>http://investment.infrastructure.gov.au/publications/reports/pdf/maldon_dombarton_freight_rail_line_pre_feasibility_study_final_report.pdf</w:t>
        </w:r>
      </w:hyperlink>
      <w:r>
        <w:t xml:space="preserve"> with </w:t>
      </w:r>
      <w:hyperlink r:id="rId8" w:history="1">
        <w:r w:rsidRPr="00A72CD6">
          <w:rPr>
            <w:rStyle w:val="Hyperlink"/>
          </w:rPr>
          <w:t>http://investment.infrastructure.gov.au/publications/reports/pdf/Maldon_Dombarton_Feasibility_Study_Full_Report_Final.pdf</w:t>
        </w:r>
      </w:hyperlink>
      <w:r>
        <w:t>; the latter having a benefit/cost of 0.56 – lower than that presented by NSW.</w:t>
      </w:r>
    </w:p>
    <w:p w:rsidR="00310738" w:rsidRDefault="00310738">
      <w:pPr>
        <w:pStyle w:val="EndnoteText"/>
      </w:pPr>
      <w:r>
        <w:t xml:space="preserve">For high speed rail see: </w:t>
      </w:r>
      <w:hyperlink r:id="rId9" w:history="1">
        <w:r w:rsidRPr="00A72CD6">
          <w:rPr>
            <w:rStyle w:val="Hyperlink"/>
          </w:rPr>
          <w:t>http://www.thejadebeagle.com/earth-to-canberra.html</w:t>
        </w:r>
      </w:hyperlink>
    </w:p>
    <w:p w:rsidR="00310738" w:rsidRDefault="00310738">
      <w:pPr>
        <w:pStyle w:val="EndnoteText"/>
      </w:pPr>
      <w:r>
        <w:t xml:space="preserve">For western Sydney rail see: </w:t>
      </w:r>
      <w:hyperlink r:id="rId10" w:history="1">
        <w:r w:rsidRPr="00A72CD6">
          <w:rPr>
            <w:rStyle w:val="Hyperlink"/>
          </w:rPr>
          <w:t>http://www.thejadebeagle.com/toucheth-not-the-monorail-western-sydney-rail.html</w:t>
        </w:r>
      </w:hyperlink>
    </w:p>
    <w:p w:rsidR="00310738" w:rsidRDefault="00310738">
      <w:pPr>
        <w:pStyle w:val="EndnoteText"/>
      </w:pPr>
      <w:r>
        <w:t xml:space="preserve">For leading gross policy mistakes see: </w:t>
      </w:r>
      <w:hyperlink r:id="rId11" w:history="1">
        <w:r w:rsidRPr="00A72CD6">
          <w:rPr>
            <w:rStyle w:val="Hyperlink"/>
          </w:rPr>
          <w:t>http://www.thejadebeagle.com/austral-obscura-2.html</w:t>
        </w:r>
      </w:hyperlink>
      <w:r>
        <w:t xml:space="preserve"> noting that the Commonwealth chairs the Ministerial Council and the officials’ advisory committee.</w:t>
      </w:r>
    </w:p>
    <w:p w:rsidR="00310738" w:rsidRDefault="003107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72335"/>
      <w:docPartObj>
        <w:docPartGallery w:val="Page Numbers (Bottom of Page)"/>
        <w:docPartUnique/>
      </w:docPartObj>
    </w:sdtPr>
    <w:sdtEndPr>
      <w:rPr>
        <w:noProof/>
      </w:rPr>
    </w:sdtEndPr>
    <w:sdtContent>
      <w:p w:rsidR="00310738" w:rsidRDefault="00310738">
        <w:pPr>
          <w:pStyle w:val="Footer"/>
          <w:jc w:val="center"/>
        </w:pPr>
        <w:r>
          <w:fldChar w:fldCharType="begin"/>
        </w:r>
        <w:r>
          <w:instrText xml:space="preserve"> PAGE   \* MERGEFORMAT </w:instrText>
        </w:r>
        <w:r>
          <w:fldChar w:fldCharType="separate"/>
        </w:r>
        <w:r w:rsidR="00EE6C61">
          <w:rPr>
            <w:noProof/>
          </w:rPr>
          <w:t>3</w:t>
        </w:r>
        <w:r>
          <w:rPr>
            <w:noProof/>
          </w:rPr>
          <w:fldChar w:fldCharType="end"/>
        </w:r>
      </w:p>
    </w:sdtContent>
  </w:sdt>
  <w:p w:rsidR="00310738" w:rsidRDefault="0031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9E3" w:rsidRDefault="005C79E3" w:rsidP="0052694B">
      <w:pPr>
        <w:spacing w:after="0" w:line="240" w:lineRule="auto"/>
      </w:pPr>
      <w:r>
        <w:separator/>
      </w:r>
    </w:p>
  </w:footnote>
  <w:footnote w:type="continuationSeparator" w:id="0">
    <w:p w:rsidR="005C79E3" w:rsidRDefault="005C79E3" w:rsidP="00526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738" w:rsidRDefault="00310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C58"/>
    <w:multiLevelType w:val="hybridMultilevel"/>
    <w:tmpl w:val="8E9EE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4B"/>
    <w:rsid w:val="00087D7A"/>
    <w:rsid w:val="000973A9"/>
    <w:rsid w:val="000F0C79"/>
    <w:rsid w:val="00236FCB"/>
    <w:rsid w:val="002675D9"/>
    <w:rsid w:val="002859D8"/>
    <w:rsid w:val="002C1F82"/>
    <w:rsid w:val="002C2FD1"/>
    <w:rsid w:val="00310738"/>
    <w:rsid w:val="00354660"/>
    <w:rsid w:val="003929DE"/>
    <w:rsid w:val="004C5B54"/>
    <w:rsid w:val="0052694B"/>
    <w:rsid w:val="00530274"/>
    <w:rsid w:val="005C79E3"/>
    <w:rsid w:val="005E7EB5"/>
    <w:rsid w:val="00601F08"/>
    <w:rsid w:val="006028A6"/>
    <w:rsid w:val="00612BB9"/>
    <w:rsid w:val="00653B0C"/>
    <w:rsid w:val="00685B20"/>
    <w:rsid w:val="006A6046"/>
    <w:rsid w:val="007179EB"/>
    <w:rsid w:val="007971D5"/>
    <w:rsid w:val="007A5498"/>
    <w:rsid w:val="00802B25"/>
    <w:rsid w:val="00822B2B"/>
    <w:rsid w:val="008745DD"/>
    <w:rsid w:val="00914419"/>
    <w:rsid w:val="00981EDE"/>
    <w:rsid w:val="009A27D7"/>
    <w:rsid w:val="00A015C9"/>
    <w:rsid w:val="00BA0EB7"/>
    <w:rsid w:val="00BB74D3"/>
    <w:rsid w:val="00C30826"/>
    <w:rsid w:val="00C76CD9"/>
    <w:rsid w:val="00CE12F7"/>
    <w:rsid w:val="00CF7734"/>
    <w:rsid w:val="00DB6FCB"/>
    <w:rsid w:val="00DD3586"/>
    <w:rsid w:val="00EA7256"/>
    <w:rsid w:val="00ED47DA"/>
    <w:rsid w:val="00EE6C61"/>
    <w:rsid w:val="00F547D0"/>
    <w:rsid w:val="00FC3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7AF9"/>
  <w15:chartTrackingRefBased/>
  <w15:docId w15:val="{A1063E3A-BCE1-4DD8-B6CF-1871EFD6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6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94B"/>
    <w:rPr>
      <w:sz w:val="20"/>
      <w:szCs w:val="20"/>
    </w:rPr>
  </w:style>
  <w:style w:type="character" w:styleId="FootnoteReference">
    <w:name w:val="footnote reference"/>
    <w:basedOn w:val="DefaultParagraphFont"/>
    <w:uiPriority w:val="99"/>
    <w:semiHidden/>
    <w:unhideWhenUsed/>
    <w:rsid w:val="0052694B"/>
    <w:rPr>
      <w:vertAlign w:val="superscript"/>
    </w:rPr>
  </w:style>
  <w:style w:type="paragraph" w:styleId="EndnoteText">
    <w:name w:val="endnote text"/>
    <w:basedOn w:val="Normal"/>
    <w:link w:val="EndnoteTextChar"/>
    <w:uiPriority w:val="99"/>
    <w:semiHidden/>
    <w:unhideWhenUsed/>
    <w:rsid w:val="005269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694B"/>
    <w:rPr>
      <w:sz w:val="20"/>
      <w:szCs w:val="20"/>
    </w:rPr>
  </w:style>
  <w:style w:type="character" w:styleId="EndnoteReference">
    <w:name w:val="endnote reference"/>
    <w:basedOn w:val="DefaultParagraphFont"/>
    <w:uiPriority w:val="99"/>
    <w:semiHidden/>
    <w:unhideWhenUsed/>
    <w:rsid w:val="0052694B"/>
    <w:rPr>
      <w:vertAlign w:val="superscript"/>
    </w:rPr>
  </w:style>
  <w:style w:type="character" w:customStyle="1" w:styleId="Heading1Char">
    <w:name w:val="Heading 1 Char"/>
    <w:basedOn w:val="DefaultParagraphFont"/>
    <w:link w:val="Heading1"/>
    <w:uiPriority w:val="9"/>
    <w:rsid w:val="00A015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A5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498"/>
  </w:style>
  <w:style w:type="paragraph" w:styleId="Footer">
    <w:name w:val="footer"/>
    <w:basedOn w:val="Normal"/>
    <w:link w:val="FooterChar"/>
    <w:uiPriority w:val="99"/>
    <w:unhideWhenUsed/>
    <w:rsid w:val="007A5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98"/>
  </w:style>
  <w:style w:type="paragraph" w:styleId="ListParagraph">
    <w:name w:val="List Paragraph"/>
    <w:basedOn w:val="Normal"/>
    <w:uiPriority w:val="34"/>
    <w:qFormat/>
    <w:rsid w:val="004C5B54"/>
    <w:pPr>
      <w:ind w:left="720"/>
      <w:contextualSpacing/>
    </w:pPr>
  </w:style>
  <w:style w:type="character" w:styleId="Hyperlink">
    <w:name w:val="Hyperlink"/>
    <w:basedOn w:val="DefaultParagraphFont"/>
    <w:uiPriority w:val="99"/>
    <w:unhideWhenUsed/>
    <w:rsid w:val="002675D9"/>
    <w:rPr>
      <w:color w:val="0563C1" w:themeColor="hyperlink"/>
      <w:u w:val="single"/>
    </w:rPr>
  </w:style>
  <w:style w:type="character" w:styleId="UnresolvedMention">
    <w:name w:val="Unresolved Mention"/>
    <w:basedOn w:val="DefaultParagraphFont"/>
    <w:uiPriority w:val="99"/>
    <w:semiHidden/>
    <w:unhideWhenUsed/>
    <w:rsid w:val="002675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investment.infrastructure.gov.au/publications/reports/pdf/Maldon_Dombarton_Feasibility_Study_Full_Report_Final.pdf" TargetMode="External"/><Relationship Id="rId3" Type="http://schemas.openxmlformats.org/officeDocument/2006/relationships/hyperlink" Target="https://brieflywriting.com/2012/07/25/the-dog-that-didnt-bark-what-we-can-learn-from-sir-arthur-conan-doyle-about-using-the-absence-of-expected-facts/" TargetMode="External"/><Relationship Id="rId7" Type="http://schemas.openxmlformats.org/officeDocument/2006/relationships/hyperlink" Target="http://investment.infrastructure.gov.au/publications/reports/pdf/maldon_dombarton_freight_rail_line_pre_feasibility_study_final_report.pdf" TargetMode="External"/><Relationship Id="rId2" Type="http://schemas.openxmlformats.org/officeDocument/2006/relationships/hyperlink" Target="http://infrastructureaustralia.gov.au/projects/files/Maldon-to-Dombarton-summary.pdf" TargetMode="External"/><Relationship Id="rId1" Type="http://schemas.openxmlformats.org/officeDocument/2006/relationships/hyperlink" Target="https://en.oxforddictionaries.com/definition/opponent" TargetMode="External"/><Relationship Id="rId6" Type="http://schemas.openxmlformats.org/officeDocument/2006/relationships/hyperlink" Target="http://www.thejadebeagle.com/toucheth-not-the-monorail-metro-summary-business-case.html" TargetMode="External"/><Relationship Id="rId11" Type="http://schemas.openxmlformats.org/officeDocument/2006/relationships/hyperlink" Target="http://www.thejadebeagle.com/austral-obscura-2.html" TargetMode="External"/><Relationship Id="rId5" Type="http://schemas.openxmlformats.org/officeDocument/2006/relationships/hyperlink" Target="http://www.thejadebeagle.com/sydney-2-exhibit-2-toucheth-not-the-monorail.html" TargetMode="External"/><Relationship Id="rId10" Type="http://schemas.openxmlformats.org/officeDocument/2006/relationships/hyperlink" Target="http://www.thejadebeagle.com/toucheth-not-the-monorail-western-sydney-rail.html" TargetMode="External"/><Relationship Id="rId4" Type="http://schemas.openxmlformats.org/officeDocument/2006/relationships/hyperlink" Target="http://investment.infrastructure.gov.au/publications/reports/pdf/Maldon_Dombarton_Feasibility_Study_Full_Report_Final.pdf" TargetMode="External"/><Relationship Id="rId9" Type="http://schemas.openxmlformats.org/officeDocument/2006/relationships/hyperlink" Target="http://www.thejadebeagle.com/earth-to-canber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872F-CF0D-4223-912D-7F8FAAF4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2017-09-15T08:26:00Z</dcterms:created>
  <dcterms:modified xsi:type="dcterms:W3CDTF">2017-09-15T08:27:00Z</dcterms:modified>
</cp:coreProperties>
</file>