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33F9" w14:textId="77777777" w:rsidR="00141623" w:rsidRDefault="00141623" w:rsidP="003F1CBA">
      <w:pPr>
        <w:pStyle w:val="Heading2"/>
        <w:spacing w:before="0"/>
        <w:rPr>
          <w:rFonts w:cstheme="minorHAnsi"/>
          <w:b w:val="0"/>
          <w:bCs/>
          <w:color w:val="313131"/>
          <w:sz w:val="24"/>
          <w:szCs w:val="24"/>
          <w:shd w:val="clear" w:color="auto" w:fill="FFFFFF"/>
        </w:rPr>
      </w:pPr>
    </w:p>
    <w:p w14:paraId="742139B0" w14:textId="77777777" w:rsidR="00141623" w:rsidRDefault="00141623" w:rsidP="003F1CBA">
      <w:pPr>
        <w:pStyle w:val="Heading2"/>
        <w:spacing w:before="0"/>
        <w:rPr>
          <w:rFonts w:cstheme="minorHAnsi"/>
          <w:b w:val="0"/>
          <w:bCs/>
          <w:color w:val="313131"/>
          <w:sz w:val="24"/>
          <w:szCs w:val="24"/>
          <w:shd w:val="clear" w:color="auto" w:fill="FFFFFF"/>
        </w:rPr>
      </w:pPr>
    </w:p>
    <w:p w14:paraId="09865D63" w14:textId="77777777" w:rsidR="00141623" w:rsidRDefault="00141623" w:rsidP="003F1CBA">
      <w:pPr>
        <w:pStyle w:val="Heading2"/>
        <w:spacing w:before="0"/>
        <w:rPr>
          <w:rFonts w:cstheme="minorHAnsi"/>
          <w:b w:val="0"/>
          <w:bCs/>
          <w:color w:val="313131"/>
          <w:sz w:val="24"/>
          <w:szCs w:val="24"/>
          <w:shd w:val="clear" w:color="auto" w:fill="FFFFFF"/>
        </w:rPr>
      </w:pPr>
    </w:p>
    <w:p w14:paraId="02BDB970" w14:textId="39AEFF56" w:rsidR="00141623" w:rsidRPr="00141623" w:rsidRDefault="00141623" w:rsidP="003F1CBA">
      <w:pPr>
        <w:pStyle w:val="Heading2"/>
        <w:spacing w:before="0"/>
        <w:rPr>
          <w:rFonts w:cstheme="minorHAnsi"/>
          <w:b w:val="0"/>
          <w:bCs/>
          <w:color w:val="313131"/>
          <w:sz w:val="24"/>
          <w:szCs w:val="24"/>
          <w:shd w:val="clear" w:color="auto" w:fill="FFFFFF"/>
        </w:rPr>
      </w:pPr>
      <w:r w:rsidRPr="00141623">
        <w:rPr>
          <w:rFonts w:cstheme="minorHAnsi"/>
          <w:b w:val="0"/>
          <w:bCs/>
          <w:color w:val="313131"/>
          <w:sz w:val="24"/>
          <w:szCs w:val="24"/>
          <w:shd w:val="clear" w:color="auto" w:fill="FFFFFF"/>
        </w:rPr>
        <w:t>Ministries Inquiry</w:t>
      </w:r>
      <w:r w:rsidRPr="00141623">
        <w:rPr>
          <w:rFonts w:cstheme="minorHAnsi"/>
          <w:b w:val="0"/>
          <w:bCs/>
          <w:color w:val="313131"/>
          <w:sz w:val="24"/>
          <w:szCs w:val="24"/>
        </w:rPr>
        <w:br/>
      </w:r>
      <w:r w:rsidRPr="00141623">
        <w:rPr>
          <w:rFonts w:cstheme="minorHAnsi"/>
          <w:b w:val="0"/>
          <w:bCs/>
          <w:color w:val="313131"/>
          <w:sz w:val="24"/>
          <w:szCs w:val="24"/>
          <w:shd w:val="clear" w:color="auto" w:fill="FFFFFF"/>
        </w:rPr>
        <w:t>Attorney General’s Department</w:t>
      </w:r>
      <w:r w:rsidRPr="00141623">
        <w:rPr>
          <w:rFonts w:cstheme="minorHAnsi"/>
          <w:b w:val="0"/>
          <w:bCs/>
          <w:color w:val="313131"/>
          <w:sz w:val="24"/>
          <w:szCs w:val="24"/>
        </w:rPr>
        <w:br/>
      </w:r>
      <w:r w:rsidRPr="00141623">
        <w:rPr>
          <w:rFonts w:cstheme="minorHAnsi"/>
          <w:b w:val="0"/>
          <w:bCs/>
          <w:color w:val="313131"/>
          <w:sz w:val="24"/>
          <w:szCs w:val="24"/>
          <w:shd w:val="clear" w:color="auto" w:fill="FFFFFF"/>
        </w:rPr>
        <w:t>3-5 National Circuit</w:t>
      </w:r>
      <w:r w:rsidRPr="00141623">
        <w:rPr>
          <w:rFonts w:cstheme="minorHAnsi"/>
          <w:b w:val="0"/>
          <w:bCs/>
          <w:color w:val="313131"/>
          <w:sz w:val="24"/>
          <w:szCs w:val="24"/>
        </w:rPr>
        <w:br/>
      </w:r>
      <w:r w:rsidRPr="00141623">
        <w:rPr>
          <w:rFonts w:cstheme="minorHAnsi"/>
          <w:b w:val="0"/>
          <w:bCs/>
          <w:color w:val="313131"/>
          <w:sz w:val="24"/>
          <w:szCs w:val="24"/>
          <w:shd w:val="clear" w:color="auto" w:fill="FFFFFF"/>
        </w:rPr>
        <w:t>Barton ACT 2600</w:t>
      </w:r>
    </w:p>
    <w:p w14:paraId="14C7E96B" w14:textId="02B95BF6" w:rsidR="00141623" w:rsidRDefault="00141623" w:rsidP="003F1CBA">
      <w:pPr>
        <w:pStyle w:val="Heading2"/>
        <w:spacing w:before="0"/>
        <w:rPr>
          <w:rFonts w:ascii="Segoe UI" w:hAnsi="Segoe UI" w:cs="Segoe UI"/>
          <w:color w:val="313131"/>
          <w:shd w:val="clear" w:color="auto" w:fill="FFFFFF"/>
        </w:rPr>
      </w:pPr>
    </w:p>
    <w:p w14:paraId="1C099A4D" w14:textId="19443737" w:rsidR="00141623" w:rsidRDefault="00141623" w:rsidP="00141623">
      <w:r>
        <w:t>Dear Inquiry</w:t>
      </w:r>
    </w:p>
    <w:p w14:paraId="6906FAD7" w14:textId="49A2F907" w:rsidR="00141623" w:rsidRDefault="00141623" w:rsidP="00141623">
      <w:r>
        <w:t>Please find attached a submission.</w:t>
      </w:r>
    </w:p>
    <w:p w14:paraId="0C3858FD" w14:textId="0701F6C6" w:rsidR="00141623" w:rsidRDefault="00141623" w:rsidP="00141623">
      <w:r>
        <w:t xml:space="preserve">I would be happy to provide further details and can be contacted through: </w:t>
      </w:r>
      <w:hyperlink r:id="rId8" w:history="1">
        <w:r w:rsidRPr="000B53E0">
          <w:rPr>
            <w:rStyle w:val="Hyperlink"/>
          </w:rPr>
          <w:t>jadebeagle@outlook.com</w:t>
        </w:r>
      </w:hyperlink>
      <w:r>
        <w:t>.</w:t>
      </w:r>
    </w:p>
    <w:p w14:paraId="15FDA90E" w14:textId="7164B802" w:rsidR="00141623" w:rsidRDefault="00141623" w:rsidP="00141623"/>
    <w:p w14:paraId="3FF419C4" w14:textId="16EFAB08" w:rsidR="00141623" w:rsidRDefault="00141623" w:rsidP="00141623">
      <w:r>
        <w:t>Yours sincerely</w:t>
      </w:r>
    </w:p>
    <w:p w14:paraId="0380FF9E" w14:textId="06DAFC3C" w:rsidR="00141623" w:rsidRDefault="00141623" w:rsidP="00141623"/>
    <w:p w14:paraId="1A0B473E" w14:textId="3DB8C6E7" w:rsidR="00141623" w:rsidRDefault="00141623" w:rsidP="00141623"/>
    <w:p w14:paraId="74B35A4A" w14:textId="6DAAAC96" w:rsidR="00141623" w:rsidRDefault="00141623" w:rsidP="00141623">
      <w:r>
        <w:t>J Austen</w:t>
      </w:r>
    </w:p>
    <w:p w14:paraId="47ABE16A" w14:textId="198CA273" w:rsidR="00141623" w:rsidRDefault="00250C1E" w:rsidP="00141623">
      <w:r>
        <w:t>2</w:t>
      </w:r>
      <w:r w:rsidR="00D80BE2">
        <w:t>5</w:t>
      </w:r>
      <w:r w:rsidR="00141623">
        <w:t xml:space="preserve"> September 2022</w:t>
      </w:r>
    </w:p>
    <w:p w14:paraId="58DC6A51" w14:textId="77777777" w:rsidR="00141623" w:rsidRPr="00141623" w:rsidRDefault="00141623" w:rsidP="00141623"/>
    <w:p w14:paraId="78563A86" w14:textId="77777777" w:rsidR="00141623" w:rsidRDefault="00141623" w:rsidP="003F1CBA">
      <w:pPr>
        <w:pStyle w:val="Heading2"/>
        <w:spacing w:before="0"/>
        <w:rPr>
          <w:rFonts w:ascii="Segoe UI" w:hAnsi="Segoe UI" w:cs="Segoe UI"/>
          <w:color w:val="313131"/>
          <w:shd w:val="clear" w:color="auto" w:fill="FFFFFF"/>
        </w:rPr>
      </w:pPr>
    </w:p>
    <w:p w14:paraId="4B570AE9" w14:textId="77777777" w:rsidR="00141623" w:rsidRDefault="00141623" w:rsidP="003F1CBA">
      <w:pPr>
        <w:pStyle w:val="Heading2"/>
        <w:spacing w:before="0"/>
        <w:rPr>
          <w:rFonts w:ascii="Segoe UI" w:hAnsi="Segoe UI" w:cs="Segoe UI"/>
          <w:color w:val="313131"/>
          <w:shd w:val="clear" w:color="auto" w:fill="FFFFFF"/>
        </w:rPr>
      </w:pPr>
    </w:p>
    <w:p w14:paraId="75836F99" w14:textId="77777777" w:rsidR="00141623" w:rsidRDefault="00141623" w:rsidP="003F1CBA">
      <w:pPr>
        <w:pStyle w:val="Heading2"/>
        <w:spacing w:before="0"/>
        <w:rPr>
          <w:rFonts w:ascii="Segoe UI" w:hAnsi="Segoe UI" w:cs="Segoe UI"/>
          <w:color w:val="313131"/>
          <w:shd w:val="clear" w:color="auto" w:fill="FFFFFF"/>
        </w:rPr>
      </w:pPr>
    </w:p>
    <w:p w14:paraId="6B740637" w14:textId="77777777" w:rsidR="00141623" w:rsidRDefault="00141623" w:rsidP="003F1CBA">
      <w:pPr>
        <w:pStyle w:val="Heading2"/>
        <w:spacing w:before="0"/>
        <w:rPr>
          <w:rFonts w:ascii="Segoe UI" w:hAnsi="Segoe UI" w:cs="Segoe UI"/>
          <w:color w:val="313131"/>
          <w:shd w:val="clear" w:color="auto" w:fill="FFFFFF"/>
        </w:rPr>
      </w:pPr>
    </w:p>
    <w:p w14:paraId="156CE81A" w14:textId="5A912B89" w:rsidR="00141623" w:rsidRDefault="00141623">
      <w:pPr>
        <w:rPr>
          <w:rFonts w:ascii="Segoe UI" w:eastAsiaTheme="majorEastAsia" w:hAnsi="Segoe UI" w:cs="Segoe UI"/>
          <w:b/>
          <w:color w:val="313131"/>
          <w:sz w:val="28"/>
          <w:szCs w:val="26"/>
          <w:shd w:val="clear" w:color="auto" w:fill="FFFFFF"/>
        </w:rPr>
      </w:pPr>
      <w:r>
        <w:rPr>
          <w:rFonts w:ascii="Segoe UI" w:hAnsi="Segoe UI" w:cs="Segoe UI"/>
          <w:color w:val="313131"/>
          <w:shd w:val="clear" w:color="auto" w:fill="FFFFFF"/>
        </w:rPr>
        <w:br w:type="page"/>
      </w:r>
    </w:p>
    <w:p w14:paraId="2719A6BC" w14:textId="5D1F50D5" w:rsidR="00CF2BBA" w:rsidRDefault="003F1CBA" w:rsidP="003F1CBA">
      <w:pPr>
        <w:pStyle w:val="Heading2"/>
        <w:spacing w:before="0"/>
      </w:pPr>
      <w:r w:rsidRPr="003F1CBA">
        <w:rPr>
          <w:rFonts w:asciiTheme="majorHAnsi" w:hAnsiTheme="majorHAnsi"/>
          <w:sz w:val="26"/>
        </w:rPr>
        <w:lastRenderedPageBreak/>
        <w:t>1.</w:t>
      </w:r>
      <w:r>
        <w:tab/>
      </w:r>
      <w:r w:rsidR="00DD2CDF">
        <w:t>Introduction</w:t>
      </w:r>
    </w:p>
    <w:p w14:paraId="7EA9780F" w14:textId="3167752A" w:rsidR="00DD2CDF" w:rsidRDefault="00DD2CDF" w:rsidP="005A64BA">
      <w:pPr>
        <w:spacing w:after="0"/>
        <w:rPr>
          <w:sz w:val="24"/>
          <w:szCs w:val="24"/>
        </w:rPr>
      </w:pPr>
      <w:r w:rsidRPr="003F1CBA">
        <w:rPr>
          <w:sz w:val="24"/>
          <w:szCs w:val="24"/>
        </w:rPr>
        <w:t>This is a submission to the inquiry into undisclosed appointments of Prime Minister Morrison to administer several Departments.</w:t>
      </w:r>
    </w:p>
    <w:p w14:paraId="4A4AEE54" w14:textId="77777777" w:rsidR="003F1CBA" w:rsidRPr="003F1CBA" w:rsidRDefault="003F1CBA" w:rsidP="005A64BA">
      <w:pPr>
        <w:spacing w:after="0"/>
        <w:rPr>
          <w:sz w:val="24"/>
          <w:szCs w:val="24"/>
        </w:rPr>
      </w:pPr>
    </w:p>
    <w:p w14:paraId="6E688241" w14:textId="747C778F" w:rsidR="003F1CBA" w:rsidRDefault="00DD2CDF" w:rsidP="005A64BA">
      <w:pPr>
        <w:spacing w:after="0"/>
        <w:rPr>
          <w:sz w:val="24"/>
          <w:szCs w:val="24"/>
        </w:rPr>
      </w:pPr>
      <w:r w:rsidRPr="003F1CBA">
        <w:rPr>
          <w:sz w:val="24"/>
          <w:szCs w:val="24"/>
        </w:rPr>
        <w:t xml:space="preserve">It draws on information in the public domain and assumes </w:t>
      </w:r>
      <w:r w:rsidR="00EA4D34" w:rsidRPr="003F1CBA">
        <w:rPr>
          <w:sz w:val="24"/>
          <w:szCs w:val="24"/>
        </w:rPr>
        <w:t>the factual basis set out in the Solicitor General’s opinion</w:t>
      </w:r>
      <w:r w:rsidRPr="003F1CBA">
        <w:rPr>
          <w:sz w:val="24"/>
          <w:szCs w:val="24"/>
        </w:rPr>
        <w:t>.</w:t>
      </w:r>
      <w:r w:rsidR="00CC3015">
        <w:rPr>
          <w:rStyle w:val="FootnoteReference"/>
          <w:sz w:val="24"/>
          <w:szCs w:val="24"/>
        </w:rPr>
        <w:footnoteReference w:id="1"/>
      </w:r>
      <w:r w:rsidRPr="003F1CBA">
        <w:rPr>
          <w:sz w:val="24"/>
          <w:szCs w:val="24"/>
        </w:rPr>
        <w:t xml:space="preserve">  </w:t>
      </w:r>
    </w:p>
    <w:p w14:paraId="28FAB94C" w14:textId="00DF3576" w:rsidR="003F1CBA" w:rsidRDefault="003F1CBA" w:rsidP="005A64BA">
      <w:pPr>
        <w:spacing w:after="0"/>
        <w:rPr>
          <w:sz w:val="24"/>
          <w:szCs w:val="24"/>
        </w:rPr>
      </w:pPr>
    </w:p>
    <w:p w14:paraId="47031BDB" w14:textId="77777777" w:rsidR="003F1CBA" w:rsidRDefault="003F1CBA" w:rsidP="005A64BA">
      <w:pPr>
        <w:spacing w:after="0"/>
        <w:rPr>
          <w:sz w:val="24"/>
          <w:szCs w:val="24"/>
        </w:rPr>
      </w:pPr>
      <w:r>
        <w:rPr>
          <w:sz w:val="24"/>
          <w:szCs w:val="24"/>
        </w:rPr>
        <w:t>Section 2 provides recommendations.</w:t>
      </w:r>
    </w:p>
    <w:p w14:paraId="7399CB0B" w14:textId="77777777" w:rsidR="003F1CBA" w:rsidRDefault="003F1CBA" w:rsidP="005A64BA">
      <w:pPr>
        <w:spacing w:after="0"/>
        <w:rPr>
          <w:sz w:val="24"/>
          <w:szCs w:val="24"/>
        </w:rPr>
      </w:pPr>
    </w:p>
    <w:p w14:paraId="0E1294A9" w14:textId="56962012" w:rsidR="003F1CBA" w:rsidRDefault="003F1CBA" w:rsidP="005A64BA">
      <w:pPr>
        <w:spacing w:after="0"/>
        <w:rPr>
          <w:sz w:val="24"/>
          <w:szCs w:val="24"/>
        </w:rPr>
      </w:pPr>
      <w:r>
        <w:rPr>
          <w:sz w:val="24"/>
          <w:szCs w:val="24"/>
        </w:rPr>
        <w:t>Section 3 outlines the basis of those recommendations.</w:t>
      </w:r>
    </w:p>
    <w:p w14:paraId="58593E5C" w14:textId="72BA37DF" w:rsidR="0002760F" w:rsidRDefault="0002760F" w:rsidP="005A64BA">
      <w:pPr>
        <w:spacing w:after="0"/>
        <w:rPr>
          <w:sz w:val="24"/>
          <w:szCs w:val="24"/>
        </w:rPr>
      </w:pPr>
    </w:p>
    <w:p w14:paraId="6CFE47CA" w14:textId="39405C83" w:rsidR="0002760F" w:rsidRDefault="0002760F" w:rsidP="005A64BA">
      <w:pPr>
        <w:spacing w:after="0"/>
        <w:rPr>
          <w:sz w:val="24"/>
          <w:szCs w:val="24"/>
        </w:rPr>
      </w:pPr>
      <w:r>
        <w:rPr>
          <w:sz w:val="24"/>
          <w:szCs w:val="24"/>
        </w:rPr>
        <w:t>Section 4 sets out some conclusions.</w:t>
      </w:r>
    </w:p>
    <w:p w14:paraId="580632FF" w14:textId="77777777" w:rsidR="003F1CBA" w:rsidRDefault="003F1CBA" w:rsidP="005A64BA">
      <w:pPr>
        <w:spacing w:after="0"/>
        <w:rPr>
          <w:sz w:val="24"/>
          <w:szCs w:val="24"/>
        </w:rPr>
      </w:pPr>
    </w:p>
    <w:p w14:paraId="106A033C" w14:textId="367DE542" w:rsidR="00DD2CDF" w:rsidRDefault="00DD2CDF" w:rsidP="005A64BA">
      <w:pPr>
        <w:spacing w:after="0"/>
        <w:rPr>
          <w:sz w:val="24"/>
          <w:szCs w:val="24"/>
        </w:rPr>
      </w:pPr>
      <w:r w:rsidRPr="003F1CBA">
        <w:rPr>
          <w:sz w:val="24"/>
          <w:szCs w:val="24"/>
        </w:rPr>
        <w:t>Further details will be at the jadebeagle.com.</w:t>
      </w:r>
      <w:r w:rsidR="00381FB7">
        <w:rPr>
          <w:sz w:val="24"/>
          <w:szCs w:val="24"/>
        </w:rPr>
        <w:t xml:space="preserve">  </w:t>
      </w:r>
      <w:r w:rsidRPr="003F1CBA">
        <w:rPr>
          <w:sz w:val="24"/>
          <w:szCs w:val="24"/>
        </w:rPr>
        <w:t>Comments and corrections are welcome.</w:t>
      </w:r>
    </w:p>
    <w:p w14:paraId="72B02220" w14:textId="6A1A22C1" w:rsidR="003F1CBA" w:rsidRDefault="003F1CBA" w:rsidP="005A64BA">
      <w:pPr>
        <w:spacing w:after="0"/>
        <w:rPr>
          <w:sz w:val="24"/>
          <w:szCs w:val="24"/>
        </w:rPr>
      </w:pPr>
    </w:p>
    <w:p w14:paraId="02AEDF33" w14:textId="2872715C" w:rsidR="00EA4D34" w:rsidRDefault="003F1CBA" w:rsidP="005A64BA">
      <w:pPr>
        <w:pStyle w:val="Heading2"/>
        <w:spacing w:before="0"/>
      </w:pPr>
      <w:r>
        <w:t>2.</w:t>
      </w:r>
      <w:r>
        <w:tab/>
      </w:r>
      <w:r w:rsidR="00EA4D34">
        <w:t>Recommendations</w:t>
      </w:r>
    </w:p>
    <w:p w14:paraId="3B6C076C" w14:textId="0C1F540B" w:rsidR="00EA4D34" w:rsidRPr="003F1CBA" w:rsidRDefault="00EA4D34" w:rsidP="005A64BA">
      <w:pPr>
        <w:spacing w:after="0"/>
        <w:rPr>
          <w:sz w:val="24"/>
          <w:szCs w:val="24"/>
        </w:rPr>
      </w:pPr>
      <w:r w:rsidRPr="003F1CBA">
        <w:rPr>
          <w:sz w:val="24"/>
          <w:szCs w:val="24"/>
        </w:rPr>
        <w:t>Th</w:t>
      </w:r>
      <w:r w:rsidR="003F1CBA">
        <w:rPr>
          <w:sz w:val="24"/>
          <w:szCs w:val="24"/>
        </w:rPr>
        <w:t xml:space="preserve">e </w:t>
      </w:r>
      <w:r w:rsidRPr="003F1CBA">
        <w:rPr>
          <w:sz w:val="24"/>
          <w:szCs w:val="24"/>
        </w:rPr>
        <w:t xml:space="preserve">inquiry </w:t>
      </w:r>
      <w:r w:rsidR="003F1CBA">
        <w:rPr>
          <w:sz w:val="24"/>
          <w:szCs w:val="24"/>
        </w:rPr>
        <w:t xml:space="preserve">should </w:t>
      </w:r>
      <w:r w:rsidR="005156DA">
        <w:rPr>
          <w:sz w:val="24"/>
          <w:szCs w:val="24"/>
        </w:rPr>
        <w:t>have regard to</w:t>
      </w:r>
      <w:r w:rsidRPr="003F1CBA">
        <w:rPr>
          <w:sz w:val="24"/>
          <w:szCs w:val="24"/>
        </w:rPr>
        <w:t>:</w:t>
      </w:r>
    </w:p>
    <w:p w14:paraId="2339496E" w14:textId="1504F342" w:rsidR="00225272" w:rsidRPr="003F1CBA" w:rsidRDefault="00141623" w:rsidP="005A64BA">
      <w:pPr>
        <w:pStyle w:val="ListParagraph"/>
        <w:numPr>
          <w:ilvl w:val="0"/>
          <w:numId w:val="1"/>
        </w:numPr>
        <w:spacing w:after="0"/>
        <w:ind w:left="360"/>
        <w:rPr>
          <w:sz w:val="24"/>
          <w:szCs w:val="24"/>
        </w:rPr>
      </w:pPr>
      <w:r>
        <w:rPr>
          <w:sz w:val="24"/>
          <w:szCs w:val="24"/>
        </w:rPr>
        <w:t xml:space="preserve">the </w:t>
      </w:r>
      <w:r w:rsidR="00EA4D34" w:rsidRPr="003F1CBA">
        <w:rPr>
          <w:sz w:val="24"/>
          <w:szCs w:val="24"/>
        </w:rPr>
        <w:t xml:space="preserve">paradox in the Solicitor General’s opinion – </w:t>
      </w:r>
      <w:r w:rsidR="00225272" w:rsidRPr="003F1CBA">
        <w:rPr>
          <w:sz w:val="24"/>
          <w:szCs w:val="24"/>
        </w:rPr>
        <w:t>adherence to the Constitution</w:t>
      </w:r>
      <w:r w:rsidR="003F1CBA">
        <w:rPr>
          <w:sz w:val="24"/>
          <w:szCs w:val="24"/>
        </w:rPr>
        <w:t>’</w:t>
      </w:r>
      <w:r w:rsidR="00225272" w:rsidRPr="003F1CBA">
        <w:rPr>
          <w:sz w:val="24"/>
          <w:szCs w:val="24"/>
        </w:rPr>
        <w:t>s express terms could undermine its purpose of representative and responsible government;</w:t>
      </w:r>
    </w:p>
    <w:p w14:paraId="02DD094E" w14:textId="7DE98426" w:rsidR="00225272" w:rsidRPr="003F1CBA" w:rsidRDefault="00225272" w:rsidP="005A64BA">
      <w:pPr>
        <w:pStyle w:val="ListParagraph"/>
        <w:numPr>
          <w:ilvl w:val="0"/>
          <w:numId w:val="1"/>
        </w:numPr>
        <w:spacing w:after="0"/>
        <w:ind w:left="360"/>
        <w:rPr>
          <w:sz w:val="24"/>
          <w:szCs w:val="24"/>
        </w:rPr>
      </w:pPr>
      <w:r w:rsidRPr="003F1CBA">
        <w:rPr>
          <w:sz w:val="24"/>
          <w:szCs w:val="24"/>
        </w:rPr>
        <w:t xml:space="preserve">appointments </w:t>
      </w:r>
      <w:r w:rsidR="00595E24">
        <w:rPr>
          <w:sz w:val="24"/>
          <w:szCs w:val="24"/>
        </w:rPr>
        <w:t xml:space="preserve">of </w:t>
      </w:r>
      <w:r w:rsidR="005156DA">
        <w:rPr>
          <w:sz w:val="24"/>
          <w:szCs w:val="24"/>
        </w:rPr>
        <w:t>a</w:t>
      </w:r>
      <w:r w:rsidR="00595E24">
        <w:rPr>
          <w:sz w:val="24"/>
          <w:szCs w:val="24"/>
        </w:rPr>
        <w:t xml:space="preserve"> </w:t>
      </w:r>
      <w:r w:rsidR="005156DA">
        <w:rPr>
          <w:sz w:val="24"/>
          <w:szCs w:val="24"/>
        </w:rPr>
        <w:t>(</w:t>
      </w:r>
      <w:r w:rsidR="00595E24">
        <w:rPr>
          <w:sz w:val="24"/>
          <w:szCs w:val="24"/>
        </w:rPr>
        <w:t>Prime</w:t>
      </w:r>
      <w:r w:rsidR="005156DA">
        <w:rPr>
          <w:sz w:val="24"/>
          <w:szCs w:val="24"/>
        </w:rPr>
        <w:t>)</w:t>
      </w:r>
      <w:r w:rsidR="00595E24">
        <w:rPr>
          <w:sz w:val="24"/>
          <w:szCs w:val="24"/>
        </w:rPr>
        <w:t xml:space="preserve"> Minister </w:t>
      </w:r>
      <w:r w:rsidRPr="003F1CBA">
        <w:rPr>
          <w:sz w:val="24"/>
          <w:szCs w:val="24"/>
        </w:rPr>
        <w:t>to administer multiple Departments d</w:t>
      </w:r>
      <w:r w:rsidR="00744B08">
        <w:rPr>
          <w:sz w:val="24"/>
          <w:szCs w:val="24"/>
        </w:rPr>
        <w:t xml:space="preserve">oes </w:t>
      </w:r>
      <w:r w:rsidRPr="003F1CBA">
        <w:rPr>
          <w:sz w:val="24"/>
          <w:szCs w:val="24"/>
        </w:rPr>
        <w:t>not</w:t>
      </w:r>
      <w:r w:rsidR="007E2753">
        <w:rPr>
          <w:sz w:val="24"/>
          <w:szCs w:val="24"/>
        </w:rPr>
        <w:t xml:space="preserve"> </w:t>
      </w:r>
      <w:r w:rsidRPr="003F1CBA">
        <w:rPr>
          <w:sz w:val="24"/>
          <w:szCs w:val="24"/>
        </w:rPr>
        <w:t>undermine responsible government;</w:t>
      </w:r>
    </w:p>
    <w:p w14:paraId="4631B8BE" w14:textId="2F73418D" w:rsidR="00225272" w:rsidRPr="003F1CBA" w:rsidRDefault="00141623" w:rsidP="005A64BA">
      <w:pPr>
        <w:pStyle w:val="ListParagraph"/>
        <w:numPr>
          <w:ilvl w:val="0"/>
          <w:numId w:val="1"/>
        </w:numPr>
        <w:spacing w:after="0"/>
        <w:ind w:left="360"/>
        <w:rPr>
          <w:sz w:val="24"/>
          <w:szCs w:val="24"/>
        </w:rPr>
      </w:pPr>
      <w:r>
        <w:rPr>
          <w:sz w:val="24"/>
          <w:szCs w:val="24"/>
        </w:rPr>
        <w:t>o</w:t>
      </w:r>
      <w:r w:rsidR="00225272" w:rsidRPr="003F1CBA">
        <w:rPr>
          <w:sz w:val="24"/>
          <w:szCs w:val="24"/>
        </w:rPr>
        <w:t xml:space="preserve">f itself, non-disclosure of </w:t>
      </w:r>
      <w:r w:rsidR="00287501">
        <w:rPr>
          <w:sz w:val="24"/>
          <w:szCs w:val="24"/>
        </w:rPr>
        <w:t xml:space="preserve">the </w:t>
      </w:r>
      <w:r w:rsidR="00225272" w:rsidRPr="003F1CBA">
        <w:rPr>
          <w:sz w:val="24"/>
          <w:szCs w:val="24"/>
        </w:rPr>
        <w:t xml:space="preserve">appointments </w:t>
      </w:r>
      <w:r w:rsidR="00744B08">
        <w:rPr>
          <w:sz w:val="24"/>
          <w:szCs w:val="24"/>
        </w:rPr>
        <w:t xml:space="preserve">of Mr Morrison </w:t>
      </w:r>
      <w:r w:rsidR="00225272" w:rsidRPr="003F1CBA">
        <w:rPr>
          <w:sz w:val="24"/>
          <w:szCs w:val="24"/>
        </w:rPr>
        <w:t>d</w:t>
      </w:r>
      <w:r w:rsidR="00381FB7">
        <w:rPr>
          <w:sz w:val="24"/>
          <w:szCs w:val="24"/>
        </w:rPr>
        <w:t>id</w:t>
      </w:r>
      <w:r w:rsidR="00225272" w:rsidRPr="003F1CBA">
        <w:rPr>
          <w:sz w:val="24"/>
          <w:szCs w:val="24"/>
        </w:rPr>
        <w:t xml:space="preserve"> not </w:t>
      </w:r>
      <w:r w:rsidR="007E2753">
        <w:rPr>
          <w:sz w:val="24"/>
          <w:szCs w:val="24"/>
        </w:rPr>
        <w:t xml:space="preserve">directly </w:t>
      </w:r>
      <w:r w:rsidR="00225272" w:rsidRPr="003F1CBA">
        <w:rPr>
          <w:sz w:val="24"/>
          <w:szCs w:val="24"/>
        </w:rPr>
        <w:t>undermine responsible government;</w:t>
      </w:r>
    </w:p>
    <w:p w14:paraId="06754E46" w14:textId="1B5038E5" w:rsidR="005A64BA" w:rsidRPr="003F1CBA" w:rsidRDefault="00141623" w:rsidP="005A64BA">
      <w:pPr>
        <w:pStyle w:val="ListParagraph"/>
        <w:numPr>
          <w:ilvl w:val="0"/>
          <w:numId w:val="1"/>
        </w:numPr>
        <w:spacing w:after="0"/>
        <w:ind w:left="360"/>
        <w:rPr>
          <w:sz w:val="24"/>
          <w:szCs w:val="24"/>
        </w:rPr>
      </w:pPr>
      <w:r>
        <w:rPr>
          <w:sz w:val="24"/>
          <w:szCs w:val="24"/>
        </w:rPr>
        <w:t>n</w:t>
      </w:r>
      <w:r w:rsidR="00225272" w:rsidRPr="003F1CBA">
        <w:rPr>
          <w:sz w:val="24"/>
          <w:szCs w:val="24"/>
        </w:rPr>
        <w:t xml:space="preserve">onetheless, uncertainty </w:t>
      </w:r>
      <w:r w:rsidR="005A64BA" w:rsidRPr="003F1CBA">
        <w:rPr>
          <w:sz w:val="24"/>
          <w:szCs w:val="24"/>
        </w:rPr>
        <w:t xml:space="preserve">about Ministerial powers – which non-disclosure of appointments contributes to – creates conditions in which serious threats to </w:t>
      </w:r>
      <w:r w:rsidR="006F2CB5">
        <w:rPr>
          <w:sz w:val="24"/>
          <w:szCs w:val="24"/>
        </w:rPr>
        <w:t xml:space="preserve">the system of </w:t>
      </w:r>
      <w:r w:rsidR="005A64BA" w:rsidRPr="003F1CBA">
        <w:rPr>
          <w:sz w:val="24"/>
          <w:szCs w:val="24"/>
        </w:rPr>
        <w:t>government can emerge;</w:t>
      </w:r>
    </w:p>
    <w:p w14:paraId="1CDE10F6" w14:textId="119082AE" w:rsidR="005A64BA" w:rsidRPr="003F1CBA" w:rsidRDefault="00141623" w:rsidP="005A64BA">
      <w:pPr>
        <w:pStyle w:val="ListParagraph"/>
        <w:numPr>
          <w:ilvl w:val="0"/>
          <w:numId w:val="1"/>
        </w:numPr>
        <w:spacing w:after="0"/>
        <w:ind w:left="360"/>
        <w:rPr>
          <w:sz w:val="24"/>
          <w:szCs w:val="24"/>
        </w:rPr>
      </w:pPr>
      <w:r>
        <w:rPr>
          <w:sz w:val="24"/>
          <w:szCs w:val="24"/>
        </w:rPr>
        <w:t>o</w:t>
      </w:r>
      <w:r w:rsidR="005A64BA" w:rsidRPr="003F1CBA">
        <w:rPr>
          <w:sz w:val="24"/>
          <w:szCs w:val="24"/>
        </w:rPr>
        <w:t xml:space="preserve">ther </w:t>
      </w:r>
      <w:r w:rsidR="00B3414F">
        <w:rPr>
          <w:sz w:val="24"/>
          <w:szCs w:val="24"/>
        </w:rPr>
        <w:t>aspects</w:t>
      </w:r>
      <w:r w:rsidR="005A64BA" w:rsidRPr="003F1CBA">
        <w:rPr>
          <w:sz w:val="24"/>
          <w:szCs w:val="24"/>
        </w:rPr>
        <w:t xml:space="preserve"> of such uncertainty, which pre-existed the appointments</w:t>
      </w:r>
      <w:r w:rsidR="003F1CBA">
        <w:rPr>
          <w:sz w:val="24"/>
          <w:szCs w:val="24"/>
        </w:rPr>
        <w:t xml:space="preserve"> in question</w:t>
      </w:r>
      <w:r w:rsidR="005A64BA" w:rsidRPr="003F1CBA">
        <w:rPr>
          <w:sz w:val="24"/>
          <w:szCs w:val="24"/>
        </w:rPr>
        <w:t>, continue today and should be rigorously addressed by Parliament and the Government.</w:t>
      </w:r>
    </w:p>
    <w:p w14:paraId="7DA52790" w14:textId="0065F06F" w:rsidR="00DD2CDF" w:rsidRDefault="00DD2CDF" w:rsidP="005A64BA">
      <w:pPr>
        <w:spacing w:after="0"/>
      </w:pPr>
    </w:p>
    <w:p w14:paraId="61C58F2A" w14:textId="226AE149" w:rsidR="005A64BA" w:rsidRDefault="003F1CBA" w:rsidP="00B3414F">
      <w:pPr>
        <w:pStyle w:val="Heading2"/>
      </w:pPr>
      <w:r>
        <w:t>3.</w:t>
      </w:r>
      <w:r>
        <w:tab/>
        <w:t>Basis of recommendations</w:t>
      </w:r>
    </w:p>
    <w:p w14:paraId="79517C1E" w14:textId="38954C9C" w:rsidR="003F1CBA" w:rsidRDefault="003F1CBA" w:rsidP="00B3414F">
      <w:pPr>
        <w:pStyle w:val="Heading3"/>
      </w:pPr>
      <w:r>
        <w:t>3.a</w:t>
      </w:r>
      <w:r>
        <w:tab/>
        <w:t>Solicitor General opinion – paradox</w:t>
      </w:r>
    </w:p>
    <w:p w14:paraId="45736DD6" w14:textId="4A2D1E52" w:rsidR="003F1CBA" w:rsidRDefault="007E2753" w:rsidP="003F1CBA">
      <w:pPr>
        <w:spacing w:after="0"/>
        <w:rPr>
          <w:sz w:val="24"/>
          <w:szCs w:val="24"/>
        </w:rPr>
      </w:pPr>
      <w:r>
        <w:rPr>
          <w:sz w:val="24"/>
          <w:szCs w:val="24"/>
        </w:rPr>
        <w:t>A</w:t>
      </w:r>
      <w:r w:rsidR="00B3414F">
        <w:rPr>
          <w:sz w:val="24"/>
          <w:szCs w:val="24"/>
        </w:rPr>
        <w:t xml:space="preserve"> principal purpose of the Constitution is to establish a system of representative and responsible government.</w:t>
      </w:r>
      <w:r w:rsidR="005443AF">
        <w:rPr>
          <w:rStyle w:val="FootnoteReference"/>
          <w:sz w:val="24"/>
          <w:szCs w:val="24"/>
        </w:rPr>
        <w:footnoteReference w:id="2"/>
      </w:r>
    </w:p>
    <w:p w14:paraId="4F40DCF3" w14:textId="06693777" w:rsidR="00287501" w:rsidRDefault="00287501" w:rsidP="003F1CBA">
      <w:pPr>
        <w:spacing w:after="0"/>
        <w:rPr>
          <w:sz w:val="24"/>
          <w:szCs w:val="24"/>
        </w:rPr>
      </w:pPr>
    </w:p>
    <w:p w14:paraId="15E6558E" w14:textId="31BB95B0" w:rsidR="00E87BF9" w:rsidRDefault="00595E24" w:rsidP="003F1CBA">
      <w:pPr>
        <w:spacing w:after="0"/>
        <w:rPr>
          <w:sz w:val="24"/>
          <w:szCs w:val="24"/>
        </w:rPr>
      </w:pPr>
      <w:r>
        <w:rPr>
          <w:sz w:val="24"/>
          <w:szCs w:val="24"/>
        </w:rPr>
        <w:t>R</w:t>
      </w:r>
      <w:r w:rsidR="00287501">
        <w:rPr>
          <w:sz w:val="24"/>
          <w:szCs w:val="24"/>
        </w:rPr>
        <w:t xml:space="preserve">esponsible government is understood as meaning the </w:t>
      </w:r>
      <w:r>
        <w:rPr>
          <w:sz w:val="24"/>
          <w:szCs w:val="24"/>
        </w:rPr>
        <w:t xml:space="preserve">(Executive) </w:t>
      </w:r>
      <w:r w:rsidR="00287501">
        <w:rPr>
          <w:sz w:val="24"/>
          <w:szCs w:val="24"/>
        </w:rPr>
        <w:t xml:space="preserve">Government </w:t>
      </w:r>
      <w:r w:rsidR="00ED0B22">
        <w:rPr>
          <w:sz w:val="24"/>
          <w:szCs w:val="24"/>
        </w:rPr>
        <w:t xml:space="preserve">and Ministers are </w:t>
      </w:r>
      <w:r w:rsidR="00287501">
        <w:rPr>
          <w:sz w:val="24"/>
          <w:szCs w:val="24"/>
        </w:rPr>
        <w:t>potentially controlled by</w:t>
      </w:r>
      <w:r w:rsidR="00381FB7">
        <w:rPr>
          <w:sz w:val="24"/>
          <w:szCs w:val="24"/>
        </w:rPr>
        <w:t>,</w:t>
      </w:r>
      <w:r w:rsidR="00287501">
        <w:rPr>
          <w:sz w:val="24"/>
          <w:szCs w:val="24"/>
        </w:rPr>
        <w:t xml:space="preserve"> an</w:t>
      </w:r>
      <w:r w:rsidR="00381FB7">
        <w:rPr>
          <w:sz w:val="24"/>
          <w:szCs w:val="24"/>
        </w:rPr>
        <w:t>d</w:t>
      </w:r>
      <w:r w:rsidR="00287501">
        <w:rPr>
          <w:sz w:val="24"/>
          <w:szCs w:val="24"/>
        </w:rPr>
        <w:t xml:space="preserve"> account to</w:t>
      </w:r>
      <w:r>
        <w:rPr>
          <w:sz w:val="24"/>
          <w:szCs w:val="24"/>
        </w:rPr>
        <w:t>,</w:t>
      </w:r>
      <w:r w:rsidR="00ED0B22">
        <w:rPr>
          <w:sz w:val="24"/>
          <w:szCs w:val="24"/>
        </w:rPr>
        <w:t xml:space="preserve"> </w:t>
      </w:r>
      <w:r w:rsidR="00287501">
        <w:rPr>
          <w:sz w:val="24"/>
          <w:szCs w:val="24"/>
        </w:rPr>
        <w:t xml:space="preserve">Parliament.  </w:t>
      </w:r>
    </w:p>
    <w:p w14:paraId="2B9C3F7A" w14:textId="77777777" w:rsidR="00E87BF9" w:rsidRDefault="00E87BF9" w:rsidP="003F1CBA">
      <w:pPr>
        <w:spacing w:after="0"/>
        <w:rPr>
          <w:sz w:val="24"/>
          <w:szCs w:val="24"/>
        </w:rPr>
      </w:pPr>
    </w:p>
    <w:p w14:paraId="516D8FAD" w14:textId="07744B5E" w:rsidR="002A6CD8" w:rsidRDefault="00287501" w:rsidP="003F1CBA">
      <w:pPr>
        <w:spacing w:after="0"/>
        <w:rPr>
          <w:sz w:val="24"/>
          <w:szCs w:val="24"/>
        </w:rPr>
      </w:pPr>
      <w:r>
        <w:rPr>
          <w:sz w:val="24"/>
          <w:szCs w:val="24"/>
        </w:rPr>
        <w:lastRenderedPageBreak/>
        <w:t xml:space="preserve">Among the </w:t>
      </w:r>
      <w:r w:rsidR="00455823">
        <w:rPr>
          <w:sz w:val="24"/>
          <w:szCs w:val="24"/>
        </w:rPr>
        <w:t xml:space="preserve">Constitutional </w:t>
      </w:r>
      <w:r>
        <w:rPr>
          <w:sz w:val="24"/>
          <w:szCs w:val="24"/>
        </w:rPr>
        <w:t xml:space="preserve">mechanisms of control are: </w:t>
      </w:r>
      <w:r w:rsidR="00381FB7">
        <w:rPr>
          <w:sz w:val="24"/>
          <w:szCs w:val="24"/>
        </w:rPr>
        <w:t xml:space="preserve">a Minister </w:t>
      </w:r>
      <w:r w:rsidR="002A6CD8">
        <w:rPr>
          <w:sz w:val="24"/>
          <w:szCs w:val="24"/>
        </w:rPr>
        <w:t>must</w:t>
      </w:r>
      <w:r w:rsidR="00381FB7">
        <w:rPr>
          <w:sz w:val="24"/>
          <w:szCs w:val="24"/>
        </w:rPr>
        <w:t xml:space="preserve"> be a member of Parliament; the </w:t>
      </w:r>
      <w:r>
        <w:rPr>
          <w:sz w:val="24"/>
          <w:szCs w:val="24"/>
        </w:rPr>
        <w:t xml:space="preserve">ability </w:t>
      </w:r>
      <w:r w:rsidR="00381FB7">
        <w:rPr>
          <w:sz w:val="24"/>
          <w:szCs w:val="24"/>
        </w:rPr>
        <w:t>of Parliament to legislate to constrain Ministers.</w:t>
      </w:r>
      <w:r w:rsidR="00455823">
        <w:rPr>
          <w:sz w:val="24"/>
          <w:szCs w:val="24"/>
        </w:rPr>
        <w:t xml:space="preserve">  </w:t>
      </w:r>
    </w:p>
    <w:p w14:paraId="137C1105" w14:textId="77777777" w:rsidR="004432EC" w:rsidRDefault="004432EC" w:rsidP="003F1CBA">
      <w:pPr>
        <w:spacing w:after="0"/>
        <w:rPr>
          <w:sz w:val="24"/>
          <w:szCs w:val="24"/>
        </w:rPr>
      </w:pPr>
    </w:p>
    <w:p w14:paraId="0D8173E6" w14:textId="3FFA0828" w:rsidR="00287501" w:rsidRDefault="005156DA" w:rsidP="003F1CBA">
      <w:pPr>
        <w:spacing w:after="0"/>
        <w:rPr>
          <w:sz w:val="24"/>
          <w:szCs w:val="24"/>
        </w:rPr>
      </w:pPr>
      <w:r>
        <w:rPr>
          <w:sz w:val="24"/>
          <w:szCs w:val="24"/>
        </w:rPr>
        <w:t xml:space="preserve">By </w:t>
      </w:r>
      <w:r w:rsidR="00455823">
        <w:rPr>
          <w:sz w:val="24"/>
          <w:szCs w:val="24"/>
        </w:rPr>
        <w:t xml:space="preserve">convention </w:t>
      </w:r>
      <w:r w:rsidR="002A6CD8">
        <w:rPr>
          <w:sz w:val="24"/>
          <w:szCs w:val="24"/>
        </w:rPr>
        <w:t>M</w:t>
      </w:r>
      <w:r w:rsidR="00455823">
        <w:rPr>
          <w:sz w:val="24"/>
          <w:szCs w:val="24"/>
        </w:rPr>
        <w:t>inisters – and their proxies in the ‘other House’ – must answer Parliamentary questions.</w:t>
      </w:r>
      <w:r w:rsidR="00381FB7">
        <w:rPr>
          <w:rStyle w:val="FootnoteReference"/>
          <w:sz w:val="24"/>
          <w:szCs w:val="24"/>
        </w:rPr>
        <w:footnoteReference w:id="3"/>
      </w:r>
    </w:p>
    <w:p w14:paraId="007E0AF7" w14:textId="7E7748DE" w:rsidR="00B3414F" w:rsidRDefault="00B3414F" w:rsidP="003F1CBA">
      <w:pPr>
        <w:spacing w:after="0"/>
        <w:rPr>
          <w:sz w:val="24"/>
          <w:szCs w:val="24"/>
        </w:rPr>
      </w:pPr>
    </w:p>
    <w:p w14:paraId="72BF101E" w14:textId="77777777" w:rsidR="005443AF" w:rsidRDefault="005443AF" w:rsidP="003F1CBA">
      <w:pPr>
        <w:spacing w:after="0"/>
        <w:rPr>
          <w:sz w:val="24"/>
          <w:szCs w:val="24"/>
        </w:rPr>
      </w:pPr>
      <w:r>
        <w:rPr>
          <w:sz w:val="24"/>
          <w:szCs w:val="24"/>
        </w:rPr>
        <w:t>The Solicitor General’s opinion was to the effect:</w:t>
      </w:r>
    </w:p>
    <w:p w14:paraId="0376537D" w14:textId="569B8464" w:rsidR="005443AF" w:rsidRPr="005443AF" w:rsidRDefault="002879A3" w:rsidP="002879A3">
      <w:pPr>
        <w:pStyle w:val="ListParagraph"/>
        <w:numPr>
          <w:ilvl w:val="0"/>
          <w:numId w:val="4"/>
        </w:numPr>
        <w:spacing w:after="0"/>
        <w:ind w:left="360"/>
        <w:rPr>
          <w:sz w:val="24"/>
          <w:szCs w:val="24"/>
        </w:rPr>
      </w:pPr>
      <w:r>
        <w:rPr>
          <w:sz w:val="24"/>
          <w:szCs w:val="24"/>
        </w:rPr>
        <w:t>t</w:t>
      </w:r>
      <w:r w:rsidR="005443AF" w:rsidRPr="005443AF">
        <w:rPr>
          <w:sz w:val="24"/>
          <w:szCs w:val="24"/>
        </w:rPr>
        <w:t>he appointments conformed with Constitutional requirements and were valid;</w:t>
      </w:r>
    </w:p>
    <w:p w14:paraId="4133741F" w14:textId="6503A874" w:rsidR="00B3414F" w:rsidRPr="005443AF" w:rsidRDefault="002879A3" w:rsidP="002879A3">
      <w:pPr>
        <w:pStyle w:val="ListParagraph"/>
        <w:numPr>
          <w:ilvl w:val="0"/>
          <w:numId w:val="4"/>
        </w:numPr>
        <w:spacing w:after="0"/>
        <w:ind w:left="360"/>
        <w:rPr>
          <w:sz w:val="24"/>
          <w:szCs w:val="24"/>
        </w:rPr>
      </w:pPr>
      <w:r>
        <w:rPr>
          <w:sz w:val="24"/>
          <w:szCs w:val="24"/>
        </w:rPr>
        <w:t>n</w:t>
      </w:r>
      <w:r w:rsidR="005443AF" w:rsidRPr="005443AF">
        <w:rPr>
          <w:sz w:val="24"/>
          <w:szCs w:val="24"/>
        </w:rPr>
        <w:t>on-disclosure of the appointments undermined responsible government.</w:t>
      </w:r>
    </w:p>
    <w:p w14:paraId="00993615" w14:textId="10BC8079" w:rsidR="005443AF" w:rsidRDefault="005443AF" w:rsidP="003F1CBA">
      <w:pPr>
        <w:spacing w:after="0"/>
        <w:rPr>
          <w:sz w:val="24"/>
          <w:szCs w:val="24"/>
        </w:rPr>
      </w:pPr>
    </w:p>
    <w:p w14:paraId="2A996851" w14:textId="2E7658B0" w:rsidR="005443AF" w:rsidRDefault="005443AF" w:rsidP="003F1CBA">
      <w:pPr>
        <w:spacing w:after="0"/>
        <w:rPr>
          <w:sz w:val="24"/>
          <w:szCs w:val="24"/>
        </w:rPr>
      </w:pPr>
      <w:r>
        <w:rPr>
          <w:sz w:val="24"/>
          <w:szCs w:val="24"/>
        </w:rPr>
        <w:t>The result is paradoxical: conformance with the Constitution can undermine its purpose.</w:t>
      </w:r>
    </w:p>
    <w:p w14:paraId="5E1483F6" w14:textId="632CCEF4" w:rsidR="005443AF" w:rsidRDefault="005443AF" w:rsidP="003F1CBA">
      <w:pPr>
        <w:spacing w:after="0"/>
        <w:rPr>
          <w:sz w:val="24"/>
          <w:szCs w:val="24"/>
        </w:rPr>
      </w:pPr>
    </w:p>
    <w:p w14:paraId="5E4D4857" w14:textId="73A69164" w:rsidR="005443AF" w:rsidRDefault="008C7A7F" w:rsidP="003F1CBA">
      <w:pPr>
        <w:spacing w:after="0"/>
        <w:rPr>
          <w:sz w:val="24"/>
          <w:szCs w:val="24"/>
        </w:rPr>
      </w:pPr>
      <w:r>
        <w:rPr>
          <w:sz w:val="24"/>
          <w:szCs w:val="24"/>
        </w:rPr>
        <w:t>T</w:t>
      </w:r>
      <w:r w:rsidR="005443AF">
        <w:rPr>
          <w:sz w:val="24"/>
          <w:szCs w:val="24"/>
        </w:rPr>
        <w:t>he Constitutional purpose of representative and responsible government</w:t>
      </w:r>
      <w:r w:rsidR="00595E24">
        <w:rPr>
          <w:sz w:val="24"/>
          <w:szCs w:val="24"/>
        </w:rPr>
        <w:t xml:space="preserve"> has significant implication</w:t>
      </w:r>
      <w:r w:rsidR="005D79B5">
        <w:rPr>
          <w:sz w:val="24"/>
          <w:szCs w:val="24"/>
        </w:rPr>
        <w:t>s</w:t>
      </w:r>
      <w:r>
        <w:rPr>
          <w:sz w:val="24"/>
          <w:szCs w:val="24"/>
        </w:rPr>
        <w:t>.  One is</w:t>
      </w:r>
      <w:r w:rsidR="00744B08">
        <w:rPr>
          <w:sz w:val="24"/>
          <w:szCs w:val="24"/>
        </w:rPr>
        <w:t>:</w:t>
      </w:r>
      <w:r w:rsidR="005443AF">
        <w:rPr>
          <w:sz w:val="24"/>
          <w:szCs w:val="24"/>
        </w:rPr>
        <w:t xml:space="preserve"> </w:t>
      </w:r>
      <w:r w:rsidR="005D79B5">
        <w:rPr>
          <w:sz w:val="24"/>
          <w:szCs w:val="24"/>
        </w:rPr>
        <w:t>legislation cannot unduly burden its</w:t>
      </w:r>
      <w:r w:rsidR="005443AF">
        <w:rPr>
          <w:sz w:val="24"/>
          <w:szCs w:val="24"/>
        </w:rPr>
        <w:t xml:space="preserve"> implied freedom of political </w:t>
      </w:r>
      <w:r w:rsidR="00D31F82">
        <w:rPr>
          <w:sz w:val="24"/>
          <w:szCs w:val="24"/>
        </w:rPr>
        <w:t>communication</w:t>
      </w:r>
      <w:r w:rsidR="005443AF">
        <w:rPr>
          <w:sz w:val="24"/>
          <w:szCs w:val="24"/>
        </w:rPr>
        <w:t>.</w:t>
      </w:r>
    </w:p>
    <w:p w14:paraId="262916E5" w14:textId="77777777" w:rsidR="00DE6E51" w:rsidRDefault="00DE6E51" w:rsidP="003F1CBA">
      <w:pPr>
        <w:spacing w:after="0"/>
        <w:rPr>
          <w:sz w:val="24"/>
          <w:szCs w:val="24"/>
        </w:rPr>
      </w:pPr>
    </w:p>
    <w:p w14:paraId="19AD3ED8" w14:textId="28593EA9" w:rsidR="002879A3" w:rsidRDefault="002879A3" w:rsidP="003F1CBA">
      <w:pPr>
        <w:spacing w:after="0"/>
        <w:rPr>
          <w:sz w:val="24"/>
          <w:szCs w:val="24"/>
        </w:rPr>
      </w:pPr>
      <w:r>
        <w:rPr>
          <w:sz w:val="24"/>
          <w:szCs w:val="24"/>
        </w:rPr>
        <w:t xml:space="preserve">If legislation is unable to undermine that </w:t>
      </w:r>
      <w:r w:rsidR="005D79B5">
        <w:rPr>
          <w:sz w:val="24"/>
          <w:szCs w:val="24"/>
        </w:rPr>
        <w:t>implication,</w:t>
      </w:r>
      <w:r>
        <w:rPr>
          <w:sz w:val="24"/>
          <w:szCs w:val="24"/>
        </w:rPr>
        <w:t xml:space="preserve"> </w:t>
      </w:r>
      <w:r w:rsidR="00E12404">
        <w:rPr>
          <w:sz w:val="24"/>
          <w:szCs w:val="24"/>
        </w:rPr>
        <w:t xml:space="preserve">it would seem </w:t>
      </w:r>
      <w:r>
        <w:rPr>
          <w:sz w:val="24"/>
          <w:szCs w:val="24"/>
        </w:rPr>
        <w:t xml:space="preserve">behaviour of the </w:t>
      </w:r>
      <w:r w:rsidR="005D79B5">
        <w:rPr>
          <w:sz w:val="24"/>
          <w:szCs w:val="24"/>
        </w:rPr>
        <w:t>Executive</w:t>
      </w:r>
      <w:r w:rsidR="002A6CD8">
        <w:rPr>
          <w:sz w:val="24"/>
          <w:szCs w:val="24"/>
        </w:rPr>
        <w:t xml:space="preserve"> </w:t>
      </w:r>
      <w:r w:rsidR="00E12404">
        <w:rPr>
          <w:sz w:val="24"/>
          <w:szCs w:val="24"/>
        </w:rPr>
        <w:t xml:space="preserve">cannot </w:t>
      </w:r>
      <w:r>
        <w:rPr>
          <w:sz w:val="24"/>
          <w:szCs w:val="24"/>
        </w:rPr>
        <w:t xml:space="preserve">undermine </w:t>
      </w:r>
      <w:r w:rsidR="005D79B5">
        <w:rPr>
          <w:sz w:val="24"/>
          <w:szCs w:val="24"/>
        </w:rPr>
        <w:t>th</w:t>
      </w:r>
      <w:r w:rsidR="00744B08">
        <w:rPr>
          <w:sz w:val="24"/>
          <w:szCs w:val="24"/>
        </w:rPr>
        <w:t>at</w:t>
      </w:r>
      <w:r w:rsidR="005D79B5">
        <w:rPr>
          <w:sz w:val="24"/>
          <w:szCs w:val="24"/>
        </w:rPr>
        <w:t xml:space="preserve"> Constitutional purpose</w:t>
      </w:r>
      <w:r w:rsidR="00E12404">
        <w:rPr>
          <w:sz w:val="24"/>
          <w:szCs w:val="24"/>
        </w:rPr>
        <w:t xml:space="preserve"> </w:t>
      </w:r>
      <w:r w:rsidR="000417B7">
        <w:rPr>
          <w:sz w:val="24"/>
          <w:szCs w:val="24"/>
        </w:rPr>
        <w:t xml:space="preserve">while </w:t>
      </w:r>
      <w:r w:rsidR="00E12404">
        <w:rPr>
          <w:sz w:val="24"/>
          <w:szCs w:val="24"/>
        </w:rPr>
        <w:t>be</w:t>
      </w:r>
      <w:r w:rsidR="000417B7">
        <w:rPr>
          <w:sz w:val="24"/>
          <w:szCs w:val="24"/>
        </w:rPr>
        <w:t>ing</w:t>
      </w:r>
      <w:r w:rsidR="00E12404">
        <w:rPr>
          <w:sz w:val="24"/>
          <w:szCs w:val="24"/>
        </w:rPr>
        <w:t xml:space="preserve"> considered lawful</w:t>
      </w:r>
      <w:r w:rsidR="00DE6E51">
        <w:rPr>
          <w:sz w:val="24"/>
          <w:szCs w:val="24"/>
        </w:rPr>
        <w:t xml:space="preserve">.  </w:t>
      </w:r>
      <w:r w:rsidR="002A6CD8">
        <w:rPr>
          <w:sz w:val="24"/>
          <w:szCs w:val="24"/>
        </w:rPr>
        <w:t xml:space="preserve">  </w:t>
      </w:r>
      <w:r>
        <w:rPr>
          <w:sz w:val="24"/>
          <w:szCs w:val="24"/>
        </w:rPr>
        <w:t xml:space="preserve">  </w:t>
      </w:r>
    </w:p>
    <w:p w14:paraId="7FAB29D1" w14:textId="06F088DC" w:rsidR="002879A3" w:rsidRDefault="002879A3" w:rsidP="003F1CBA">
      <w:pPr>
        <w:spacing w:after="0"/>
        <w:rPr>
          <w:sz w:val="24"/>
          <w:szCs w:val="24"/>
        </w:rPr>
      </w:pPr>
    </w:p>
    <w:p w14:paraId="6A6ADDB9" w14:textId="74DB4664" w:rsidR="00DE6E51" w:rsidRDefault="005D79B5" w:rsidP="003F1CBA">
      <w:pPr>
        <w:spacing w:after="0"/>
        <w:rPr>
          <w:sz w:val="24"/>
          <w:szCs w:val="24"/>
        </w:rPr>
      </w:pPr>
      <w:r>
        <w:rPr>
          <w:sz w:val="24"/>
          <w:szCs w:val="24"/>
        </w:rPr>
        <w:t>Without further explanation</w:t>
      </w:r>
      <w:r w:rsidR="00DE6E51">
        <w:rPr>
          <w:sz w:val="24"/>
          <w:szCs w:val="24"/>
        </w:rPr>
        <w:t>, the paradox in the Solicitor General’s opinion has the potential to reduce Government and Parliamentary appreciation of the importance of responsible government.</w:t>
      </w:r>
    </w:p>
    <w:p w14:paraId="01A00C32" w14:textId="77777777" w:rsidR="005443AF" w:rsidRPr="00B3414F" w:rsidRDefault="005443AF" w:rsidP="003F1CBA">
      <w:pPr>
        <w:spacing w:after="0"/>
        <w:rPr>
          <w:sz w:val="24"/>
          <w:szCs w:val="24"/>
        </w:rPr>
      </w:pPr>
    </w:p>
    <w:p w14:paraId="32682F32" w14:textId="24535F1D" w:rsidR="003F1CBA" w:rsidRDefault="003F1CBA" w:rsidP="00B3414F">
      <w:pPr>
        <w:pStyle w:val="Heading3"/>
      </w:pPr>
      <w:r>
        <w:t>3b.</w:t>
      </w:r>
      <w:r>
        <w:tab/>
        <w:t>Appointments to multiple Departments</w:t>
      </w:r>
    </w:p>
    <w:p w14:paraId="623CD2FC" w14:textId="07BA4517" w:rsidR="00B25733" w:rsidRDefault="00B25733" w:rsidP="005A64BA">
      <w:pPr>
        <w:spacing w:after="0"/>
        <w:rPr>
          <w:sz w:val="24"/>
          <w:szCs w:val="24"/>
        </w:rPr>
      </w:pPr>
      <w:r>
        <w:rPr>
          <w:sz w:val="24"/>
          <w:szCs w:val="24"/>
        </w:rPr>
        <w:t>More than one person can be appointed to administer</w:t>
      </w:r>
      <w:r w:rsidR="00ED0B22">
        <w:rPr>
          <w:sz w:val="24"/>
          <w:szCs w:val="24"/>
        </w:rPr>
        <w:t>, at any given time,</w:t>
      </w:r>
      <w:r>
        <w:rPr>
          <w:sz w:val="24"/>
          <w:szCs w:val="24"/>
        </w:rPr>
        <w:t xml:space="preserve"> a Department.</w:t>
      </w:r>
      <w:r>
        <w:rPr>
          <w:rStyle w:val="FootnoteReference"/>
          <w:sz w:val="24"/>
          <w:szCs w:val="24"/>
        </w:rPr>
        <w:footnoteReference w:id="4"/>
      </w:r>
    </w:p>
    <w:p w14:paraId="3760C996" w14:textId="77777777" w:rsidR="00B25733" w:rsidRDefault="00B25733" w:rsidP="005A64BA">
      <w:pPr>
        <w:spacing w:after="0"/>
        <w:rPr>
          <w:sz w:val="24"/>
          <w:szCs w:val="24"/>
        </w:rPr>
      </w:pPr>
    </w:p>
    <w:p w14:paraId="1B07B68D" w14:textId="42568A30" w:rsidR="005A64BA" w:rsidRDefault="00B25733" w:rsidP="005A64BA">
      <w:pPr>
        <w:spacing w:after="0"/>
        <w:rPr>
          <w:sz w:val="24"/>
          <w:szCs w:val="24"/>
        </w:rPr>
      </w:pPr>
      <w:r>
        <w:rPr>
          <w:sz w:val="24"/>
          <w:szCs w:val="24"/>
        </w:rPr>
        <w:t xml:space="preserve">It </w:t>
      </w:r>
      <w:r w:rsidR="00ED0B22">
        <w:rPr>
          <w:sz w:val="24"/>
          <w:szCs w:val="24"/>
        </w:rPr>
        <w:t>seems</w:t>
      </w:r>
      <w:r>
        <w:rPr>
          <w:sz w:val="24"/>
          <w:szCs w:val="24"/>
        </w:rPr>
        <w:t xml:space="preserve"> </w:t>
      </w:r>
      <w:r w:rsidR="00DE6E51">
        <w:rPr>
          <w:sz w:val="24"/>
          <w:szCs w:val="24"/>
        </w:rPr>
        <w:t>a person can be appointed to administer</w:t>
      </w:r>
      <w:r w:rsidR="00ED0B22">
        <w:rPr>
          <w:sz w:val="24"/>
          <w:szCs w:val="24"/>
        </w:rPr>
        <w:t>, at any given time,</w:t>
      </w:r>
      <w:r w:rsidR="00DE6E51">
        <w:rPr>
          <w:sz w:val="24"/>
          <w:szCs w:val="24"/>
        </w:rPr>
        <w:t xml:space="preserve"> </w:t>
      </w:r>
      <w:r w:rsidR="00ED0B22">
        <w:rPr>
          <w:sz w:val="24"/>
          <w:szCs w:val="24"/>
        </w:rPr>
        <w:t>several</w:t>
      </w:r>
      <w:r w:rsidR="00DE6E51">
        <w:rPr>
          <w:sz w:val="24"/>
          <w:szCs w:val="24"/>
        </w:rPr>
        <w:t xml:space="preserve"> Departments.</w:t>
      </w:r>
      <w:r w:rsidR="00DE6E51">
        <w:rPr>
          <w:rStyle w:val="FootnoteReference"/>
          <w:sz w:val="24"/>
          <w:szCs w:val="24"/>
        </w:rPr>
        <w:footnoteReference w:id="5"/>
      </w:r>
    </w:p>
    <w:p w14:paraId="22DC636D" w14:textId="7BDF1C3E" w:rsidR="00B25733" w:rsidRDefault="00B25733" w:rsidP="005A64BA">
      <w:pPr>
        <w:spacing w:after="0"/>
        <w:rPr>
          <w:sz w:val="24"/>
          <w:szCs w:val="24"/>
        </w:rPr>
      </w:pPr>
    </w:p>
    <w:p w14:paraId="394B79F3" w14:textId="11737979" w:rsidR="00B25733" w:rsidRDefault="00287501" w:rsidP="005A64BA">
      <w:pPr>
        <w:spacing w:after="0"/>
        <w:rPr>
          <w:sz w:val="24"/>
          <w:szCs w:val="24"/>
        </w:rPr>
      </w:pPr>
      <w:r>
        <w:rPr>
          <w:sz w:val="24"/>
          <w:szCs w:val="24"/>
        </w:rPr>
        <w:t>Neither circumstance appears to weaken responsible government.</w:t>
      </w:r>
    </w:p>
    <w:p w14:paraId="0F488D49" w14:textId="77777777" w:rsidR="00287501" w:rsidRPr="00B3414F" w:rsidRDefault="00287501" w:rsidP="005A64BA">
      <w:pPr>
        <w:spacing w:after="0"/>
        <w:rPr>
          <w:sz w:val="24"/>
          <w:szCs w:val="24"/>
        </w:rPr>
      </w:pPr>
    </w:p>
    <w:p w14:paraId="70CF3C03" w14:textId="0ABE007A" w:rsidR="003F1CBA" w:rsidRDefault="00B3414F" w:rsidP="00B3414F">
      <w:pPr>
        <w:pStyle w:val="Heading3"/>
      </w:pPr>
      <w:r>
        <w:t>3c.</w:t>
      </w:r>
      <w:r>
        <w:tab/>
        <w:t>Non- disclosure of appointments</w:t>
      </w:r>
    </w:p>
    <w:p w14:paraId="45031D66" w14:textId="153D50F8" w:rsidR="00287501" w:rsidRDefault="00287501" w:rsidP="005A64BA">
      <w:pPr>
        <w:spacing w:after="0"/>
        <w:rPr>
          <w:sz w:val="24"/>
          <w:szCs w:val="24"/>
        </w:rPr>
      </w:pPr>
      <w:r>
        <w:rPr>
          <w:sz w:val="24"/>
          <w:szCs w:val="24"/>
        </w:rPr>
        <w:t>Among the salient facts</w:t>
      </w:r>
      <w:r w:rsidR="00751AE3">
        <w:rPr>
          <w:sz w:val="24"/>
          <w:szCs w:val="24"/>
        </w:rPr>
        <w:t xml:space="preserve"> </w:t>
      </w:r>
      <w:r>
        <w:rPr>
          <w:sz w:val="24"/>
          <w:szCs w:val="24"/>
        </w:rPr>
        <w:t>are</w:t>
      </w:r>
      <w:r w:rsidR="00751AE3">
        <w:rPr>
          <w:sz w:val="24"/>
          <w:szCs w:val="24"/>
        </w:rPr>
        <w:t>:</w:t>
      </w:r>
      <w:r>
        <w:rPr>
          <w:sz w:val="24"/>
          <w:szCs w:val="24"/>
        </w:rPr>
        <w:t xml:space="preserve"> </w:t>
      </w:r>
      <w:r w:rsidR="00744B08">
        <w:rPr>
          <w:sz w:val="24"/>
          <w:szCs w:val="24"/>
        </w:rPr>
        <w:t xml:space="preserve">the </w:t>
      </w:r>
      <w:r>
        <w:rPr>
          <w:sz w:val="24"/>
          <w:szCs w:val="24"/>
        </w:rPr>
        <w:t xml:space="preserve">appointments </w:t>
      </w:r>
      <w:r w:rsidR="00744B08">
        <w:rPr>
          <w:sz w:val="24"/>
          <w:szCs w:val="24"/>
        </w:rPr>
        <w:t xml:space="preserve">were </w:t>
      </w:r>
      <w:r>
        <w:rPr>
          <w:sz w:val="24"/>
          <w:szCs w:val="24"/>
        </w:rPr>
        <w:t xml:space="preserve">of </w:t>
      </w:r>
      <w:r w:rsidR="005A3C3D">
        <w:rPr>
          <w:sz w:val="24"/>
          <w:szCs w:val="24"/>
        </w:rPr>
        <w:t xml:space="preserve">the </w:t>
      </w:r>
      <w:r>
        <w:rPr>
          <w:sz w:val="24"/>
          <w:szCs w:val="24"/>
        </w:rPr>
        <w:t>hold</w:t>
      </w:r>
      <w:r w:rsidR="005A3C3D">
        <w:rPr>
          <w:sz w:val="24"/>
          <w:szCs w:val="24"/>
        </w:rPr>
        <w:t>er of</w:t>
      </w:r>
      <w:r>
        <w:rPr>
          <w:sz w:val="24"/>
          <w:szCs w:val="24"/>
        </w:rPr>
        <w:t xml:space="preserve"> </w:t>
      </w:r>
      <w:r w:rsidR="00904B25">
        <w:rPr>
          <w:sz w:val="24"/>
          <w:szCs w:val="24"/>
        </w:rPr>
        <w:t>office</w:t>
      </w:r>
      <w:r>
        <w:rPr>
          <w:sz w:val="24"/>
          <w:szCs w:val="24"/>
        </w:rPr>
        <w:t xml:space="preserve"> of Prime Minister</w:t>
      </w:r>
      <w:r w:rsidR="008C7A7F">
        <w:rPr>
          <w:sz w:val="24"/>
          <w:szCs w:val="24"/>
        </w:rPr>
        <w:t xml:space="preserve">; at least the first </w:t>
      </w:r>
      <w:r w:rsidR="00744B08">
        <w:rPr>
          <w:sz w:val="24"/>
          <w:szCs w:val="24"/>
        </w:rPr>
        <w:t xml:space="preserve">appointment </w:t>
      </w:r>
      <w:r w:rsidR="008C7A7F">
        <w:rPr>
          <w:sz w:val="24"/>
          <w:szCs w:val="24"/>
        </w:rPr>
        <w:t>was part of response</w:t>
      </w:r>
      <w:r w:rsidR="00744B08">
        <w:rPr>
          <w:sz w:val="24"/>
          <w:szCs w:val="24"/>
        </w:rPr>
        <w:t>s</w:t>
      </w:r>
      <w:r w:rsidR="008C7A7F">
        <w:rPr>
          <w:sz w:val="24"/>
          <w:szCs w:val="24"/>
        </w:rPr>
        <w:t xml:space="preserve"> to the pandemic</w:t>
      </w:r>
      <w:r>
        <w:rPr>
          <w:sz w:val="24"/>
          <w:szCs w:val="24"/>
        </w:rPr>
        <w:t>.</w:t>
      </w:r>
      <w:r w:rsidR="008C7A7F">
        <w:rPr>
          <w:rStyle w:val="FootnoteReference"/>
          <w:sz w:val="24"/>
          <w:szCs w:val="24"/>
        </w:rPr>
        <w:footnoteReference w:id="6"/>
      </w:r>
    </w:p>
    <w:p w14:paraId="3D7422B6" w14:textId="77777777" w:rsidR="00287501" w:rsidRDefault="00287501" w:rsidP="005A64BA">
      <w:pPr>
        <w:spacing w:after="0"/>
        <w:rPr>
          <w:sz w:val="24"/>
          <w:szCs w:val="24"/>
        </w:rPr>
      </w:pPr>
    </w:p>
    <w:p w14:paraId="18B5422B" w14:textId="3E12312B" w:rsidR="00287501" w:rsidRPr="00455823" w:rsidRDefault="00A35A2A" w:rsidP="005A64BA">
      <w:pPr>
        <w:spacing w:after="0"/>
        <w:rPr>
          <w:sz w:val="24"/>
          <w:szCs w:val="24"/>
        </w:rPr>
      </w:pPr>
      <w:r>
        <w:rPr>
          <w:sz w:val="24"/>
          <w:szCs w:val="24"/>
        </w:rPr>
        <w:t xml:space="preserve">With these facts, </w:t>
      </w:r>
      <w:r w:rsidR="00BB3FAB">
        <w:rPr>
          <w:sz w:val="24"/>
          <w:szCs w:val="24"/>
        </w:rPr>
        <w:t>the</w:t>
      </w:r>
      <w:r w:rsidR="00287501">
        <w:rPr>
          <w:sz w:val="24"/>
          <w:szCs w:val="24"/>
        </w:rPr>
        <w:t xml:space="preserve"> appointments of themselves </w:t>
      </w:r>
      <w:r w:rsidR="000B10BD">
        <w:rPr>
          <w:sz w:val="24"/>
          <w:szCs w:val="24"/>
        </w:rPr>
        <w:t>we</w:t>
      </w:r>
      <w:r w:rsidR="00751AE3">
        <w:rPr>
          <w:sz w:val="24"/>
          <w:szCs w:val="24"/>
        </w:rPr>
        <w:t>re unlikely to</w:t>
      </w:r>
      <w:r w:rsidR="00287501">
        <w:rPr>
          <w:sz w:val="24"/>
          <w:szCs w:val="24"/>
        </w:rPr>
        <w:t xml:space="preserve"> undermine responsible government</w:t>
      </w:r>
      <w:r w:rsidR="00455823">
        <w:rPr>
          <w:sz w:val="24"/>
          <w:szCs w:val="24"/>
        </w:rPr>
        <w:t>:</w:t>
      </w:r>
    </w:p>
    <w:p w14:paraId="39AC2490" w14:textId="3BCE36AC" w:rsidR="00455823" w:rsidRPr="00455823" w:rsidRDefault="00455823" w:rsidP="00455823">
      <w:pPr>
        <w:pStyle w:val="ListParagraph"/>
        <w:numPr>
          <w:ilvl w:val="0"/>
          <w:numId w:val="5"/>
        </w:numPr>
        <w:spacing w:after="0"/>
        <w:ind w:left="360"/>
        <w:rPr>
          <w:sz w:val="24"/>
          <w:szCs w:val="24"/>
        </w:rPr>
      </w:pPr>
      <w:r w:rsidRPr="00455823">
        <w:rPr>
          <w:sz w:val="24"/>
          <w:szCs w:val="24"/>
        </w:rPr>
        <w:t xml:space="preserve">Constitutional mechanisms </w:t>
      </w:r>
      <w:r w:rsidR="006D59C5">
        <w:rPr>
          <w:sz w:val="24"/>
          <w:szCs w:val="24"/>
        </w:rPr>
        <w:t>for</w:t>
      </w:r>
      <w:r w:rsidRPr="00455823">
        <w:rPr>
          <w:sz w:val="24"/>
          <w:szCs w:val="24"/>
        </w:rPr>
        <w:t xml:space="preserve"> Parliament</w:t>
      </w:r>
      <w:r w:rsidR="006D59C5">
        <w:rPr>
          <w:sz w:val="24"/>
          <w:szCs w:val="24"/>
        </w:rPr>
        <w:t xml:space="preserve"> to</w:t>
      </w:r>
      <w:r w:rsidRPr="00455823">
        <w:rPr>
          <w:sz w:val="24"/>
          <w:szCs w:val="24"/>
        </w:rPr>
        <w:t xml:space="preserve"> control the Government were unaffected;</w:t>
      </w:r>
    </w:p>
    <w:p w14:paraId="1D9C49E7" w14:textId="65A21615" w:rsidR="00455823" w:rsidRPr="00455823" w:rsidRDefault="006D59C5" w:rsidP="00455823">
      <w:pPr>
        <w:pStyle w:val="ListParagraph"/>
        <w:numPr>
          <w:ilvl w:val="0"/>
          <w:numId w:val="5"/>
        </w:numPr>
        <w:spacing w:after="0"/>
        <w:ind w:left="360"/>
        <w:rPr>
          <w:sz w:val="24"/>
          <w:szCs w:val="24"/>
        </w:rPr>
      </w:pPr>
      <w:r w:rsidRPr="00455823">
        <w:rPr>
          <w:sz w:val="24"/>
          <w:szCs w:val="24"/>
        </w:rPr>
        <w:lastRenderedPageBreak/>
        <w:t>Parliament’s oversight of the Government</w:t>
      </w:r>
      <w:r>
        <w:rPr>
          <w:sz w:val="24"/>
          <w:szCs w:val="24"/>
        </w:rPr>
        <w:t xml:space="preserve"> </w:t>
      </w:r>
      <w:r w:rsidR="00751AE3">
        <w:rPr>
          <w:sz w:val="24"/>
          <w:szCs w:val="24"/>
        </w:rPr>
        <w:t>was not impeded</w:t>
      </w:r>
      <w:r w:rsidR="00744B08">
        <w:rPr>
          <w:sz w:val="24"/>
          <w:szCs w:val="24"/>
        </w:rPr>
        <w:t>.  A</w:t>
      </w:r>
      <w:r w:rsidR="00455823" w:rsidRPr="00455823">
        <w:rPr>
          <w:sz w:val="24"/>
          <w:szCs w:val="24"/>
        </w:rPr>
        <w:t>t all times, the identity of a Minister administering each Department was known</w:t>
      </w:r>
      <w:r>
        <w:rPr>
          <w:sz w:val="24"/>
          <w:szCs w:val="24"/>
        </w:rPr>
        <w:t>;</w:t>
      </w:r>
      <w:r w:rsidR="00455823" w:rsidRPr="00455823">
        <w:rPr>
          <w:sz w:val="24"/>
          <w:szCs w:val="24"/>
        </w:rPr>
        <w:t xml:space="preserve">  </w:t>
      </w:r>
    </w:p>
    <w:p w14:paraId="0FCBF2DF" w14:textId="0D3863F4" w:rsidR="00455823" w:rsidRPr="00455823" w:rsidRDefault="00455823" w:rsidP="00455823">
      <w:pPr>
        <w:pStyle w:val="ListParagraph"/>
        <w:numPr>
          <w:ilvl w:val="0"/>
          <w:numId w:val="5"/>
        </w:numPr>
        <w:spacing w:after="0"/>
        <w:ind w:left="360"/>
        <w:rPr>
          <w:sz w:val="24"/>
          <w:szCs w:val="24"/>
        </w:rPr>
      </w:pPr>
      <w:r w:rsidRPr="00455823">
        <w:rPr>
          <w:sz w:val="24"/>
          <w:szCs w:val="24"/>
        </w:rPr>
        <w:t>there are very strong perceptions of Prime Ministerial responsibility for every Ministry</w:t>
      </w:r>
      <w:r w:rsidR="006D59C5">
        <w:rPr>
          <w:sz w:val="24"/>
          <w:szCs w:val="24"/>
        </w:rPr>
        <w:t xml:space="preserve"> – </w:t>
      </w:r>
      <w:r w:rsidR="005A3C3D">
        <w:rPr>
          <w:sz w:val="24"/>
          <w:szCs w:val="24"/>
        </w:rPr>
        <w:t>evidenced for example by</w:t>
      </w:r>
      <w:r w:rsidR="006D59C5">
        <w:rPr>
          <w:sz w:val="24"/>
          <w:szCs w:val="24"/>
        </w:rPr>
        <w:t xml:space="preserve"> being question</w:t>
      </w:r>
      <w:r w:rsidR="005A3C3D">
        <w:rPr>
          <w:sz w:val="24"/>
          <w:szCs w:val="24"/>
        </w:rPr>
        <w:t>ed</w:t>
      </w:r>
      <w:r w:rsidR="006D59C5">
        <w:rPr>
          <w:sz w:val="24"/>
          <w:szCs w:val="24"/>
        </w:rPr>
        <w:t xml:space="preserve"> in Parliament about other Ministries</w:t>
      </w:r>
      <w:r w:rsidRPr="00455823">
        <w:rPr>
          <w:sz w:val="24"/>
          <w:szCs w:val="24"/>
        </w:rPr>
        <w:t>;</w:t>
      </w:r>
    </w:p>
    <w:p w14:paraId="1E310139" w14:textId="243BF80D" w:rsidR="00455823" w:rsidRDefault="00455823" w:rsidP="00455823">
      <w:pPr>
        <w:pStyle w:val="ListParagraph"/>
        <w:numPr>
          <w:ilvl w:val="0"/>
          <w:numId w:val="5"/>
        </w:numPr>
        <w:spacing w:after="0"/>
        <w:ind w:left="360"/>
        <w:rPr>
          <w:sz w:val="24"/>
          <w:szCs w:val="24"/>
        </w:rPr>
      </w:pPr>
      <w:r w:rsidRPr="00455823">
        <w:rPr>
          <w:sz w:val="24"/>
          <w:szCs w:val="24"/>
        </w:rPr>
        <w:t>the identity of a person who holds power will become known, at the latest, immediately there is any attempt to exercise that power</w:t>
      </w:r>
      <w:r w:rsidR="006D59C5">
        <w:rPr>
          <w:sz w:val="24"/>
          <w:szCs w:val="24"/>
        </w:rPr>
        <w:t>.</w:t>
      </w:r>
      <w:r w:rsidRPr="00455823">
        <w:rPr>
          <w:sz w:val="24"/>
          <w:szCs w:val="24"/>
        </w:rPr>
        <w:t xml:space="preserve">   </w:t>
      </w:r>
    </w:p>
    <w:p w14:paraId="2BA7BE33" w14:textId="2E3D0B3A" w:rsidR="00E87BF9" w:rsidRDefault="00E87BF9" w:rsidP="00E87BF9">
      <w:pPr>
        <w:spacing w:after="0"/>
        <w:rPr>
          <w:sz w:val="24"/>
          <w:szCs w:val="24"/>
        </w:rPr>
      </w:pPr>
    </w:p>
    <w:p w14:paraId="09D6C39C" w14:textId="49E9CC25" w:rsidR="003543CB" w:rsidRDefault="003543CB" w:rsidP="00E87BF9">
      <w:pPr>
        <w:spacing w:after="0"/>
        <w:rPr>
          <w:sz w:val="24"/>
          <w:szCs w:val="24"/>
        </w:rPr>
      </w:pPr>
      <w:r>
        <w:rPr>
          <w:sz w:val="24"/>
          <w:szCs w:val="24"/>
        </w:rPr>
        <w:t xml:space="preserve">While-ever the appointments were undisclosed, Mr Morrison’s potential legal powers were greater than others assumed.  That situation does not lend itself to abuse of </w:t>
      </w:r>
      <w:r w:rsidR="00253E4B">
        <w:rPr>
          <w:sz w:val="24"/>
          <w:szCs w:val="24"/>
        </w:rPr>
        <w:t>authority</w:t>
      </w:r>
      <w:r>
        <w:rPr>
          <w:sz w:val="24"/>
          <w:szCs w:val="24"/>
        </w:rPr>
        <w:t>.</w:t>
      </w:r>
      <w:r>
        <w:rPr>
          <w:rStyle w:val="FootnoteReference"/>
          <w:sz w:val="24"/>
          <w:szCs w:val="24"/>
        </w:rPr>
        <w:footnoteReference w:id="7"/>
      </w:r>
    </w:p>
    <w:p w14:paraId="2511FA2A" w14:textId="642BB0E6" w:rsidR="00B3414F" w:rsidRPr="00455823" w:rsidRDefault="00B3414F" w:rsidP="005A64BA">
      <w:pPr>
        <w:spacing w:after="0"/>
        <w:rPr>
          <w:sz w:val="24"/>
          <w:szCs w:val="24"/>
        </w:rPr>
      </w:pPr>
    </w:p>
    <w:p w14:paraId="2EEA6EFD" w14:textId="6BE2B9E7" w:rsidR="00B3414F" w:rsidRDefault="00B3414F" w:rsidP="00B3414F">
      <w:pPr>
        <w:pStyle w:val="Heading3"/>
      </w:pPr>
      <w:r>
        <w:t>3d.</w:t>
      </w:r>
      <w:r>
        <w:tab/>
        <w:t>Uncertainty about Ministerial powers</w:t>
      </w:r>
    </w:p>
    <w:p w14:paraId="1A99B5F5" w14:textId="5204F01F" w:rsidR="00751AE3" w:rsidRDefault="000313A3" w:rsidP="005A64BA">
      <w:pPr>
        <w:spacing w:after="0"/>
        <w:rPr>
          <w:sz w:val="24"/>
          <w:szCs w:val="24"/>
        </w:rPr>
      </w:pPr>
      <w:r>
        <w:rPr>
          <w:sz w:val="24"/>
          <w:szCs w:val="24"/>
        </w:rPr>
        <w:t>A</w:t>
      </w:r>
      <w:r w:rsidR="00253E4B">
        <w:rPr>
          <w:sz w:val="24"/>
          <w:szCs w:val="24"/>
        </w:rPr>
        <w:t xml:space="preserve">buse of authority, and undermining representative and responsible government, is far more likely to occur if the power of a person in </w:t>
      </w:r>
      <w:r w:rsidR="00E12404">
        <w:rPr>
          <w:sz w:val="24"/>
          <w:szCs w:val="24"/>
        </w:rPr>
        <w:t xml:space="preserve">a position of </w:t>
      </w:r>
      <w:r w:rsidR="00250CD2">
        <w:rPr>
          <w:sz w:val="24"/>
          <w:szCs w:val="24"/>
        </w:rPr>
        <w:t xml:space="preserve">apparent </w:t>
      </w:r>
      <w:r w:rsidR="00253E4B">
        <w:rPr>
          <w:sz w:val="24"/>
          <w:szCs w:val="24"/>
        </w:rPr>
        <w:t xml:space="preserve">authority is less – </w:t>
      </w:r>
      <w:r w:rsidR="00E12404">
        <w:rPr>
          <w:sz w:val="24"/>
          <w:szCs w:val="24"/>
        </w:rPr>
        <w:t>not more</w:t>
      </w:r>
      <w:r w:rsidR="00253E4B">
        <w:rPr>
          <w:sz w:val="24"/>
          <w:szCs w:val="24"/>
        </w:rPr>
        <w:t xml:space="preserve"> – than others assume.  </w:t>
      </w:r>
    </w:p>
    <w:p w14:paraId="39E28212" w14:textId="77777777" w:rsidR="00751AE3" w:rsidRDefault="00751AE3" w:rsidP="005A64BA">
      <w:pPr>
        <w:spacing w:after="0"/>
        <w:rPr>
          <w:sz w:val="24"/>
          <w:szCs w:val="24"/>
        </w:rPr>
      </w:pPr>
    </w:p>
    <w:p w14:paraId="4D0B6607" w14:textId="367909D0" w:rsidR="008A0DB1" w:rsidRDefault="00253E4B" w:rsidP="005A64BA">
      <w:pPr>
        <w:spacing w:after="0"/>
        <w:rPr>
          <w:sz w:val="24"/>
          <w:szCs w:val="24"/>
        </w:rPr>
      </w:pPr>
      <w:r>
        <w:rPr>
          <w:sz w:val="24"/>
          <w:szCs w:val="24"/>
        </w:rPr>
        <w:t xml:space="preserve">In such cases, the person </w:t>
      </w:r>
      <w:r w:rsidR="00250CD2">
        <w:rPr>
          <w:sz w:val="24"/>
          <w:szCs w:val="24"/>
        </w:rPr>
        <w:t>seen to be in</w:t>
      </w:r>
      <w:r>
        <w:rPr>
          <w:sz w:val="24"/>
          <w:szCs w:val="24"/>
        </w:rPr>
        <w:t xml:space="preserve"> authority </w:t>
      </w:r>
      <w:r w:rsidR="00904B25">
        <w:rPr>
          <w:sz w:val="24"/>
          <w:szCs w:val="24"/>
        </w:rPr>
        <w:t>can</w:t>
      </w:r>
      <w:r>
        <w:rPr>
          <w:sz w:val="24"/>
          <w:szCs w:val="24"/>
        </w:rPr>
        <w:t xml:space="preserve"> ‘bluff’ or coerce others into actions they would not undertake if they knew the </w:t>
      </w:r>
      <w:r w:rsidR="008A0DB1">
        <w:rPr>
          <w:sz w:val="24"/>
          <w:szCs w:val="24"/>
        </w:rPr>
        <w:t>true situation.</w:t>
      </w:r>
      <w:r w:rsidR="00751AE3">
        <w:rPr>
          <w:sz w:val="24"/>
          <w:szCs w:val="24"/>
        </w:rPr>
        <w:t xml:space="preserve">  </w:t>
      </w:r>
      <w:r w:rsidR="001F3EAF">
        <w:rPr>
          <w:sz w:val="24"/>
          <w:szCs w:val="24"/>
        </w:rPr>
        <w:t xml:space="preserve">Those adversely affected may find it difficult to ‘call’ such bluffs.  </w:t>
      </w:r>
      <w:r w:rsidR="008A0DB1">
        <w:rPr>
          <w:sz w:val="24"/>
          <w:szCs w:val="24"/>
        </w:rPr>
        <w:t xml:space="preserve">At the extreme, </w:t>
      </w:r>
      <w:r w:rsidR="006F2CB5">
        <w:rPr>
          <w:sz w:val="24"/>
          <w:szCs w:val="24"/>
        </w:rPr>
        <w:t>bluffing can be a threat to the system of government.</w:t>
      </w:r>
    </w:p>
    <w:p w14:paraId="44307F97" w14:textId="139B9588" w:rsidR="008A0DB1" w:rsidRDefault="008A0DB1" w:rsidP="005A64BA">
      <w:pPr>
        <w:spacing w:after="0"/>
        <w:rPr>
          <w:sz w:val="24"/>
          <w:szCs w:val="24"/>
        </w:rPr>
      </w:pPr>
    </w:p>
    <w:p w14:paraId="1122191E" w14:textId="355C9599" w:rsidR="00744B08" w:rsidRDefault="00751AE3" w:rsidP="005A64BA">
      <w:pPr>
        <w:spacing w:after="0"/>
        <w:rPr>
          <w:sz w:val="24"/>
          <w:szCs w:val="24"/>
        </w:rPr>
      </w:pPr>
      <w:r>
        <w:rPr>
          <w:sz w:val="24"/>
          <w:szCs w:val="24"/>
        </w:rPr>
        <w:t>Public u</w:t>
      </w:r>
      <w:r w:rsidR="008A0DB1">
        <w:rPr>
          <w:sz w:val="24"/>
          <w:szCs w:val="24"/>
        </w:rPr>
        <w:t xml:space="preserve">ncertainty about Ministerial powers may lead </w:t>
      </w:r>
      <w:r w:rsidR="00904B25">
        <w:rPr>
          <w:sz w:val="24"/>
          <w:szCs w:val="24"/>
        </w:rPr>
        <w:t xml:space="preserve">to </w:t>
      </w:r>
      <w:r w:rsidR="000B10BD">
        <w:rPr>
          <w:sz w:val="24"/>
          <w:szCs w:val="24"/>
        </w:rPr>
        <w:t>false</w:t>
      </w:r>
      <w:r w:rsidR="008A0DB1">
        <w:rPr>
          <w:sz w:val="24"/>
          <w:szCs w:val="24"/>
        </w:rPr>
        <w:t xml:space="preserve"> assum</w:t>
      </w:r>
      <w:r w:rsidR="000B10BD">
        <w:rPr>
          <w:sz w:val="24"/>
          <w:szCs w:val="24"/>
        </w:rPr>
        <w:t>ptions</w:t>
      </w:r>
      <w:r w:rsidR="008A0DB1">
        <w:rPr>
          <w:sz w:val="24"/>
          <w:szCs w:val="24"/>
        </w:rPr>
        <w:t xml:space="preserve"> </w:t>
      </w:r>
      <w:r w:rsidR="00BB3FAB">
        <w:rPr>
          <w:sz w:val="24"/>
          <w:szCs w:val="24"/>
        </w:rPr>
        <w:t xml:space="preserve">Ministers and those in positions of </w:t>
      </w:r>
      <w:r w:rsidR="00E12404">
        <w:rPr>
          <w:sz w:val="24"/>
          <w:szCs w:val="24"/>
        </w:rPr>
        <w:t>apparent authority</w:t>
      </w:r>
      <w:r w:rsidR="008A0DB1">
        <w:rPr>
          <w:sz w:val="24"/>
          <w:szCs w:val="24"/>
        </w:rPr>
        <w:t xml:space="preserve"> </w:t>
      </w:r>
      <w:r w:rsidR="00BB3FAB">
        <w:rPr>
          <w:sz w:val="24"/>
          <w:szCs w:val="24"/>
        </w:rPr>
        <w:t>are allowed to</w:t>
      </w:r>
      <w:r w:rsidR="006F2CB5">
        <w:rPr>
          <w:sz w:val="24"/>
          <w:szCs w:val="24"/>
        </w:rPr>
        <w:t xml:space="preserve"> do</w:t>
      </w:r>
      <w:r w:rsidR="008A0DB1">
        <w:rPr>
          <w:sz w:val="24"/>
          <w:szCs w:val="24"/>
        </w:rPr>
        <w:t xml:space="preserve"> things</w:t>
      </w:r>
      <w:r w:rsidR="006F2CB5">
        <w:rPr>
          <w:sz w:val="24"/>
          <w:szCs w:val="24"/>
        </w:rPr>
        <w:t xml:space="preserve"> for which they </w:t>
      </w:r>
      <w:r w:rsidR="00250CD2">
        <w:rPr>
          <w:sz w:val="24"/>
          <w:szCs w:val="24"/>
        </w:rPr>
        <w:t>lack</w:t>
      </w:r>
      <w:r w:rsidR="006F2CB5">
        <w:rPr>
          <w:sz w:val="24"/>
          <w:szCs w:val="24"/>
        </w:rPr>
        <w:t xml:space="preserve"> power</w:t>
      </w:r>
      <w:r w:rsidR="008A0DB1">
        <w:rPr>
          <w:sz w:val="24"/>
          <w:szCs w:val="24"/>
        </w:rPr>
        <w:t xml:space="preserve">.  </w:t>
      </w:r>
    </w:p>
    <w:p w14:paraId="4548DC50" w14:textId="77777777" w:rsidR="00744B08" w:rsidRDefault="00744B08" w:rsidP="005A64BA">
      <w:pPr>
        <w:spacing w:after="0"/>
        <w:rPr>
          <w:sz w:val="24"/>
          <w:szCs w:val="24"/>
        </w:rPr>
      </w:pPr>
    </w:p>
    <w:p w14:paraId="25C2939F" w14:textId="4E617096" w:rsidR="008A0DB1" w:rsidRDefault="008A0DB1" w:rsidP="005A64BA">
      <w:pPr>
        <w:spacing w:after="0"/>
        <w:rPr>
          <w:sz w:val="24"/>
          <w:szCs w:val="24"/>
        </w:rPr>
      </w:pPr>
      <w:r>
        <w:rPr>
          <w:sz w:val="24"/>
          <w:szCs w:val="24"/>
        </w:rPr>
        <w:t xml:space="preserve">Failure to disclose </w:t>
      </w:r>
      <w:r w:rsidR="006F2CB5">
        <w:rPr>
          <w:sz w:val="24"/>
          <w:szCs w:val="24"/>
        </w:rPr>
        <w:t xml:space="preserve">Government </w:t>
      </w:r>
      <w:r>
        <w:rPr>
          <w:sz w:val="24"/>
          <w:szCs w:val="24"/>
        </w:rPr>
        <w:t>powers, such as through failure to disclose Ministerial appointments, contribute</w:t>
      </w:r>
      <w:r w:rsidR="00250CD2">
        <w:rPr>
          <w:sz w:val="24"/>
          <w:szCs w:val="24"/>
        </w:rPr>
        <w:t>s</w:t>
      </w:r>
      <w:r>
        <w:rPr>
          <w:sz w:val="24"/>
          <w:szCs w:val="24"/>
        </w:rPr>
        <w:t xml:space="preserve"> to such uncertainty.</w:t>
      </w:r>
    </w:p>
    <w:p w14:paraId="1E582832" w14:textId="370ACF72" w:rsidR="006F2CB5" w:rsidRDefault="006F2CB5" w:rsidP="005A64BA">
      <w:pPr>
        <w:spacing w:after="0"/>
        <w:rPr>
          <w:sz w:val="24"/>
          <w:szCs w:val="24"/>
        </w:rPr>
      </w:pPr>
    </w:p>
    <w:p w14:paraId="7CD5D2FA" w14:textId="446D6A6D" w:rsidR="00FD77E7" w:rsidRDefault="00905DEF" w:rsidP="005A64BA">
      <w:pPr>
        <w:spacing w:after="0"/>
        <w:rPr>
          <w:sz w:val="24"/>
          <w:szCs w:val="24"/>
        </w:rPr>
      </w:pPr>
      <w:r>
        <w:rPr>
          <w:sz w:val="24"/>
          <w:szCs w:val="24"/>
        </w:rPr>
        <w:t xml:space="preserve">The wide publicity </w:t>
      </w:r>
      <w:r w:rsidR="00BB3FAB">
        <w:rPr>
          <w:sz w:val="24"/>
          <w:szCs w:val="24"/>
        </w:rPr>
        <w:t>given to Mr Morrison’s</w:t>
      </w:r>
      <w:r>
        <w:rPr>
          <w:sz w:val="24"/>
          <w:szCs w:val="24"/>
        </w:rPr>
        <w:t xml:space="preserve"> </w:t>
      </w:r>
      <w:r w:rsidR="001F3EAF">
        <w:rPr>
          <w:sz w:val="24"/>
          <w:szCs w:val="24"/>
        </w:rPr>
        <w:t>undisclosed appointments</w:t>
      </w:r>
      <w:r>
        <w:rPr>
          <w:sz w:val="24"/>
          <w:szCs w:val="24"/>
        </w:rPr>
        <w:t xml:space="preserve"> gives rise to possibilities such as members of </w:t>
      </w:r>
      <w:r w:rsidR="00FD77E7">
        <w:rPr>
          <w:sz w:val="24"/>
          <w:szCs w:val="24"/>
        </w:rPr>
        <w:t xml:space="preserve">Commonwealth or State </w:t>
      </w:r>
      <w:r>
        <w:rPr>
          <w:sz w:val="24"/>
          <w:szCs w:val="24"/>
        </w:rPr>
        <w:t>Parliament</w:t>
      </w:r>
      <w:r w:rsidR="00FD77E7">
        <w:rPr>
          <w:sz w:val="24"/>
          <w:szCs w:val="24"/>
        </w:rPr>
        <w:t>s</w:t>
      </w:r>
      <w:r w:rsidR="00250CD2">
        <w:rPr>
          <w:sz w:val="24"/>
          <w:szCs w:val="24"/>
        </w:rPr>
        <w:t>, or officials,</w:t>
      </w:r>
      <w:r>
        <w:rPr>
          <w:sz w:val="24"/>
          <w:szCs w:val="24"/>
        </w:rPr>
        <w:t xml:space="preserve"> </w:t>
      </w:r>
      <w:r w:rsidR="00FD77E7">
        <w:rPr>
          <w:sz w:val="24"/>
          <w:szCs w:val="24"/>
        </w:rPr>
        <w:t xml:space="preserve">bluffing the more credulous in the community </w:t>
      </w:r>
      <w:r w:rsidR="00250CD2">
        <w:rPr>
          <w:sz w:val="24"/>
          <w:szCs w:val="24"/>
        </w:rPr>
        <w:t>the hold</w:t>
      </w:r>
      <w:r w:rsidR="00FD77E7">
        <w:rPr>
          <w:sz w:val="24"/>
          <w:szCs w:val="24"/>
        </w:rPr>
        <w:t xml:space="preserve"> secret Ministerial positions or powers.</w:t>
      </w:r>
    </w:p>
    <w:p w14:paraId="70E10FF9" w14:textId="77777777" w:rsidR="00FD77E7" w:rsidRDefault="00FD77E7" w:rsidP="005A64BA">
      <w:pPr>
        <w:spacing w:after="0"/>
        <w:rPr>
          <w:sz w:val="24"/>
          <w:szCs w:val="24"/>
        </w:rPr>
      </w:pPr>
    </w:p>
    <w:p w14:paraId="7656F626" w14:textId="6F05A922" w:rsidR="00253E4B" w:rsidRDefault="001F3EAF" w:rsidP="005A64BA">
      <w:pPr>
        <w:spacing w:after="0"/>
        <w:rPr>
          <w:sz w:val="24"/>
          <w:szCs w:val="24"/>
        </w:rPr>
      </w:pPr>
      <w:r>
        <w:rPr>
          <w:sz w:val="24"/>
          <w:szCs w:val="24"/>
        </w:rPr>
        <w:t>Wh</w:t>
      </w:r>
      <w:r w:rsidR="00FD77E7">
        <w:rPr>
          <w:sz w:val="24"/>
          <w:szCs w:val="24"/>
        </w:rPr>
        <w:t>ile non-disclosure of Mr Morrison’s appointments might not have had direct adverse effect</w:t>
      </w:r>
      <w:r w:rsidR="00744B08">
        <w:rPr>
          <w:sz w:val="24"/>
          <w:szCs w:val="24"/>
        </w:rPr>
        <w:t>s</w:t>
      </w:r>
      <w:r w:rsidR="00FD77E7">
        <w:rPr>
          <w:sz w:val="24"/>
          <w:szCs w:val="24"/>
        </w:rPr>
        <w:t xml:space="preserve"> on representative and responsible government</w:t>
      </w:r>
      <w:r w:rsidR="00744B08">
        <w:rPr>
          <w:sz w:val="24"/>
          <w:szCs w:val="24"/>
        </w:rPr>
        <w:t>,</w:t>
      </w:r>
      <w:r w:rsidR="00FD77E7">
        <w:rPr>
          <w:sz w:val="24"/>
          <w:szCs w:val="24"/>
        </w:rPr>
        <w:t xml:space="preserve"> it contribute</w:t>
      </w:r>
      <w:r w:rsidR="00403B52">
        <w:rPr>
          <w:sz w:val="24"/>
          <w:szCs w:val="24"/>
        </w:rPr>
        <w:t>s</w:t>
      </w:r>
      <w:r w:rsidR="00FD77E7">
        <w:rPr>
          <w:sz w:val="24"/>
          <w:szCs w:val="24"/>
        </w:rPr>
        <w:t xml:space="preserve"> to an environment in which threats to the system of government emerg</w:t>
      </w:r>
      <w:r w:rsidR="00403B52">
        <w:rPr>
          <w:sz w:val="24"/>
          <w:szCs w:val="24"/>
        </w:rPr>
        <w:t>e</w:t>
      </w:r>
      <w:r w:rsidR="00FD77E7">
        <w:rPr>
          <w:sz w:val="24"/>
          <w:szCs w:val="24"/>
        </w:rPr>
        <w:t>.</w:t>
      </w:r>
    </w:p>
    <w:p w14:paraId="5CA50B71" w14:textId="77777777" w:rsidR="00253E4B" w:rsidRPr="00B3414F" w:rsidRDefault="00253E4B" w:rsidP="005A64BA">
      <w:pPr>
        <w:spacing w:after="0"/>
        <w:rPr>
          <w:sz w:val="24"/>
          <w:szCs w:val="24"/>
        </w:rPr>
      </w:pPr>
    </w:p>
    <w:p w14:paraId="2124F87E" w14:textId="77777777" w:rsidR="00B3414F" w:rsidRDefault="00B3414F" w:rsidP="00B3414F">
      <w:pPr>
        <w:pStyle w:val="Heading3"/>
      </w:pPr>
      <w:r>
        <w:t>3e.</w:t>
      </w:r>
      <w:r>
        <w:tab/>
        <w:t>Other aspects of uncertainty</w:t>
      </w:r>
    </w:p>
    <w:p w14:paraId="45258D4F" w14:textId="77777777" w:rsidR="0002760F" w:rsidRDefault="001F3EAF" w:rsidP="005A64BA">
      <w:pPr>
        <w:spacing w:after="0"/>
        <w:rPr>
          <w:sz w:val="24"/>
          <w:szCs w:val="24"/>
        </w:rPr>
      </w:pPr>
      <w:r>
        <w:rPr>
          <w:sz w:val="24"/>
          <w:szCs w:val="24"/>
        </w:rPr>
        <w:t xml:space="preserve">Bluffing about Government powers </w:t>
      </w:r>
      <w:r w:rsidR="0002760F">
        <w:rPr>
          <w:sz w:val="24"/>
          <w:szCs w:val="24"/>
        </w:rPr>
        <w:t>was occurring prior to the undisclosed appointments.</w:t>
      </w:r>
    </w:p>
    <w:p w14:paraId="5252B5E0" w14:textId="77777777" w:rsidR="0002760F" w:rsidRDefault="0002760F" w:rsidP="005A64BA">
      <w:pPr>
        <w:spacing w:after="0"/>
        <w:rPr>
          <w:sz w:val="24"/>
          <w:szCs w:val="24"/>
        </w:rPr>
      </w:pPr>
    </w:p>
    <w:p w14:paraId="1EE99755" w14:textId="3E4CAD04" w:rsidR="005C711F" w:rsidRDefault="001F3EAF" w:rsidP="005A64BA">
      <w:pPr>
        <w:spacing w:after="0"/>
        <w:rPr>
          <w:sz w:val="24"/>
          <w:szCs w:val="24"/>
        </w:rPr>
      </w:pPr>
      <w:r>
        <w:rPr>
          <w:sz w:val="24"/>
          <w:szCs w:val="24"/>
        </w:rPr>
        <w:t xml:space="preserve">Professor Twomey </w:t>
      </w:r>
      <w:r w:rsidR="002B14EB">
        <w:rPr>
          <w:sz w:val="24"/>
          <w:szCs w:val="24"/>
        </w:rPr>
        <w:t>referred to a type of bluff – Commonwealth Ministers pretending to have power to spend public monies on whatever they like – as entailing ‘Constitutional risk’.</w:t>
      </w:r>
      <w:r w:rsidR="005C711F">
        <w:rPr>
          <w:rStyle w:val="FootnoteReference"/>
          <w:sz w:val="24"/>
          <w:szCs w:val="24"/>
        </w:rPr>
        <w:footnoteReference w:id="8"/>
      </w:r>
      <w:r w:rsidR="002B14EB">
        <w:rPr>
          <w:sz w:val="24"/>
          <w:szCs w:val="24"/>
        </w:rPr>
        <w:t xml:space="preserve"> </w:t>
      </w:r>
    </w:p>
    <w:p w14:paraId="2AC97C3D" w14:textId="4B8C2E1B" w:rsidR="002B14EB" w:rsidRDefault="002B14EB" w:rsidP="005A64BA">
      <w:pPr>
        <w:spacing w:after="0"/>
        <w:rPr>
          <w:sz w:val="24"/>
          <w:szCs w:val="24"/>
        </w:rPr>
      </w:pPr>
      <w:r>
        <w:rPr>
          <w:sz w:val="24"/>
          <w:szCs w:val="24"/>
        </w:rPr>
        <w:lastRenderedPageBreak/>
        <w:t>She claim</w:t>
      </w:r>
      <w:r w:rsidR="008B0A52">
        <w:rPr>
          <w:sz w:val="24"/>
          <w:szCs w:val="24"/>
        </w:rPr>
        <w:t>ed</w:t>
      </w:r>
      <w:r>
        <w:rPr>
          <w:sz w:val="24"/>
          <w:szCs w:val="24"/>
        </w:rPr>
        <w:t xml:space="preserve"> such spending is based on assessments of the </w:t>
      </w:r>
      <w:r w:rsidR="008B0A52">
        <w:rPr>
          <w:sz w:val="24"/>
          <w:szCs w:val="24"/>
        </w:rPr>
        <w:t>un</w:t>
      </w:r>
      <w:r>
        <w:rPr>
          <w:sz w:val="24"/>
          <w:szCs w:val="24"/>
        </w:rPr>
        <w:t>likelihood of legal challenge</w:t>
      </w:r>
      <w:r w:rsidR="004D4E0A">
        <w:rPr>
          <w:sz w:val="24"/>
          <w:szCs w:val="24"/>
        </w:rPr>
        <w:t xml:space="preserve">, implying some </w:t>
      </w:r>
      <w:r w:rsidR="00D64B81">
        <w:rPr>
          <w:sz w:val="24"/>
          <w:szCs w:val="24"/>
        </w:rPr>
        <w:t xml:space="preserve">behaviour </w:t>
      </w:r>
      <w:r w:rsidR="004D4E0A">
        <w:rPr>
          <w:sz w:val="24"/>
          <w:szCs w:val="24"/>
        </w:rPr>
        <w:t>to be deliberately and knowingly illegal</w:t>
      </w:r>
      <w:r>
        <w:rPr>
          <w:sz w:val="24"/>
          <w:szCs w:val="24"/>
        </w:rPr>
        <w:t>.</w:t>
      </w:r>
    </w:p>
    <w:p w14:paraId="477C3D34" w14:textId="77777777" w:rsidR="008B0A52" w:rsidRDefault="008B0A52" w:rsidP="005A64BA">
      <w:pPr>
        <w:spacing w:after="0"/>
        <w:rPr>
          <w:sz w:val="24"/>
          <w:szCs w:val="24"/>
        </w:rPr>
      </w:pPr>
    </w:p>
    <w:p w14:paraId="03B564EE" w14:textId="108E08D6" w:rsidR="008B0A52" w:rsidRDefault="008B0A52" w:rsidP="005A64BA">
      <w:pPr>
        <w:spacing w:after="0"/>
        <w:rPr>
          <w:sz w:val="24"/>
          <w:szCs w:val="24"/>
        </w:rPr>
      </w:pPr>
      <w:r>
        <w:rPr>
          <w:sz w:val="24"/>
          <w:szCs w:val="24"/>
        </w:rPr>
        <w:t>Professor Twomey said the practice involves democratic decay.  It is hard to disagree.</w:t>
      </w:r>
    </w:p>
    <w:p w14:paraId="1B73C2FB" w14:textId="77777777" w:rsidR="008B0A52" w:rsidRDefault="008B0A52" w:rsidP="005A64BA">
      <w:pPr>
        <w:spacing w:after="0"/>
        <w:rPr>
          <w:sz w:val="24"/>
          <w:szCs w:val="24"/>
        </w:rPr>
      </w:pPr>
    </w:p>
    <w:p w14:paraId="01C93482" w14:textId="74552EA1" w:rsidR="008B0A52" w:rsidRDefault="00D652D8" w:rsidP="005A64BA">
      <w:pPr>
        <w:spacing w:after="0"/>
        <w:rPr>
          <w:sz w:val="24"/>
          <w:szCs w:val="24"/>
        </w:rPr>
      </w:pPr>
      <w:r>
        <w:rPr>
          <w:sz w:val="24"/>
          <w:szCs w:val="24"/>
        </w:rPr>
        <w:t>Wilful b</w:t>
      </w:r>
      <w:r w:rsidR="008B0A52">
        <w:rPr>
          <w:sz w:val="24"/>
          <w:szCs w:val="24"/>
        </w:rPr>
        <w:t xml:space="preserve">luffing about </w:t>
      </w:r>
      <w:r w:rsidR="00ED38F5">
        <w:rPr>
          <w:sz w:val="24"/>
          <w:szCs w:val="24"/>
        </w:rPr>
        <w:t xml:space="preserve">spending </w:t>
      </w:r>
      <w:r w:rsidR="008B0A52">
        <w:rPr>
          <w:sz w:val="24"/>
          <w:szCs w:val="24"/>
        </w:rPr>
        <w:t xml:space="preserve">powers might - like illegal pork-barrelling </w:t>
      </w:r>
      <w:r w:rsidR="00ED38F5">
        <w:rPr>
          <w:sz w:val="24"/>
          <w:szCs w:val="24"/>
        </w:rPr>
        <w:t>–</w:t>
      </w:r>
      <w:r w:rsidR="008B0A52">
        <w:rPr>
          <w:sz w:val="24"/>
          <w:szCs w:val="24"/>
        </w:rPr>
        <w:t xml:space="preserve"> </w:t>
      </w:r>
      <w:r w:rsidR="00ED38F5">
        <w:rPr>
          <w:sz w:val="24"/>
          <w:szCs w:val="24"/>
        </w:rPr>
        <w:t>be regarded</w:t>
      </w:r>
      <w:r w:rsidR="008B0A52">
        <w:rPr>
          <w:sz w:val="24"/>
          <w:szCs w:val="24"/>
        </w:rPr>
        <w:t xml:space="preserve"> as a type of crime</w:t>
      </w:r>
      <w:r w:rsidR="008F43D8">
        <w:rPr>
          <w:sz w:val="24"/>
          <w:szCs w:val="24"/>
        </w:rPr>
        <w:t xml:space="preserve"> </w:t>
      </w:r>
      <w:r w:rsidR="00BB3FAB">
        <w:rPr>
          <w:sz w:val="24"/>
          <w:szCs w:val="24"/>
        </w:rPr>
        <w:t xml:space="preserve">that </w:t>
      </w:r>
      <w:r w:rsidR="008F43D8">
        <w:rPr>
          <w:sz w:val="24"/>
          <w:szCs w:val="24"/>
        </w:rPr>
        <w:t>lack</w:t>
      </w:r>
      <w:r w:rsidR="00BB3FAB">
        <w:rPr>
          <w:sz w:val="24"/>
          <w:szCs w:val="24"/>
        </w:rPr>
        <w:t>s</w:t>
      </w:r>
      <w:r w:rsidR="008F43D8">
        <w:rPr>
          <w:sz w:val="24"/>
          <w:szCs w:val="24"/>
        </w:rPr>
        <w:t xml:space="preserve"> victims other than taxpayers</w:t>
      </w:r>
      <w:r w:rsidR="008B0A52">
        <w:rPr>
          <w:sz w:val="24"/>
          <w:szCs w:val="24"/>
        </w:rPr>
        <w:t>.  Nonetheless, any crime by those in a position of public trust that goes unpunished</w:t>
      </w:r>
      <w:r w:rsidR="0002760F">
        <w:rPr>
          <w:sz w:val="24"/>
          <w:szCs w:val="24"/>
        </w:rPr>
        <w:t xml:space="preserve"> </w:t>
      </w:r>
      <w:r w:rsidR="00BB3FAB">
        <w:rPr>
          <w:sz w:val="24"/>
          <w:szCs w:val="24"/>
        </w:rPr>
        <w:t xml:space="preserve">will </w:t>
      </w:r>
      <w:r w:rsidR="008B0A52">
        <w:rPr>
          <w:sz w:val="24"/>
          <w:szCs w:val="24"/>
        </w:rPr>
        <w:t xml:space="preserve">derogate from </w:t>
      </w:r>
      <w:r w:rsidR="00ED38F5">
        <w:rPr>
          <w:sz w:val="24"/>
          <w:szCs w:val="24"/>
        </w:rPr>
        <w:t xml:space="preserve">the system of </w:t>
      </w:r>
      <w:r w:rsidR="008B0A52">
        <w:rPr>
          <w:sz w:val="24"/>
          <w:szCs w:val="24"/>
        </w:rPr>
        <w:t>government.</w:t>
      </w:r>
      <w:r w:rsidR="008B0A52">
        <w:rPr>
          <w:rStyle w:val="FootnoteReference"/>
          <w:sz w:val="24"/>
          <w:szCs w:val="24"/>
        </w:rPr>
        <w:footnoteReference w:id="9"/>
      </w:r>
    </w:p>
    <w:p w14:paraId="0457F3CA" w14:textId="7C2E0CC7" w:rsidR="008B0A52" w:rsidRDefault="008B0A52" w:rsidP="005A64BA">
      <w:pPr>
        <w:spacing w:after="0"/>
        <w:rPr>
          <w:sz w:val="24"/>
          <w:szCs w:val="24"/>
        </w:rPr>
      </w:pPr>
    </w:p>
    <w:p w14:paraId="34956573" w14:textId="51DDAA10" w:rsidR="00ED38F5" w:rsidRDefault="00BB3FAB" w:rsidP="005A64BA">
      <w:pPr>
        <w:spacing w:after="0"/>
        <w:rPr>
          <w:sz w:val="24"/>
          <w:szCs w:val="24"/>
        </w:rPr>
      </w:pPr>
      <w:r>
        <w:rPr>
          <w:sz w:val="24"/>
          <w:szCs w:val="24"/>
        </w:rPr>
        <w:t>Probably m</w:t>
      </w:r>
      <w:r w:rsidR="00ED38F5">
        <w:rPr>
          <w:sz w:val="24"/>
          <w:szCs w:val="24"/>
        </w:rPr>
        <w:t xml:space="preserve">ore concerning </w:t>
      </w:r>
      <w:r>
        <w:rPr>
          <w:sz w:val="24"/>
          <w:szCs w:val="24"/>
        </w:rPr>
        <w:t xml:space="preserve">than Commonwealth Ministers bluffing about spending powers </w:t>
      </w:r>
      <w:r w:rsidR="00ED38F5">
        <w:rPr>
          <w:sz w:val="24"/>
          <w:szCs w:val="24"/>
        </w:rPr>
        <w:t>are responses of Governments</w:t>
      </w:r>
      <w:r w:rsidR="00D652D8">
        <w:rPr>
          <w:sz w:val="24"/>
          <w:szCs w:val="24"/>
        </w:rPr>
        <w:t>,</w:t>
      </w:r>
      <w:r w:rsidR="00ED38F5">
        <w:rPr>
          <w:sz w:val="24"/>
          <w:szCs w:val="24"/>
        </w:rPr>
        <w:t xml:space="preserve"> </w:t>
      </w:r>
      <w:r w:rsidR="00403B52">
        <w:rPr>
          <w:sz w:val="24"/>
          <w:szCs w:val="24"/>
        </w:rPr>
        <w:t>including</w:t>
      </w:r>
      <w:r w:rsidR="00D652D8">
        <w:rPr>
          <w:sz w:val="24"/>
          <w:szCs w:val="24"/>
        </w:rPr>
        <w:t xml:space="preserve"> by </w:t>
      </w:r>
      <w:r w:rsidR="00ED38F5">
        <w:rPr>
          <w:sz w:val="24"/>
          <w:szCs w:val="24"/>
        </w:rPr>
        <w:t>unelected officials</w:t>
      </w:r>
      <w:r w:rsidR="00D652D8">
        <w:rPr>
          <w:sz w:val="24"/>
          <w:szCs w:val="24"/>
        </w:rPr>
        <w:t>,</w:t>
      </w:r>
      <w:r w:rsidR="00ED38F5">
        <w:rPr>
          <w:sz w:val="24"/>
          <w:szCs w:val="24"/>
        </w:rPr>
        <w:t xml:space="preserve"> to the pandemic – especially those undertaken </w:t>
      </w:r>
      <w:r w:rsidR="004C2ABA">
        <w:rPr>
          <w:sz w:val="24"/>
          <w:szCs w:val="24"/>
        </w:rPr>
        <w:t xml:space="preserve">with </w:t>
      </w:r>
      <w:r w:rsidR="00ED38F5">
        <w:rPr>
          <w:sz w:val="24"/>
          <w:szCs w:val="24"/>
        </w:rPr>
        <w:t xml:space="preserve">supposed authority of the States.  Some of these entailed bluffs severely </w:t>
      </w:r>
      <w:r>
        <w:rPr>
          <w:sz w:val="24"/>
          <w:szCs w:val="24"/>
        </w:rPr>
        <w:t xml:space="preserve">impacting </w:t>
      </w:r>
      <w:r w:rsidR="00ED38F5">
        <w:rPr>
          <w:sz w:val="24"/>
          <w:szCs w:val="24"/>
        </w:rPr>
        <w:t>businesses</w:t>
      </w:r>
      <w:r>
        <w:rPr>
          <w:sz w:val="24"/>
          <w:szCs w:val="24"/>
        </w:rPr>
        <w:t xml:space="preserve"> and the lives of individuals</w:t>
      </w:r>
      <w:r w:rsidR="00ED38F5">
        <w:rPr>
          <w:sz w:val="24"/>
          <w:szCs w:val="24"/>
        </w:rPr>
        <w:t>.</w:t>
      </w:r>
      <w:r w:rsidR="00ED38F5">
        <w:rPr>
          <w:rStyle w:val="FootnoteReference"/>
          <w:sz w:val="24"/>
          <w:szCs w:val="24"/>
        </w:rPr>
        <w:footnoteReference w:id="10"/>
      </w:r>
      <w:r w:rsidR="00ED38F5">
        <w:rPr>
          <w:sz w:val="24"/>
          <w:szCs w:val="24"/>
        </w:rPr>
        <w:t xml:space="preserve">  </w:t>
      </w:r>
    </w:p>
    <w:p w14:paraId="58199A98" w14:textId="77777777" w:rsidR="00ED38F5" w:rsidRDefault="00ED38F5" w:rsidP="005A64BA">
      <w:pPr>
        <w:spacing w:after="0"/>
        <w:rPr>
          <w:sz w:val="24"/>
          <w:szCs w:val="24"/>
        </w:rPr>
      </w:pPr>
    </w:p>
    <w:p w14:paraId="5E4CD24F" w14:textId="3C011169" w:rsidR="004D425E" w:rsidRDefault="00D46ACF" w:rsidP="005A64BA">
      <w:pPr>
        <w:spacing w:after="0"/>
        <w:rPr>
          <w:sz w:val="24"/>
          <w:szCs w:val="24"/>
        </w:rPr>
      </w:pPr>
      <w:r>
        <w:rPr>
          <w:sz w:val="24"/>
          <w:szCs w:val="24"/>
        </w:rPr>
        <w:t xml:space="preserve">Those responses were made under the guise of ‘emergency’.  They </w:t>
      </w:r>
      <w:r w:rsidR="002B3C33">
        <w:rPr>
          <w:sz w:val="24"/>
          <w:szCs w:val="24"/>
        </w:rPr>
        <w:t xml:space="preserve">have not been </w:t>
      </w:r>
      <w:r w:rsidR="004A132D">
        <w:rPr>
          <w:sz w:val="24"/>
          <w:szCs w:val="24"/>
        </w:rPr>
        <w:t xml:space="preserve">properly </w:t>
      </w:r>
      <w:r w:rsidR="002B3C33">
        <w:rPr>
          <w:sz w:val="24"/>
          <w:szCs w:val="24"/>
        </w:rPr>
        <w:t>examined</w:t>
      </w:r>
      <w:r w:rsidR="00D64B81">
        <w:rPr>
          <w:sz w:val="24"/>
          <w:szCs w:val="24"/>
        </w:rPr>
        <w:t>, and relevant</w:t>
      </w:r>
      <w:r w:rsidR="002B3C33">
        <w:rPr>
          <w:sz w:val="24"/>
          <w:szCs w:val="24"/>
        </w:rPr>
        <w:t xml:space="preserve"> </w:t>
      </w:r>
      <w:r>
        <w:rPr>
          <w:sz w:val="24"/>
          <w:szCs w:val="24"/>
        </w:rPr>
        <w:t>accountability processes have been frustrated</w:t>
      </w:r>
      <w:r w:rsidR="004D425E">
        <w:rPr>
          <w:sz w:val="24"/>
          <w:szCs w:val="24"/>
        </w:rPr>
        <w:t>.  First</w:t>
      </w:r>
      <w:r w:rsidR="002B3C33">
        <w:rPr>
          <w:sz w:val="24"/>
          <w:szCs w:val="24"/>
        </w:rPr>
        <w:t>,</w:t>
      </w:r>
      <w:r>
        <w:rPr>
          <w:sz w:val="24"/>
          <w:szCs w:val="24"/>
        </w:rPr>
        <w:t xml:space="preserve"> by withholding information ne</w:t>
      </w:r>
      <w:r w:rsidR="002B3C33">
        <w:rPr>
          <w:sz w:val="24"/>
          <w:szCs w:val="24"/>
        </w:rPr>
        <w:t>eded</w:t>
      </w:r>
      <w:r>
        <w:rPr>
          <w:sz w:val="24"/>
          <w:szCs w:val="24"/>
        </w:rPr>
        <w:t xml:space="preserve"> </w:t>
      </w:r>
      <w:r w:rsidR="00904B25">
        <w:rPr>
          <w:sz w:val="24"/>
          <w:szCs w:val="24"/>
        </w:rPr>
        <w:t xml:space="preserve">for </w:t>
      </w:r>
      <w:r>
        <w:rPr>
          <w:sz w:val="24"/>
          <w:szCs w:val="24"/>
        </w:rPr>
        <w:t xml:space="preserve">Parliaments and electorates </w:t>
      </w:r>
      <w:r w:rsidR="004D425E">
        <w:rPr>
          <w:sz w:val="24"/>
          <w:szCs w:val="24"/>
        </w:rPr>
        <w:t xml:space="preserve">to </w:t>
      </w:r>
      <w:r w:rsidR="002B3C33">
        <w:rPr>
          <w:sz w:val="24"/>
          <w:szCs w:val="24"/>
        </w:rPr>
        <w:t xml:space="preserve">judge the </w:t>
      </w:r>
      <w:r w:rsidR="004D425E">
        <w:rPr>
          <w:sz w:val="24"/>
          <w:szCs w:val="24"/>
        </w:rPr>
        <w:t xml:space="preserve">merit of responses.  Second, by reluctance to challenge responses through legal processes.  Third, by </w:t>
      </w:r>
      <w:r w:rsidR="006E43AF">
        <w:rPr>
          <w:sz w:val="24"/>
          <w:szCs w:val="24"/>
        </w:rPr>
        <w:t xml:space="preserve">misrepresentation of meetings between the Prime Minister and Premiers as a form of Government – cabinet – with decision making powers.  Fourth, by </w:t>
      </w:r>
      <w:r w:rsidR="004D425E">
        <w:rPr>
          <w:sz w:val="24"/>
          <w:szCs w:val="24"/>
        </w:rPr>
        <w:t xml:space="preserve">failure to instigate a </w:t>
      </w:r>
      <w:r w:rsidR="002B3C33">
        <w:rPr>
          <w:sz w:val="24"/>
          <w:szCs w:val="24"/>
        </w:rPr>
        <w:t xml:space="preserve">promised </w:t>
      </w:r>
      <w:r w:rsidR="004D425E">
        <w:rPr>
          <w:sz w:val="24"/>
          <w:szCs w:val="24"/>
        </w:rPr>
        <w:t>Royal Commission into issues</w:t>
      </w:r>
      <w:r w:rsidR="006E43AF">
        <w:rPr>
          <w:sz w:val="24"/>
          <w:szCs w:val="24"/>
        </w:rPr>
        <w:t xml:space="preserve"> arising from responses to the pandemic</w:t>
      </w:r>
      <w:r w:rsidR="004D425E">
        <w:rPr>
          <w:sz w:val="24"/>
          <w:szCs w:val="24"/>
        </w:rPr>
        <w:t>.</w:t>
      </w:r>
      <w:r w:rsidR="004D425E">
        <w:rPr>
          <w:rStyle w:val="FootnoteReference"/>
          <w:sz w:val="24"/>
          <w:szCs w:val="24"/>
        </w:rPr>
        <w:footnoteReference w:id="11"/>
      </w:r>
    </w:p>
    <w:p w14:paraId="26D29E4F" w14:textId="790FFEC9" w:rsidR="004C2ABA" w:rsidRDefault="004C2ABA" w:rsidP="005A64BA">
      <w:pPr>
        <w:spacing w:after="0"/>
        <w:rPr>
          <w:sz w:val="24"/>
          <w:szCs w:val="24"/>
        </w:rPr>
      </w:pPr>
    </w:p>
    <w:p w14:paraId="75AE5DCD" w14:textId="34F2E920" w:rsidR="004C2ABA" w:rsidRDefault="004C2ABA" w:rsidP="005A64BA">
      <w:pPr>
        <w:spacing w:after="0"/>
        <w:rPr>
          <w:sz w:val="24"/>
          <w:szCs w:val="24"/>
        </w:rPr>
      </w:pPr>
      <w:r>
        <w:rPr>
          <w:sz w:val="24"/>
          <w:szCs w:val="24"/>
        </w:rPr>
        <w:t xml:space="preserve">Such frustration of accountability processes is </w:t>
      </w:r>
      <w:r w:rsidR="00D64B81">
        <w:rPr>
          <w:sz w:val="24"/>
          <w:szCs w:val="24"/>
        </w:rPr>
        <w:t xml:space="preserve">highly </w:t>
      </w:r>
      <w:r>
        <w:rPr>
          <w:sz w:val="24"/>
          <w:szCs w:val="24"/>
        </w:rPr>
        <w:t xml:space="preserve">likely to undermine public confidence in </w:t>
      </w:r>
      <w:r w:rsidR="00D64B81">
        <w:rPr>
          <w:sz w:val="24"/>
          <w:szCs w:val="24"/>
        </w:rPr>
        <w:t xml:space="preserve">the operation and integrity of </w:t>
      </w:r>
      <w:r>
        <w:rPr>
          <w:sz w:val="24"/>
          <w:szCs w:val="24"/>
        </w:rPr>
        <w:t>Australia’s system of government.</w:t>
      </w:r>
    </w:p>
    <w:p w14:paraId="0E3DBEAB" w14:textId="77777777" w:rsidR="004D425E" w:rsidRDefault="004D425E" w:rsidP="005A64BA">
      <w:pPr>
        <w:spacing w:after="0"/>
        <w:rPr>
          <w:sz w:val="24"/>
          <w:szCs w:val="24"/>
        </w:rPr>
      </w:pPr>
    </w:p>
    <w:p w14:paraId="2083815A" w14:textId="370B17D1" w:rsidR="00BA6C0B" w:rsidRDefault="0048299F" w:rsidP="005A64BA">
      <w:pPr>
        <w:spacing w:after="0"/>
        <w:rPr>
          <w:sz w:val="24"/>
          <w:szCs w:val="24"/>
        </w:rPr>
      </w:pPr>
      <w:r>
        <w:rPr>
          <w:sz w:val="24"/>
          <w:szCs w:val="24"/>
        </w:rPr>
        <w:t xml:space="preserve">More generally, </w:t>
      </w:r>
      <w:r w:rsidR="00BA6BD4">
        <w:rPr>
          <w:sz w:val="24"/>
          <w:szCs w:val="24"/>
        </w:rPr>
        <w:t>the potential for bluff</w:t>
      </w:r>
      <w:r w:rsidR="0069181A">
        <w:rPr>
          <w:sz w:val="24"/>
          <w:szCs w:val="24"/>
        </w:rPr>
        <w:t>ing</w:t>
      </w:r>
      <w:r>
        <w:rPr>
          <w:sz w:val="24"/>
          <w:szCs w:val="24"/>
        </w:rPr>
        <w:t xml:space="preserve"> </w:t>
      </w:r>
      <w:r w:rsidR="00BA6BD4">
        <w:rPr>
          <w:sz w:val="24"/>
          <w:szCs w:val="24"/>
        </w:rPr>
        <w:t xml:space="preserve">under the </w:t>
      </w:r>
      <w:r w:rsidR="0069181A">
        <w:rPr>
          <w:sz w:val="24"/>
          <w:szCs w:val="24"/>
        </w:rPr>
        <w:t>cover</w:t>
      </w:r>
      <w:r w:rsidR="00BA6BD4">
        <w:rPr>
          <w:sz w:val="24"/>
          <w:szCs w:val="24"/>
        </w:rPr>
        <w:t xml:space="preserve"> </w:t>
      </w:r>
      <w:r>
        <w:rPr>
          <w:sz w:val="24"/>
          <w:szCs w:val="24"/>
        </w:rPr>
        <w:t xml:space="preserve">of </w:t>
      </w:r>
      <w:r w:rsidR="00904B25">
        <w:rPr>
          <w:sz w:val="24"/>
          <w:szCs w:val="24"/>
        </w:rPr>
        <w:t>‘</w:t>
      </w:r>
      <w:r>
        <w:rPr>
          <w:sz w:val="24"/>
          <w:szCs w:val="24"/>
        </w:rPr>
        <w:t>emergency</w:t>
      </w:r>
      <w:r w:rsidR="00904B25">
        <w:rPr>
          <w:sz w:val="24"/>
          <w:szCs w:val="24"/>
        </w:rPr>
        <w:t>’</w:t>
      </w:r>
      <w:r>
        <w:rPr>
          <w:sz w:val="24"/>
          <w:szCs w:val="24"/>
        </w:rPr>
        <w:t xml:space="preserve"> </w:t>
      </w:r>
      <w:r w:rsidR="0069181A">
        <w:rPr>
          <w:sz w:val="24"/>
          <w:szCs w:val="24"/>
        </w:rPr>
        <w:t>is</w:t>
      </w:r>
      <w:r>
        <w:rPr>
          <w:sz w:val="24"/>
          <w:szCs w:val="24"/>
        </w:rPr>
        <w:t xml:space="preserve"> increasing.  </w:t>
      </w:r>
      <w:r w:rsidR="004647CC">
        <w:rPr>
          <w:sz w:val="24"/>
          <w:szCs w:val="24"/>
        </w:rPr>
        <w:t>E</w:t>
      </w:r>
      <w:r>
        <w:rPr>
          <w:sz w:val="24"/>
          <w:szCs w:val="24"/>
        </w:rPr>
        <w:t>xample</w:t>
      </w:r>
      <w:r w:rsidR="004647CC">
        <w:rPr>
          <w:sz w:val="24"/>
          <w:szCs w:val="24"/>
        </w:rPr>
        <w:t>s arise</w:t>
      </w:r>
      <w:r w:rsidR="00BA6BD4">
        <w:rPr>
          <w:sz w:val="24"/>
          <w:szCs w:val="24"/>
        </w:rPr>
        <w:t xml:space="preserve"> from</w:t>
      </w:r>
      <w:r>
        <w:rPr>
          <w:sz w:val="24"/>
          <w:szCs w:val="24"/>
        </w:rPr>
        <w:t xml:space="preserve"> </w:t>
      </w:r>
      <w:r w:rsidR="00D64B81">
        <w:rPr>
          <w:sz w:val="24"/>
          <w:szCs w:val="24"/>
        </w:rPr>
        <w:t xml:space="preserve">the Commonwealth’s </w:t>
      </w:r>
      <w:r w:rsidR="004647CC">
        <w:rPr>
          <w:sz w:val="24"/>
          <w:szCs w:val="24"/>
        </w:rPr>
        <w:t>n</w:t>
      </w:r>
      <w:r>
        <w:rPr>
          <w:sz w:val="24"/>
          <w:szCs w:val="24"/>
        </w:rPr>
        <w:t xml:space="preserve">ational emergency declaration legislation.  </w:t>
      </w:r>
    </w:p>
    <w:p w14:paraId="34DD8F84" w14:textId="77777777" w:rsidR="00BA6C0B" w:rsidRDefault="00BA6C0B" w:rsidP="005A64BA">
      <w:pPr>
        <w:spacing w:after="0"/>
        <w:rPr>
          <w:sz w:val="24"/>
          <w:szCs w:val="24"/>
        </w:rPr>
      </w:pPr>
    </w:p>
    <w:p w14:paraId="4FA46547" w14:textId="70061842" w:rsidR="004647CC" w:rsidRDefault="0048299F" w:rsidP="005A64BA">
      <w:pPr>
        <w:spacing w:after="0"/>
        <w:rPr>
          <w:sz w:val="24"/>
          <w:szCs w:val="24"/>
        </w:rPr>
      </w:pPr>
      <w:r>
        <w:rPr>
          <w:sz w:val="24"/>
          <w:szCs w:val="24"/>
        </w:rPr>
        <w:t xml:space="preserve">The wording of the legislation allows the Prime Minister to </w:t>
      </w:r>
      <w:r w:rsidR="00766231">
        <w:rPr>
          <w:sz w:val="24"/>
          <w:szCs w:val="24"/>
        </w:rPr>
        <w:t xml:space="preserve">effectively </w:t>
      </w:r>
      <w:r>
        <w:rPr>
          <w:sz w:val="24"/>
          <w:szCs w:val="24"/>
        </w:rPr>
        <w:t xml:space="preserve">declare a national emergency on the basis of </w:t>
      </w:r>
      <w:r w:rsidR="004A132D">
        <w:rPr>
          <w:sz w:val="24"/>
          <w:szCs w:val="24"/>
        </w:rPr>
        <w:t xml:space="preserve">his or her </w:t>
      </w:r>
      <w:r w:rsidR="007F7A7F">
        <w:rPr>
          <w:sz w:val="24"/>
          <w:szCs w:val="24"/>
        </w:rPr>
        <w:t xml:space="preserve">perceptions of the impact of </w:t>
      </w:r>
      <w:r>
        <w:rPr>
          <w:sz w:val="24"/>
          <w:szCs w:val="24"/>
        </w:rPr>
        <w:t xml:space="preserve">threat of harm to </w:t>
      </w:r>
      <w:r w:rsidR="0002760F">
        <w:rPr>
          <w:sz w:val="24"/>
          <w:szCs w:val="24"/>
        </w:rPr>
        <w:t xml:space="preserve">just </w:t>
      </w:r>
      <w:r>
        <w:rPr>
          <w:sz w:val="24"/>
          <w:szCs w:val="24"/>
        </w:rPr>
        <w:t>an individual.</w:t>
      </w:r>
      <w:r w:rsidR="00BA6BD4">
        <w:rPr>
          <w:rStyle w:val="FootnoteReference"/>
          <w:sz w:val="24"/>
          <w:szCs w:val="24"/>
        </w:rPr>
        <w:footnoteReference w:id="12"/>
      </w:r>
    </w:p>
    <w:p w14:paraId="0BE48656" w14:textId="6F9FA324" w:rsidR="007F7A7F" w:rsidRDefault="007F7A7F" w:rsidP="005A64BA">
      <w:pPr>
        <w:spacing w:after="0"/>
        <w:rPr>
          <w:sz w:val="24"/>
          <w:szCs w:val="24"/>
        </w:rPr>
      </w:pPr>
      <w:r>
        <w:rPr>
          <w:sz w:val="24"/>
          <w:szCs w:val="24"/>
        </w:rPr>
        <w:lastRenderedPageBreak/>
        <w:t xml:space="preserve">The </w:t>
      </w:r>
      <w:r w:rsidR="004647CC">
        <w:rPr>
          <w:sz w:val="24"/>
          <w:szCs w:val="24"/>
        </w:rPr>
        <w:t xml:space="preserve">legislation is not needed for the </w:t>
      </w:r>
      <w:r>
        <w:rPr>
          <w:sz w:val="24"/>
          <w:szCs w:val="24"/>
        </w:rPr>
        <w:t xml:space="preserve">Commonwealth Government to </w:t>
      </w:r>
      <w:r w:rsidR="005271BC">
        <w:rPr>
          <w:sz w:val="24"/>
          <w:szCs w:val="24"/>
        </w:rPr>
        <w:t>address</w:t>
      </w:r>
      <w:r>
        <w:rPr>
          <w:sz w:val="24"/>
          <w:szCs w:val="24"/>
        </w:rPr>
        <w:t xml:space="preserve"> </w:t>
      </w:r>
      <w:r w:rsidR="00D652D8">
        <w:rPr>
          <w:sz w:val="24"/>
          <w:szCs w:val="24"/>
        </w:rPr>
        <w:t>bona fide national emergenc</w:t>
      </w:r>
      <w:r w:rsidR="00403B52">
        <w:rPr>
          <w:sz w:val="24"/>
          <w:szCs w:val="24"/>
        </w:rPr>
        <w:t>ies</w:t>
      </w:r>
      <w:r w:rsidR="00D652D8">
        <w:rPr>
          <w:sz w:val="24"/>
          <w:szCs w:val="24"/>
        </w:rPr>
        <w:t xml:space="preserve"> such as </w:t>
      </w:r>
      <w:r w:rsidR="00403B52">
        <w:rPr>
          <w:sz w:val="24"/>
          <w:szCs w:val="24"/>
        </w:rPr>
        <w:t>those</w:t>
      </w:r>
      <w:r>
        <w:rPr>
          <w:sz w:val="24"/>
          <w:szCs w:val="24"/>
        </w:rPr>
        <w:t xml:space="preserve"> threatening </w:t>
      </w:r>
      <w:r w:rsidR="006E43AF">
        <w:rPr>
          <w:sz w:val="24"/>
          <w:szCs w:val="24"/>
        </w:rPr>
        <w:t>t</w:t>
      </w:r>
      <w:r>
        <w:rPr>
          <w:sz w:val="24"/>
          <w:szCs w:val="24"/>
        </w:rPr>
        <w:t>he Constitution or Commonwealth</w:t>
      </w:r>
      <w:r w:rsidR="004647CC">
        <w:rPr>
          <w:sz w:val="24"/>
          <w:szCs w:val="24"/>
        </w:rPr>
        <w:t xml:space="preserve"> laws</w:t>
      </w:r>
      <w:r>
        <w:rPr>
          <w:sz w:val="24"/>
          <w:szCs w:val="24"/>
        </w:rPr>
        <w:t>.</w:t>
      </w:r>
      <w:r w:rsidR="00667C7C">
        <w:rPr>
          <w:rStyle w:val="FootnoteReference"/>
          <w:sz w:val="24"/>
          <w:szCs w:val="24"/>
        </w:rPr>
        <w:footnoteReference w:id="13"/>
      </w:r>
    </w:p>
    <w:p w14:paraId="48DCC3A3" w14:textId="77777777" w:rsidR="007F7A7F" w:rsidRDefault="007F7A7F" w:rsidP="005A64BA">
      <w:pPr>
        <w:spacing w:after="0"/>
        <w:rPr>
          <w:sz w:val="24"/>
          <w:szCs w:val="24"/>
        </w:rPr>
      </w:pPr>
    </w:p>
    <w:p w14:paraId="43CF1D64" w14:textId="2809644E" w:rsidR="005C711F" w:rsidRDefault="00DF2FB6" w:rsidP="005A64BA">
      <w:pPr>
        <w:spacing w:after="0"/>
        <w:rPr>
          <w:sz w:val="24"/>
          <w:szCs w:val="24"/>
        </w:rPr>
      </w:pPr>
      <w:r>
        <w:rPr>
          <w:sz w:val="24"/>
          <w:szCs w:val="24"/>
        </w:rPr>
        <w:t xml:space="preserve">Hence the legislation has other purposes.  Among these is </w:t>
      </w:r>
      <w:r w:rsidRPr="0069181A">
        <w:rPr>
          <w:sz w:val="24"/>
          <w:szCs w:val="24"/>
        </w:rPr>
        <w:t xml:space="preserve">providing </w:t>
      </w:r>
      <w:r w:rsidRPr="0069181A">
        <w:rPr>
          <w:rFonts w:cstheme="minorHAnsi"/>
          <w:i/>
          <w:iCs/>
          <w:sz w:val="24"/>
          <w:szCs w:val="24"/>
        </w:rPr>
        <w:t>‘</w:t>
      </w:r>
      <w:r w:rsidRPr="0069181A">
        <w:rPr>
          <w:rFonts w:cstheme="minorHAnsi"/>
          <w:i/>
          <w:iCs/>
          <w:sz w:val="24"/>
          <w:szCs w:val="24"/>
          <w:shd w:val="clear" w:color="auto" w:fill="FFFFFF"/>
        </w:rPr>
        <w:t>a strong, clear message to the Australian community</w:t>
      </w:r>
      <w:r w:rsidRPr="0069181A">
        <w:rPr>
          <w:rFonts w:cstheme="minorHAnsi"/>
          <w:i/>
          <w:iCs/>
          <w:sz w:val="24"/>
          <w:szCs w:val="24"/>
          <w:shd w:val="clear" w:color="auto" w:fill="FFFFFF"/>
        </w:rPr>
        <w:t>’</w:t>
      </w:r>
      <w:r w:rsidR="00766231">
        <w:rPr>
          <w:rFonts w:cstheme="minorHAnsi"/>
          <w:i/>
          <w:iCs/>
          <w:sz w:val="24"/>
          <w:szCs w:val="24"/>
          <w:shd w:val="clear" w:color="auto" w:fill="FFFFFF"/>
        </w:rPr>
        <w:t xml:space="preserve"> </w:t>
      </w:r>
      <w:r w:rsidR="00766231" w:rsidRPr="00766231">
        <w:rPr>
          <w:rFonts w:cstheme="minorHAnsi"/>
          <w:sz w:val="24"/>
          <w:szCs w:val="24"/>
          <w:shd w:val="clear" w:color="auto" w:fill="FFFFFF"/>
        </w:rPr>
        <w:t>the Prime Minister regards a</w:t>
      </w:r>
      <w:r w:rsidR="004A132D">
        <w:rPr>
          <w:rFonts w:cstheme="minorHAnsi"/>
          <w:sz w:val="24"/>
          <w:szCs w:val="24"/>
          <w:shd w:val="clear" w:color="auto" w:fill="FFFFFF"/>
        </w:rPr>
        <w:t xml:space="preserve"> situation as </w:t>
      </w:r>
      <w:r w:rsidR="00766231" w:rsidRPr="00766231">
        <w:rPr>
          <w:rFonts w:cstheme="minorHAnsi"/>
          <w:sz w:val="24"/>
          <w:szCs w:val="24"/>
          <w:shd w:val="clear" w:color="auto" w:fill="FFFFFF"/>
        </w:rPr>
        <w:t>an emergency</w:t>
      </w:r>
      <w:r w:rsidRPr="00766231">
        <w:rPr>
          <w:rFonts w:cstheme="minorHAnsi"/>
          <w:sz w:val="24"/>
          <w:szCs w:val="24"/>
          <w:shd w:val="clear" w:color="auto" w:fill="FFFFFF"/>
        </w:rPr>
        <w:t>.</w:t>
      </w:r>
      <w:r w:rsidR="001C1722">
        <w:rPr>
          <w:rFonts w:cstheme="minorHAnsi"/>
          <w:sz w:val="24"/>
          <w:szCs w:val="24"/>
          <w:shd w:val="clear" w:color="auto" w:fill="FFFFFF"/>
        </w:rPr>
        <w:t xml:space="preserve">  </w:t>
      </w:r>
      <w:r w:rsidR="0069181A">
        <w:rPr>
          <w:sz w:val="24"/>
          <w:szCs w:val="24"/>
        </w:rPr>
        <w:t xml:space="preserve">The intent is for </w:t>
      </w:r>
      <w:r w:rsidR="0048299F">
        <w:rPr>
          <w:sz w:val="24"/>
          <w:szCs w:val="24"/>
        </w:rPr>
        <w:t xml:space="preserve">declaration of an emergency </w:t>
      </w:r>
      <w:r w:rsidR="002E1CAC">
        <w:rPr>
          <w:sz w:val="24"/>
          <w:szCs w:val="24"/>
        </w:rPr>
        <w:t xml:space="preserve">to have a significant influence on what the public </w:t>
      </w:r>
      <w:r w:rsidR="00766231">
        <w:rPr>
          <w:sz w:val="24"/>
          <w:szCs w:val="24"/>
        </w:rPr>
        <w:t>believes</w:t>
      </w:r>
      <w:r w:rsidR="002E1CAC">
        <w:rPr>
          <w:sz w:val="24"/>
          <w:szCs w:val="24"/>
        </w:rPr>
        <w:t xml:space="preserve"> the Government </w:t>
      </w:r>
      <w:r w:rsidR="004A132D">
        <w:rPr>
          <w:sz w:val="24"/>
          <w:szCs w:val="24"/>
        </w:rPr>
        <w:t xml:space="preserve">– and Prime Minister - </w:t>
      </w:r>
      <w:r w:rsidR="002E1CAC">
        <w:rPr>
          <w:sz w:val="24"/>
          <w:szCs w:val="24"/>
        </w:rPr>
        <w:t>is</w:t>
      </w:r>
      <w:r w:rsidR="00E71A20">
        <w:rPr>
          <w:sz w:val="24"/>
          <w:szCs w:val="24"/>
        </w:rPr>
        <w:t xml:space="preserve"> </w:t>
      </w:r>
      <w:r w:rsidR="002E1CAC">
        <w:rPr>
          <w:sz w:val="24"/>
          <w:szCs w:val="24"/>
        </w:rPr>
        <w:t>able to do</w:t>
      </w:r>
      <w:r w:rsidR="00E71A20">
        <w:rPr>
          <w:sz w:val="24"/>
          <w:szCs w:val="24"/>
        </w:rPr>
        <w:t>.</w:t>
      </w:r>
      <w:r w:rsidR="001C1722">
        <w:rPr>
          <w:rStyle w:val="FootnoteReference"/>
          <w:sz w:val="24"/>
          <w:szCs w:val="24"/>
        </w:rPr>
        <w:footnoteReference w:id="14"/>
      </w:r>
      <w:r w:rsidR="00E71A20">
        <w:rPr>
          <w:sz w:val="24"/>
          <w:szCs w:val="24"/>
        </w:rPr>
        <w:t xml:space="preserve">  </w:t>
      </w:r>
    </w:p>
    <w:p w14:paraId="5D59F90B" w14:textId="77777777" w:rsidR="005C711F" w:rsidRDefault="005C711F" w:rsidP="005A64BA">
      <w:pPr>
        <w:spacing w:after="0"/>
        <w:rPr>
          <w:sz w:val="24"/>
          <w:szCs w:val="24"/>
        </w:rPr>
      </w:pPr>
    </w:p>
    <w:p w14:paraId="39DBB929" w14:textId="0324A5B1" w:rsidR="002E1CAC" w:rsidRDefault="00E71A20" w:rsidP="005A64BA">
      <w:pPr>
        <w:spacing w:after="0"/>
        <w:rPr>
          <w:sz w:val="24"/>
          <w:szCs w:val="24"/>
        </w:rPr>
      </w:pPr>
      <w:r>
        <w:rPr>
          <w:sz w:val="24"/>
          <w:szCs w:val="24"/>
        </w:rPr>
        <w:t>At present such</w:t>
      </w:r>
      <w:r w:rsidR="00766231">
        <w:rPr>
          <w:sz w:val="24"/>
          <w:szCs w:val="24"/>
        </w:rPr>
        <w:t xml:space="preserve"> beliefs </w:t>
      </w:r>
      <w:r>
        <w:rPr>
          <w:sz w:val="24"/>
          <w:szCs w:val="24"/>
        </w:rPr>
        <w:t xml:space="preserve">are </w:t>
      </w:r>
      <w:r w:rsidR="00766231">
        <w:rPr>
          <w:sz w:val="24"/>
          <w:szCs w:val="24"/>
        </w:rPr>
        <w:t>likely shaped by responses</w:t>
      </w:r>
      <w:r>
        <w:rPr>
          <w:sz w:val="24"/>
          <w:szCs w:val="24"/>
        </w:rPr>
        <w:t xml:space="preserve"> - </w:t>
      </w:r>
      <w:r w:rsidR="00766231">
        <w:rPr>
          <w:sz w:val="24"/>
          <w:szCs w:val="24"/>
        </w:rPr>
        <w:t xml:space="preserve">Commonwealth and State, </w:t>
      </w:r>
      <w:r w:rsidR="004D4E0A">
        <w:rPr>
          <w:sz w:val="24"/>
          <w:szCs w:val="24"/>
        </w:rPr>
        <w:t xml:space="preserve">by Ministers and </w:t>
      </w:r>
      <w:r w:rsidR="00403B52">
        <w:rPr>
          <w:sz w:val="24"/>
          <w:szCs w:val="24"/>
        </w:rPr>
        <w:t>o</w:t>
      </w:r>
      <w:r w:rsidR="004D4E0A">
        <w:rPr>
          <w:sz w:val="24"/>
          <w:szCs w:val="24"/>
        </w:rPr>
        <w:t xml:space="preserve">fficials, </w:t>
      </w:r>
      <w:r w:rsidR="00766231">
        <w:rPr>
          <w:sz w:val="24"/>
          <w:szCs w:val="24"/>
        </w:rPr>
        <w:t xml:space="preserve">lawful or not </w:t>
      </w:r>
      <w:r>
        <w:rPr>
          <w:sz w:val="24"/>
          <w:szCs w:val="24"/>
        </w:rPr>
        <w:t xml:space="preserve">- </w:t>
      </w:r>
      <w:r w:rsidR="00766231">
        <w:rPr>
          <w:sz w:val="24"/>
          <w:szCs w:val="24"/>
        </w:rPr>
        <w:t>to the pandemic</w:t>
      </w:r>
      <w:r w:rsidR="0069181A">
        <w:rPr>
          <w:sz w:val="24"/>
          <w:szCs w:val="24"/>
        </w:rPr>
        <w:t>.</w:t>
      </w:r>
      <w:r w:rsidR="00D652D8">
        <w:rPr>
          <w:sz w:val="24"/>
          <w:szCs w:val="24"/>
        </w:rPr>
        <w:t xml:space="preserve">  The beliefs also are likely </w:t>
      </w:r>
      <w:r w:rsidR="004018F9">
        <w:rPr>
          <w:sz w:val="24"/>
          <w:szCs w:val="24"/>
        </w:rPr>
        <w:t>influenced</w:t>
      </w:r>
      <w:r w:rsidR="00D652D8">
        <w:rPr>
          <w:sz w:val="24"/>
          <w:szCs w:val="24"/>
        </w:rPr>
        <w:t xml:space="preserve"> by fear</w:t>
      </w:r>
      <w:r w:rsidR="00403B52">
        <w:rPr>
          <w:sz w:val="24"/>
          <w:szCs w:val="24"/>
        </w:rPr>
        <w:t>s stoked</w:t>
      </w:r>
      <w:r w:rsidR="00D652D8">
        <w:rPr>
          <w:sz w:val="24"/>
          <w:szCs w:val="24"/>
        </w:rPr>
        <w:t xml:space="preserve"> </w:t>
      </w:r>
      <w:r w:rsidR="005C711F">
        <w:rPr>
          <w:sz w:val="24"/>
          <w:szCs w:val="24"/>
        </w:rPr>
        <w:t xml:space="preserve">over the last few years </w:t>
      </w:r>
      <w:r w:rsidR="00D652D8">
        <w:rPr>
          <w:sz w:val="24"/>
          <w:szCs w:val="24"/>
        </w:rPr>
        <w:t xml:space="preserve">by (some) political </w:t>
      </w:r>
      <w:r w:rsidR="004018F9">
        <w:rPr>
          <w:sz w:val="24"/>
          <w:szCs w:val="24"/>
        </w:rPr>
        <w:t>participants</w:t>
      </w:r>
      <w:r w:rsidR="00D652D8">
        <w:rPr>
          <w:sz w:val="24"/>
          <w:szCs w:val="24"/>
        </w:rPr>
        <w:t xml:space="preserve"> and mass media about ‘disasters’, ‘crises’ and ‘emergencies’.</w:t>
      </w:r>
      <w:r w:rsidR="002E1CAC">
        <w:rPr>
          <w:sz w:val="24"/>
          <w:szCs w:val="24"/>
        </w:rPr>
        <w:t xml:space="preserve"> </w:t>
      </w:r>
      <w:r w:rsidR="00D652D8">
        <w:rPr>
          <w:sz w:val="24"/>
          <w:szCs w:val="24"/>
        </w:rPr>
        <w:t xml:space="preserve">  </w:t>
      </w:r>
      <w:r w:rsidR="002C77A9">
        <w:rPr>
          <w:sz w:val="24"/>
          <w:szCs w:val="24"/>
        </w:rPr>
        <w:t>It is apparent some see  - and want - declarations of a national emergency as a political tool.</w:t>
      </w:r>
    </w:p>
    <w:p w14:paraId="2E6AF348" w14:textId="5803DF75" w:rsidR="002E1CAC" w:rsidRDefault="002E1CAC" w:rsidP="005A64BA">
      <w:pPr>
        <w:spacing w:after="0"/>
        <w:rPr>
          <w:sz w:val="24"/>
          <w:szCs w:val="24"/>
        </w:rPr>
      </w:pPr>
    </w:p>
    <w:p w14:paraId="27A05E3A" w14:textId="0DDB29BA" w:rsidR="002E1CAC" w:rsidRDefault="00E71A20" w:rsidP="005A64BA">
      <w:pPr>
        <w:spacing w:after="0"/>
        <w:rPr>
          <w:sz w:val="24"/>
          <w:szCs w:val="24"/>
        </w:rPr>
      </w:pPr>
      <w:r>
        <w:rPr>
          <w:sz w:val="24"/>
          <w:szCs w:val="24"/>
        </w:rPr>
        <w:t xml:space="preserve">Like the </w:t>
      </w:r>
      <w:r w:rsidR="002E1CAC">
        <w:rPr>
          <w:sz w:val="24"/>
          <w:szCs w:val="24"/>
        </w:rPr>
        <w:t xml:space="preserve">Health legislation </w:t>
      </w:r>
      <w:r>
        <w:rPr>
          <w:sz w:val="24"/>
          <w:szCs w:val="24"/>
        </w:rPr>
        <w:t xml:space="preserve">which supposedly triggered the idea for the Prime Minister to acquire other Ministries, the national emergency legislation </w:t>
      </w:r>
      <w:r w:rsidR="002E1CAC">
        <w:rPr>
          <w:sz w:val="24"/>
          <w:szCs w:val="24"/>
        </w:rPr>
        <w:t xml:space="preserve">includes provisions preventing disallowance of the declaration by the Senate. </w:t>
      </w:r>
      <w:r w:rsidR="004A132D">
        <w:rPr>
          <w:sz w:val="24"/>
          <w:szCs w:val="24"/>
        </w:rPr>
        <w:t xml:space="preserve"> </w:t>
      </w:r>
      <w:r w:rsidR="002E1CAC">
        <w:rPr>
          <w:sz w:val="24"/>
          <w:szCs w:val="24"/>
        </w:rPr>
        <w:t>Extraordinarily, it was passed unanimously by the Senate days after a Senate Committee delivered a report – its first in eighty</w:t>
      </w:r>
      <w:r w:rsidR="00BA6BD4">
        <w:rPr>
          <w:sz w:val="24"/>
          <w:szCs w:val="24"/>
        </w:rPr>
        <w:t>-</w:t>
      </w:r>
      <w:r w:rsidR="002E1CAC">
        <w:rPr>
          <w:sz w:val="24"/>
          <w:szCs w:val="24"/>
        </w:rPr>
        <w:t>eight years – condemning just such provisions.</w:t>
      </w:r>
      <w:r w:rsidR="004A132D" w:rsidRPr="004A132D">
        <w:rPr>
          <w:rStyle w:val="FootnoteReference"/>
          <w:sz w:val="24"/>
          <w:szCs w:val="24"/>
        </w:rPr>
        <w:t xml:space="preserve"> </w:t>
      </w:r>
      <w:r w:rsidR="004A132D">
        <w:rPr>
          <w:rStyle w:val="FootnoteReference"/>
          <w:sz w:val="24"/>
          <w:szCs w:val="24"/>
        </w:rPr>
        <w:footnoteReference w:id="15"/>
      </w:r>
    </w:p>
    <w:p w14:paraId="2B85BF29" w14:textId="6869ACEA" w:rsidR="002E1CAC" w:rsidRDefault="002E1CAC" w:rsidP="005A64BA">
      <w:pPr>
        <w:spacing w:after="0"/>
        <w:rPr>
          <w:sz w:val="24"/>
          <w:szCs w:val="24"/>
        </w:rPr>
      </w:pPr>
    </w:p>
    <w:p w14:paraId="6B930102" w14:textId="597596C8" w:rsidR="00F62975" w:rsidRDefault="00F62975" w:rsidP="00F62975">
      <w:pPr>
        <w:spacing w:after="0"/>
        <w:rPr>
          <w:sz w:val="24"/>
          <w:szCs w:val="24"/>
        </w:rPr>
      </w:pPr>
      <w:r>
        <w:rPr>
          <w:sz w:val="24"/>
          <w:szCs w:val="24"/>
        </w:rPr>
        <w:t xml:space="preserve">In effect the legislation – in the mind of the public – </w:t>
      </w:r>
      <w:r>
        <w:rPr>
          <w:sz w:val="24"/>
          <w:szCs w:val="24"/>
        </w:rPr>
        <w:t xml:space="preserve">gives the Prime Minister </w:t>
      </w:r>
      <w:r>
        <w:rPr>
          <w:sz w:val="24"/>
          <w:szCs w:val="24"/>
        </w:rPr>
        <w:t xml:space="preserve">powers </w:t>
      </w:r>
      <w:r>
        <w:rPr>
          <w:sz w:val="24"/>
          <w:szCs w:val="24"/>
        </w:rPr>
        <w:t>that are not constrained by Parliament when</w:t>
      </w:r>
      <w:r>
        <w:rPr>
          <w:sz w:val="24"/>
          <w:szCs w:val="24"/>
        </w:rPr>
        <w:t xml:space="preserve">ever he </w:t>
      </w:r>
      <w:r>
        <w:rPr>
          <w:sz w:val="24"/>
          <w:szCs w:val="24"/>
        </w:rPr>
        <w:t xml:space="preserve">or she </w:t>
      </w:r>
      <w:r>
        <w:rPr>
          <w:sz w:val="24"/>
          <w:szCs w:val="24"/>
        </w:rPr>
        <w:t>feels inclined to use the word</w:t>
      </w:r>
      <w:r>
        <w:rPr>
          <w:sz w:val="24"/>
          <w:szCs w:val="24"/>
        </w:rPr>
        <w:t>s</w:t>
      </w:r>
      <w:r>
        <w:rPr>
          <w:sz w:val="24"/>
          <w:szCs w:val="24"/>
        </w:rPr>
        <w:t xml:space="preserve"> </w:t>
      </w:r>
      <w:r>
        <w:rPr>
          <w:sz w:val="24"/>
          <w:szCs w:val="24"/>
        </w:rPr>
        <w:t xml:space="preserve">‘national </w:t>
      </w:r>
      <w:r>
        <w:rPr>
          <w:sz w:val="24"/>
          <w:szCs w:val="24"/>
        </w:rPr>
        <w:t>emergency</w:t>
      </w:r>
      <w:r>
        <w:rPr>
          <w:sz w:val="24"/>
          <w:szCs w:val="24"/>
        </w:rPr>
        <w:t>’</w:t>
      </w:r>
      <w:r>
        <w:rPr>
          <w:sz w:val="24"/>
          <w:szCs w:val="24"/>
        </w:rPr>
        <w:t>.</w:t>
      </w:r>
      <w:r>
        <w:rPr>
          <w:sz w:val="24"/>
          <w:szCs w:val="24"/>
        </w:rPr>
        <w:t xml:space="preserve">  </w:t>
      </w:r>
    </w:p>
    <w:p w14:paraId="71F65EB2" w14:textId="77777777" w:rsidR="00BA6BD4" w:rsidRDefault="00BA6BD4" w:rsidP="005A64BA">
      <w:pPr>
        <w:spacing w:after="0"/>
        <w:rPr>
          <w:sz w:val="24"/>
          <w:szCs w:val="24"/>
        </w:rPr>
      </w:pPr>
    </w:p>
    <w:p w14:paraId="6AD9D8ED" w14:textId="36081D7F" w:rsidR="00BA6BD4" w:rsidRDefault="00BA6BD4" w:rsidP="00BA6BD4">
      <w:pPr>
        <w:spacing w:after="0"/>
        <w:rPr>
          <w:sz w:val="24"/>
          <w:szCs w:val="24"/>
        </w:rPr>
      </w:pPr>
      <w:r>
        <w:rPr>
          <w:sz w:val="24"/>
          <w:szCs w:val="24"/>
        </w:rPr>
        <w:t xml:space="preserve">There are </w:t>
      </w:r>
      <w:r w:rsidR="00CF0EE9">
        <w:rPr>
          <w:sz w:val="24"/>
          <w:szCs w:val="24"/>
        </w:rPr>
        <w:t>other</w:t>
      </w:r>
      <w:r w:rsidR="00733522">
        <w:rPr>
          <w:sz w:val="24"/>
          <w:szCs w:val="24"/>
        </w:rPr>
        <w:t>, growing,</w:t>
      </w:r>
      <w:r w:rsidR="00CF0EE9">
        <w:rPr>
          <w:sz w:val="24"/>
          <w:szCs w:val="24"/>
        </w:rPr>
        <w:t xml:space="preserve"> ways in which </w:t>
      </w:r>
      <w:r>
        <w:rPr>
          <w:sz w:val="24"/>
          <w:szCs w:val="24"/>
        </w:rPr>
        <w:t>certainty</w:t>
      </w:r>
      <w:r w:rsidR="00CF0EE9">
        <w:rPr>
          <w:sz w:val="24"/>
          <w:szCs w:val="24"/>
        </w:rPr>
        <w:t xml:space="preserve"> about the use of power is seriously compromised</w:t>
      </w:r>
      <w:r w:rsidR="009B0926">
        <w:rPr>
          <w:sz w:val="24"/>
          <w:szCs w:val="24"/>
        </w:rPr>
        <w:t>.  These include unnecessary</w:t>
      </w:r>
      <w:r w:rsidR="00CF0EE9">
        <w:rPr>
          <w:sz w:val="24"/>
          <w:szCs w:val="24"/>
        </w:rPr>
        <w:t xml:space="preserve"> secrecy</w:t>
      </w:r>
      <w:r w:rsidR="009B0926">
        <w:rPr>
          <w:sz w:val="24"/>
          <w:szCs w:val="24"/>
        </w:rPr>
        <w:t xml:space="preserve"> regarding</w:t>
      </w:r>
      <w:r>
        <w:rPr>
          <w:sz w:val="24"/>
          <w:szCs w:val="24"/>
        </w:rPr>
        <w:t xml:space="preserve"> </w:t>
      </w:r>
      <w:r w:rsidR="004D4E0A">
        <w:rPr>
          <w:sz w:val="24"/>
          <w:szCs w:val="24"/>
        </w:rPr>
        <w:t xml:space="preserve">national cabinet, </w:t>
      </w:r>
      <w:r w:rsidR="00733522">
        <w:rPr>
          <w:sz w:val="24"/>
          <w:szCs w:val="24"/>
        </w:rPr>
        <w:t xml:space="preserve">the use of </w:t>
      </w:r>
      <w:r>
        <w:rPr>
          <w:sz w:val="24"/>
          <w:szCs w:val="24"/>
        </w:rPr>
        <w:t xml:space="preserve">anti-terrorism legislation, </w:t>
      </w:r>
      <w:r w:rsidR="009B0926">
        <w:rPr>
          <w:sz w:val="24"/>
          <w:szCs w:val="24"/>
        </w:rPr>
        <w:t>some</w:t>
      </w:r>
      <w:r>
        <w:rPr>
          <w:sz w:val="24"/>
          <w:szCs w:val="24"/>
        </w:rPr>
        <w:t xml:space="preserve"> prosecutions and trials.</w:t>
      </w:r>
      <w:r w:rsidR="0076146E">
        <w:rPr>
          <w:rStyle w:val="FootnoteReference"/>
          <w:sz w:val="24"/>
          <w:szCs w:val="24"/>
        </w:rPr>
        <w:footnoteReference w:id="16"/>
      </w:r>
    </w:p>
    <w:p w14:paraId="44D9A704" w14:textId="77777777" w:rsidR="005C711F" w:rsidRDefault="005C711F" w:rsidP="00431EC8">
      <w:pPr>
        <w:spacing w:after="0"/>
        <w:rPr>
          <w:sz w:val="24"/>
          <w:szCs w:val="24"/>
        </w:rPr>
      </w:pPr>
    </w:p>
    <w:p w14:paraId="1BB7690E" w14:textId="083A6FA4" w:rsidR="00431EC8" w:rsidRDefault="00431EC8" w:rsidP="00431EC8">
      <w:pPr>
        <w:spacing w:after="0"/>
        <w:rPr>
          <w:sz w:val="24"/>
          <w:szCs w:val="24"/>
        </w:rPr>
      </w:pPr>
      <w:r>
        <w:rPr>
          <w:sz w:val="24"/>
          <w:szCs w:val="24"/>
        </w:rPr>
        <w:t>In such an environment, anything that further increases uncertainty about powers of those in positions of public trust</w:t>
      </w:r>
      <w:r w:rsidR="009B0926">
        <w:rPr>
          <w:sz w:val="24"/>
          <w:szCs w:val="24"/>
        </w:rPr>
        <w:t xml:space="preserve"> – or apparent authority - </w:t>
      </w:r>
      <w:r>
        <w:rPr>
          <w:sz w:val="24"/>
          <w:szCs w:val="24"/>
        </w:rPr>
        <w:t xml:space="preserve">particularly the Prime Minister, should be </w:t>
      </w:r>
      <w:r w:rsidR="004647CC">
        <w:rPr>
          <w:sz w:val="24"/>
          <w:szCs w:val="24"/>
        </w:rPr>
        <w:t>r</w:t>
      </w:r>
      <w:r w:rsidR="00CF0EE9">
        <w:rPr>
          <w:sz w:val="24"/>
          <w:szCs w:val="24"/>
        </w:rPr>
        <w:t>egarded as infringing fundamental aspects of the Constitution</w:t>
      </w:r>
      <w:r>
        <w:rPr>
          <w:sz w:val="24"/>
          <w:szCs w:val="24"/>
        </w:rPr>
        <w:t>.</w:t>
      </w:r>
    </w:p>
    <w:p w14:paraId="1C2C7C55" w14:textId="71AA9501" w:rsidR="00BA6BD4" w:rsidRDefault="00BA6BD4" w:rsidP="00BA6BD4">
      <w:pPr>
        <w:spacing w:after="0"/>
        <w:rPr>
          <w:sz w:val="24"/>
          <w:szCs w:val="24"/>
        </w:rPr>
      </w:pPr>
    </w:p>
    <w:p w14:paraId="3823362F" w14:textId="7AAE1BD8" w:rsidR="00BA6BD4" w:rsidRDefault="00BA6BD4" w:rsidP="00BA6BD4">
      <w:pPr>
        <w:pStyle w:val="Heading2"/>
      </w:pPr>
      <w:r>
        <w:t>4.</w:t>
      </w:r>
      <w:r>
        <w:tab/>
        <w:t>Conclusions</w:t>
      </w:r>
    </w:p>
    <w:p w14:paraId="55CBC623" w14:textId="26A08702" w:rsidR="00DE575D" w:rsidRDefault="00DE575D" w:rsidP="00BA6BD4">
      <w:pPr>
        <w:spacing w:after="0"/>
        <w:rPr>
          <w:sz w:val="24"/>
          <w:szCs w:val="24"/>
        </w:rPr>
      </w:pPr>
      <w:r>
        <w:rPr>
          <w:sz w:val="24"/>
          <w:szCs w:val="24"/>
        </w:rPr>
        <w:t>Of itself, non-disclosure of Prime Minister Morrison</w:t>
      </w:r>
      <w:r w:rsidR="00733522">
        <w:rPr>
          <w:sz w:val="24"/>
          <w:szCs w:val="24"/>
        </w:rPr>
        <w:t>’s</w:t>
      </w:r>
      <w:r>
        <w:rPr>
          <w:sz w:val="24"/>
          <w:szCs w:val="24"/>
        </w:rPr>
        <w:t xml:space="preserve"> </w:t>
      </w:r>
      <w:r w:rsidR="00B63377">
        <w:rPr>
          <w:sz w:val="24"/>
          <w:szCs w:val="24"/>
        </w:rPr>
        <w:t>appointment</w:t>
      </w:r>
      <w:r w:rsidR="00FA4F9E">
        <w:rPr>
          <w:sz w:val="24"/>
          <w:szCs w:val="24"/>
        </w:rPr>
        <w:t>s</w:t>
      </w:r>
      <w:r w:rsidR="00B63377">
        <w:rPr>
          <w:sz w:val="24"/>
          <w:szCs w:val="24"/>
        </w:rPr>
        <w:t xml:space="preserve"> </w:t>
      </w:r>
      <w:r>
        <w:rPr>
          <w:sz w:val="24"/>
          <w:szCs w:val="24"/>
        </w:rPr>
        <w:t>to other Ministries is not a major issue.</w:t>
      </w:r>
    </w:p>
    <w:p w14:paraId="29545D0B" w14:textId="77777777" w:rsidR="00DE575D" w:rsidRDefault="00DE575D" w:rsidP="00BA6BD4">
      <w:pPr>
        <w:spacing w:after="0"/>
        <w:rPr>
          <w:sz w:val="24"/>
          <w:szCs w:val="24"/>
        </w:rPr>
      </w:pPr>
    </w:p>
    <w:p w14:paraId="3FC50655" w14:textId="7485B703" w:rsidR="009B0926" w:rsidRDefault="00DE575D" w:rsidP="00BA6BD4">
      <w:pPr>
        <w:spacing w:after="0"/>
        <w:rPr>
          <w:sz w:val="24"/>
          <w:szCs w:val="24"/>
        </w:rPr>
      </w:pPr>
      <w:r>
        <w:rPr>
          <w:sz w:val="24"/>
          <w:szCs w:val="24"/>
        </w:rPr>
        <w:t>However, it must increase uncertainty about powers able to be exercised by those</w:t>
      </w:r>
      <w:r w:rsidR="00733522">
        <w:rPr>
          <w:sz w:val="24"/>
          <w:szCs w:val="24"/>
        </w:rPr>
        <w:t xml:space="preserve"> </w:t>
      </w:r>
      <w:r>
        <w:rPr>
          <w:sz w:val="24"/>
          <w:szCs w:val="24"/>
        </w:rPr>
        <w:t>a</w:t>
      </w:r>
      <w:r w:rsidR="004D4E0A">
        <w:rPr>
          <w:sz w:val="24"/>
          <w:szCs w:val="24"/>
        </w:rPr>
        <w:t>pparent</w:t>
      </w:r>
      <w:r w:rsidR="001C1722">
        <w:rPr>
          <w:sz w:val="24"/>
          <w:szCs w:val="24"/>
        </w:rPr>
        <w:t>ly</w:t>
      </w:r>
      <w:r w:rsidR="004D4E0A">
        <w:rPr>
          <w:sz w:val="24"/>
          <w:szCs w:val="24"/>
        </w:rPr>
        <w:t xml:space="preserve"> </w:t>
      </w:r>
      <w:r w:rsidR="001C1722">
        <w:rPr>
          <w:sz w:val="24"/>
          <w:szCs w:val="24"/>
        </w:rPr>
        <w:t>in position</w:t>
      </w:r>
      <w:r w:rsidR="00F84BD6">
        <w:rPr>
          <w:sz w:val="24"/>
          <w:szCs w:val="24"/>
        </w:rPr>
        <w:t>s</w:t>
      </w:r>
      <w:r w:rsidR="001C1722">
        <w:rPr>
          <w:sz w:val="24"/>
          <w:szCs w:val="24"/>
        </w:rPr>
        <w:t xml:space="preserve"> of </w:t>
      </w:r>
      <w:r w:rsidR="004D4E0A">
        <w:rPr>
          <w:sz w:val="24"/>
          <w:szCs w:val="24"/>
        </w:rPr>
        <w:t>authority</w:t>
      </w:r>
      <w:r w:rsidR="001C1722">
        <w:rPr>
          <w:sz w:val="24"/>
          <w:szCs w:val="24"/>
        </w:rPr>
        <w:t xml:space="preserve"> and public trust</w:t>
      </w:r>
      <w:r>
        <w:rPr>
          <w:sz w:val="24"/>
          <w:szCs w:val="24"/>
        </w:rPr>
        <w:t xml:space="preserve">.  </w:t>
      </w:r>
    </w:p>
    <w:p w14:paraId="3EDAC026" w14:textId="77777777" w:rsidR="004C2ABA" w:rsidRDefault="004C2ABA" w:rsidP="00BA6BD4">
      <w:pPr>
        <w:spacing w:after="0"/>
        <w:rPr>
          <w:sz w:val="24"/>
          <w:szCs w:val="24"/>
        </w:rPr>
      </w:pPr>
    </w:p>
    <w:p w14:paraId="4CBC086D" w14:textId="7E70E4FF" w:rsidR="00DE575D" w:rsidRDefault="00DE575D" w:rsidP="00BA6BD4">
      <w:pPr>
        <w:spacing w:after="0"/>
        <w:rPr>
          <w:sz w:val="24"/>
          <w:szCs w:val="24"/>
        </w:rPr>
      </w:pPr>
      <w:r>
        <w:rPr>
          <w:sz w:val="24"/>
          <w:szCs w:val="24"/>
        </w:rPr>
        <w:t>There is significant uncertainty about that at present, which facilitates abuse of power – and the undermining of representative, responsible and federal government – as demonstrated by Commonwealth spending</w:t>
      </w:r>
      <w:r w:rsidR="009B0926">
        <w:rPr>
          <w:sz w:val="24"/>
          <w:szCs w:val="24"/>
        </w:rPr>
        <w:t>,</w:t>
      </w:r>
      <w:r>
        <w:rPr>
          <w:sz w:val="24"/>
          <w:szCs w:val="24"/>
        </w:rPr>
        <w:t xml:space="preserve"> responses to the pandemic</w:t>
      </w:r>
      <w:r w:rsidR="009B0926">
        <w:rPr>
          <w:sz w:val="24"/>
          <w:szCs w:val="24"/>
        </w:rPr>
        <w:t xml:space="preserve"> and ‘powers needed to deal with emergencies’</w:t>
      </w:r>
      <w:r>
        <w:rPr>
          <w:sz w:val="24"/>
          <w:szCs w:val="24"/>
        </w:rPr>
        <w:t>.</w:t>
      </w:r>
    </w:p>
    <w:p w14:paraId="543EA9B8" w14:textId="77777777" w:rsidR="00DE575D" w:rsidRDefault="00DE575D" w:rsidP="00BA6BD4">
      <w:pPr>
        <w:spacing w:after="0"/>
        <w:rPr>
          <w:sz w:val="24"/>
          <w:szCs w:val="24"/>
        </w:rPr>
      </w:pPr>
    </w:p>
    <w:p w14:paraId="57E4748C" w14:textId="3CF90882" w:rsidR="00476CAE" w:rsidRDefault="00476CAE" w:rsidP="00BA6BD4">
      <w:pPr>
        <w:spacing w:after="0"/>
        <w:rPr>
          <w:sz w:val="24"/>
          <w:szCs w:val="24"/>
        </w:rPr>
      </w:pPr>
      <w:r>
        <w:rPr>
          <w:sz w:val="24"/>
          <w:szCs w:val="24"/>
        </w:rPr>
        <w:t xml:space="preserve">Unlawful </w:t>
      </w:r>
      <w:r w:rsidR="00B63377">
        <w:rPr>
          <w:sz w:val="24"/>
          <w:szCs w:val="24"/>
        </w:rPr>
        <w:t>Commonwealth spending might be regarded by some as largely victimless</w:t>
      </w:r>
      <w:r>
        <w:rPr>
          <w:sz w:val="24"/>
          <w:szCs w:val="24"/>
        </w:rPr>
        <w:t>.</w:t>
      </w:r>
    </w:p>
    <w:p w14:paraId="6E8A3380" w14:textId="77777777" w:rsidR="004D4E0A" w:rsidRDefault="004D4E0A" w:rsidP="00BA6BD4">
      <w:pPr>
        <w:spacing w:after="0"/>
        <w:rPr>
          <w:sz w:val="24"/>
          <w:szCs w:val="24"/>
        </w:rPr>
      </w:pPr>
    </w:p>
    <w:p w14:paraId="7221FCB3" w14:textId="46971FDF" w:rsidR="00AC4818" w:rsidRDefault="00476CAE" w:rsidP="00BA6BD4">
      <w:pPr>
        <w:spacing w:after="0"/>
        <w:rPr>
          <w:sz w:val="24"/>
          <w:szCs w:val="24"/>
        </w:rPr>
      </w:pPr>
      <w:r>
        <w:rPr>
          <w:sz w:val="24"/>
          <w:szCs w:val="24"/>
        </w:rPr>
        <w:t>Similarly</w:t>
      </w:r>
      <w:r w:rsidR="00B63377">
        <w:rPr>
          <w:sz w:val="24"/>
          <w:szCs w:val="24"/>
        </w:rPr>
        <w:t xml:space="preserve">, </w:t>
      </w:r>
      <w:r w:rsidR="00AC4818">
        <w:rPr>
          <w:sz w:val="24"/>
          <w:szCs w:val="24"/>
        </w:rPr>
        <w:t xml:space="preserve">some might regard </w:t>
      </w:r>
      <w:r w:rsidR="00B63377">
        <w:rPr>
          <w:sz w:val="24"/>
          <w:szCs w:val="24"/>
        </w:rPr>
        <w:t xml:space="preserve">the undisclosed </w:t>
      </w:r>
      <w:r w:rsidR="00FA4F9E">
        <w:rPr>
          <w:sz w:val="24"/>
          <w:szCs w:val="24"/>
        </w:rPr>
        <w:t xml:space="preserve">Ministerial </w:t>
      </w:r>
      <w:r w:rsidR="00B63377">
        <w:rPr>
          <w:sz w:val="24"/>
          <w:szCs w:val="24"/>
        </w:rPr>
        <w:t xml:space="preserve">appointments </w:t>
      </w:r>
      <w:r>
        <w:rPr>
          <w:sz w:val="24"/>
          <w:szCs w:val="24"/>
        </w:rPr>
        <w:t>as victimless</w:t>
      </w:r>
      <w:r w:rsidR="00AC4818">
        <w:rPr>
          <w:sz w:val="24"/>
          <w:szCs w:val="24"/>
        </w:rPr>
        <w:t>.</w:t>
      </w:r>
    </w:p>
    <w:p w14:paraId="7DA6FDAF" w14:textId="0A5F10F2" w:rsidR="00191488" w:rsidRDefault="00191488" w:rsidP="00BA6BD4">
      <w:pPr>
        <w:spacing w:after="0"/>
        <w:rPr>
          <w:sz w:val="24"/>
          <w:szCs w:val="24"/>
        </w:rPr>
      </w:pPr>
    </w:p>
    <w:p w14:paraId="7C19DCD1" w14:textId="5B248256" w:rsidR="00191488" w:rsidRDefault="00191488" w:rsidP="00BA6BD4">
      <w:pPr>
        <w:spacing w:after="0"/>
        <w:rPr>
          <w:sz w:val="24"/>
          <w:szCs w:val="24"/>
        </w:rPr>
      </w:pPr>
      <w:r>
        <w:rPr>
          <w:sz w:val="24"/>
          <w:szCs w:val="24"/>
        </w:rPr>
        <w:t xml:space="preserve">Nonetheless, both </w:t>
      </w:r>
      <w:r w:rsidR="004D4E0A">
        <w:rPr>
          <w:sz w:val="24"/>
          <w:szCs w:val="24"/>
        </w:rPr>
        <w:t xml:space="preserve">are </w:t>
      </w:r>
      <w:r w:rsidR="001F57C5">
        <w:rPr>
          <w:sz w:val="24"/>
          <w:szCs w:val="24"/>
        </w:rPr>
        <w:t>associated with</w:t>
      </w:r>
      <w:r w:rsidR="004D4E0A">
        <w:rPr>
          <w:sz w:val="24"/>
          <w:szCs w:val="24"/>
        </w:rPr>
        <w:t xml:space="preserve"> a pattern observable since at least the turn of the century </w:t>
      </w:r>
      <w:r>
        <w:rPr>
          <w:sz w:val="24"/>
          <w:szCs w:val="24"/>
        </w:rPr>
        <w:t xml:space="preserve">in which representative and responsible government is being </w:t>
      </w:r>
      <w:r w:rsidR="00F84BD6">
        <w:rPr>
          <w:sz w:val="24"/>
          <w:szCs w:val="24"/>
        </w:rPr>
        <w:t>d</w:t>
      </w:r>
      <w:r>
        <w:rPr>
          <w:sz w:val="24"/>
          <w:szCs w:val="24"/>
        </w:rPr>
        <w:t>e</w:t>
      </w:r>
      <w:r w:rsidR="00F84BD6">
        <w:rPr>
          <w:sz w:val="24"/>
          <w:szCs w:val="24"/>
        </w:rPr>
        <w:t>v</w:t>
      </w:r>
      <w:r>
        <w:rPr>
          <w:sz w:val="24"/>
          <w:szCs w:val="24"/>
        </w:rPr>
        <w:t>alued and undermined</w:t>
      </w:r>
      <w:r w:rsidR="00FA4F9E">
        <w:rPr>
          <w:sz w:val="24"/>
          <w:szCs w:val="24"/>
        </w:rPr>
        <w:t xml:space="preserve"> </w:t>
      </w:r>
      <w:r w:rsidR="00FA4F9E">
        <w:rPr>
          <w:sz w:val="24"/>
          <w:szCs w:val="24"/>
        </w:rPr>
        <w:t xml:space="preserve">– </w:t>
      </w:r>
      <w:r w:rsidR="00FA4F9E">
        <w:rPr>
          <w:sz w:val="24"/>
          <w:szCs w:val="24"/>
        </w:rPr>
        <w:t>especially by</w:t>
      </w:r>
      <w:r w:rsidR="00FA4F9E">
        <w:rPr>
          <w:sz w:val="24"/>
          <w:szCs w:val="24"/>
        </w:rPr>
        <w:t xml:space="preserve"> </w:t>
      </w:r>
      <w:r w:rsidR="001F57C5">
        <w:rPr>
          <w:sz w:val="24"/>
          <w:szCs w:val="24"/>
        </w:rPr>
        <w:t>fearmongering, Constitutional risk and insistence on secrecy to reduce opposition to Government arrogation of power</w:t>
      </w:r>
      <w:r>
        <w:rPr>
          <w:sz w:val="24"/>
          <w:szCs w:val="24"/>
        </w:rPr>
        <w:t xml:space="preserve">. </w:t>
      </w:r>
    </w:p>
    <w:p w14:paraId="1A916110" w14:textId="2F5F5642" w:rsidR="00AC4818" w:rsidRDefault="00AC4818" w:rsidP="00BA6BD4">
      <w:pPr>
        <w:spacing w:after="0"/>
        <w:rPr>
          <w:sz w:val="24"/>
          <w:szCs w:val="24"/>
        </w:rPr>
      </w:pPr>
    </w:p>
    <w:p w14:paraId="409B1DC5" w14:textId="749B6561" w:rsidR="00771825" w:rsidRDefault="00771825" w:rsidP="00BA6BD4">
      <w:pPr>
        <w:spacing w:after="0"/>
        <w:rPr>
          <w:sz w:val="24"/>
          <w:szCs w:val="24"/>
        </w:rPr>
      </w:pPr>
      <w:r>
        <w:rPr>
          <w:sz w:val="24"/>
          <w:szCs w:val="24"/>
        </w:rPr>
        <w:t xml:space="preserve">At least the first </w:t>
      </w:r>
      <w:r w:rsidR="00191488">
        <w:rPr>
          <w:sz w:val="24"/>
          <w:szCs w:val="24"/>
        </w:rPr>
        <w:t xml:space="preserve">undisclosed </w:t>
      </w:r>
      <w:r>
        <w:rPr>
          <w:sz w:val="24"/>
          <w:szCs w:val="24"/>
        </w:rPr>
        <w:t xml:space="preserve">appointments </w:t>
      </w:r>
      <w:r w:rsidR="00C75F8D">
        <w:rPr>
          <w:sz w:val="24"/>
          <w:szCs w:val="24"/>
        </w:rPr>
        <w:t xml:space="preserve">of Mr Morrison </w:t>
      </w:r>
      <w:r w:rsidR="00191488">
        <w:rPr>
          <w:sz w:val="24"/>
          <w:szCs w:val="24"/>
        </w:rPr>
        <w:t xml:space="preserve">were in response to the pandemic.  They </w:t>
      </w:r>
      <w:r>
        <w:rPr>
          <w:sz w:val="24"/>
          <w:szCs w:val="24"/>
        </w:rPr>
        <w:t>might be contrasted with other</w:t>
      </w:r>
      <w:r w:rsidR="00564B80">
        <w:rPr>
          <w:sz w:val="24"/>
          <w:szCs w:val="24"/>
        </w:rPr>
        <w:t>, more</w:t>
      </w:r>
      <w:r>
        <w:rPr>
          <w:sz w:val="24"/>
          <w:szCs w:val="24"/>
        </w:rPr>
        <w:t xml:space="preserve"> </w:t>
      </w:r>
      <w:r w:rsidR="00191488">
        <w:rPr>
          <w:sz w:val="24"/>
          <w:szCs w:val="24"/>
        </w:rPr>
        <w:t>dubious</w:t>
      </w:r>
      <w:r w:rsidR="00564B80">
        <w:rPr>
          <w:sz w:val="24"/>
          <w:szCs w:val="24"/>
        </w:rPr>
        <w:t>,</w:t>
      </w:r>
      <w:r w:rsidR="00191488">
        <w:rPr>
          <w:sz w:val="24"/>
          <w:szCs w:val="24"/>
        </w:rPr>
        <w:t xml:space="preserve"> </w:t>
      </w:r>
      <w:r>
        <w:rPr>
          <w:sz w:val="24"/>
          <w:szCs w:val="24"/>
        </w:rPr>
        <w:t>responses to the pandemic that appear to involve significant abuses of power and were certainly not victimless.</w:t>
      </w:r>
    </w:p>
    <w:p w14:paraId="2499F1C8" w14:textId="77777777" w:rsidR="00771825" w:rsidRDefault="00771825" w:rsidP="00BA6BD4">
      <w:pPr>
        <w:spacing w:after="0"/>
        <w:rPr>
          <w:sz w:val="24"/>
          <w:szCs w:val="24"/>
        </w:rPr>
      </w:pPr>
    </w:p>
    <w:p w14:paraId="0771578B" w14:textId="26FF50F6" w:rsidR="00771825" w:rsidRDefault="00771825" w:rsidP="00BA6BD4">
      <w:pPr>
        <w:spacing w:after="0"/>
        <w:rPr>
          <w:sz w:val="24"/>
          <w:szCs w:val="24"/>
        </w:rPr>
      </w:pPr>
      <w:r>
        <w:rPr>
          <w:sz w:val="24"/>
          <w:szCs w:val="24"/>
        </w:rPr>
        <w:t xml:space="preserve">The absence of </w:t>
      </w:r>
      <w:r w:rsidR="00FA4F9E">
        <w:rPr>
          <w:sz w:val="24"/>
          <w:szCs w:val="24"/>
        </w:rPr>
        <w:t xml:space="preserve">proper explanation of and </w:t>
      </w:r>
      <w:r>
        <w:rPr>
          <w:sz w:val="24"/>
          <w:szCs w:val="24"/>
        </w:rPr>
        <w:t>public inquiry into those other responses is disturbing</w:t>
      </w:r>
      <w:r w:rsidR="0041442D">
        <w:rPr>
          <w:sz w:val="24"/>
          <w:szCs w:val="24"/>
        </w:rPr>
        <w:t>.  Among the reasons is</w:t>
      </w:r>
      <w:r>
        <w:rPr>
          <w:sz w:val="24"/>
          <w:szCs w:val="24"/>
        </w:rPr>
        <w:t xml:space="preserve"> they </w:t>
      </w:r>
      <w:r w:rsidR="00564B80">
        <w:rPr>
          <w:sz w:val="24"/>
          <w:szCs w:val="24"/>
        </w:rPr>
        <w:t xml:space="preserve">– </w:t>
      </w:r>
      <w:r w:rsidR="001C1722">
        <w:rPr>
          <w:sz w:val="24"/>
          <w:szCs w:val="24"/>
        </w:rPr>
        <w:t>like</w:t>
      </w:r>
      <w:r w:rsidR="00564B80">
        <w:rPr>
          <w:sz w:val="24"/>
          <w:szCs w:val="24"/>
        </w:rPr>
        <w:t xml:space="preserve"> acquiescence </w:t>
      </w:r>
      <w:r w:rsidR="0041442D">
        <w:rPr>
          <w:sz w:val="24"/>
          <w:szCs w:val="24"/>
        </w:rPr>
        <w:t xml:space="preserve">to </w:t>
      </w:r>
      <w:r w:rsidR="001C1722">
        <w:rPr>
          <w:sz w:val="24"/>
          <w:szCs w:val="24"/>
        </w:rPr>
        <w:t>Ministers a</w:t>
      </w:r>
      <w:r w:rsidR="0041442D">
        <w:rPr>
          <w:sz w:val="24"/>
          <w:szCs w:val="24"/>
        </w:rPr>
        <w:t>nd officials threatening to</w:t>
      </w:r>
      <w:r w:rsidR="00F84BD6">
        <w:rPr>
          <w:sz w:val="24"/>
          <w:szCs w:val="24"/>
        </w:rPr>
        <w:t xml:space="preserve"> use </w:t>
      </w:r>
      <w:r w:rsidR="00564B80">
        <w:rPr>
          <w:sz w:val="24"/>
          <w:szCs w:val="24"/>
        </w:rPr>
        <w:t>ill-defined</w:t>
      </w:r>
      <w:r w:rsidR="0041442D">
        <w:rPr>
          <w:sz w:val="24"/>
          <w:szCs w:val="24"/>
        </w:rPr>
        <w:t>,</w:t>
      </w:r>
      <w:r w:rsidR="00564B80">
        <w:rPr>
          <w:sz w:val="24"/>
          <w:szCs w:val="24"/>
        </w:rPr>
        <w:t xml:space="preserve"> improperly justified </w:t>
      </w:r>
      <w:r w:rsidR="0041442D">
        <w:rPr>
          <w:sz w:val="24"/>
          <w:szCs w:val="24"/>
        </w:rPr>
        <w:t xml:space="preserve">‘emergency’ powers outside effective Parliamentary control - </w:t>
      </w:r>
      <w:r>
        <w:rPr>
          <w:sz w:val="24"/>
          <w:szCs w:val="24"/>
        </w:rPr>
        <w:t>pose a serious enduring threat to representative and responsible government in Australia.</w:t>
      </w:r>
      <w:r w:rsidR="002C77A9">
        <w:rPr>
          <w:sz w:val="24"/>
          <w:szCs w:val="24"/>
        </w:rPr>
        <w:t xml:space="preserve">  </w:t>
      </w:r>
      <w:r w:rsidR="00B12BB0">
        <w:rPr>
          <w:sz w:val="24"/>
          <w:szCs w:val="24"/>
        </w:rPr>
        <w:t xml:space="preserve">Instead of </w:t>
      </w:r>
      <w:r w:rsidR="002C77A9">
        <w:rPr>
          <w:sz w:val="24"/>
          <w:szCs w:val="24"/>
        </w:rPr>
        <w:t>allowing</w:t>
      </w:r>
      <w:r w:rsidR="00B12BB0">
        <w:rPr>
          <w:sz w:val="24"/>
          <w:szCs w:val="24"/>
        </w:rPr>
        <w:t xml:space="preserve"> - </w:t>
      </w:r>
      <w:r w:rsidR="002C77A9">
        <w:rPr>
          <w:sz w:val="24"/>
          <w:szCs w:val="24"/>
        </w:rPr>
        <w:t>even facilitating</w:t>
      </w:r>
      <w:r w:rsidR="00B12BB0">
        <w:rPr>
          <w:sz w:val="24"/>
          <w:szCs w:val="24"/>
        </w:rPr>
        <w:t xml:space="preserve"> - such problems,</w:t>
      </w:r>
      <w:r w:rsidR="002C77A9">
        <w:rPr>
          <w:sz w:val="24"/>
          <w:szCs w:val="24"/>
        </w:rPr>
        <w:t xml:space="preserve"> Parliamentarians </w:t>
      </w:r>
      <w:r w:rsidR="00B12BB0">
        <w:rPr>
          <w:sz w:val="24"/>
          <w:szCs w:val="24"/>
        </w:rPr>
        <w:t xml:space="preserve">should meet </w:t>
      </w:r>
      <w:r w:rsidR="002C77A9">
        <w:rPr>
          <w:sz w:val="24"/>
          <w:szCs w:val="24"/>
        </w:rPr>
        <w:t>their principal responsibilities.</w:t>
      </w:r>
    </w:p>
    <w:p w14:paraId="357BC44A" w14:textId="68262A6A" w:rsidR="00191488" w:rsidRDefault="00191488" w:rsidP="00BA6BD4">
      <w:pPr>
        <w:spacing w:after="0"/>
        <w:rPr>
          <w:sz w:val="24"/>
          <w:szCs w:val="24"/>
        </w:rPr>
      </w:pPr>
    </w:p>
    <w:sectPr w:rsidR="001914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8A94" w14:textId="77777777" w:rsidR="00BC0F19" w:rsidRDefault="00BC0F19" w:rsidP="005443AF">
      <w:pPr>
        <w:spacing w:after="0" w:line="240" w:lineRule="auto"/>
      </w:pPr>
      <w:r>
        <w:separator/>
      </w:r>
    </w:p>
  </w:endnote>
  <w:endnote w:type="continuationSeparator" w:id="0">
    <w:p w14:paraId="401AF204" w14:textId="77777777" w:rsidR="00BC0F19" w:rsidRDefault="00BC0F19" w:rsidP="0054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3358" w14:textId="77777777" w:rsidR="00496565" w:rsidRDefault="00496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802763"/>
      <w:docPartObj>
        <w:docPartGallery w:val="Page Numbers (Bottom of Page)"/>
        <w:docPartUnique/>
      </w:docPartObj>
    </w:sdtPr>
    <w:sdtEndPr>
      <w:rPr>
        <w:noProof/>
      </w:rPr>
    </w:sdtEndPr>
    <w:sdtContent>
      <w:p w14:paraId="05642A6C" w14:textId="23B82C9A" w:rsidR="00496565" w:rsidRDefault="00496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BD0C6" w14:textId="77777777" w:rsidR="00496565" w:rsidRDefault="00496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5AF4" w14:textId="77777777" w:rsidR="00496565" w:rsidRDefault="0049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BF2B" w14:textId="77777777" w:rsidR="00BC0F19" w:rsidRDefault="00BC0F19" w:rsidP="005443AF">
      <w:pPr>
        <w:spacing w:after="0" w:line="240" w:lineRule="auto"/>
      </w:pPr>
      <w:r>
        <w:separator/>
      </w:r>
    </w:p>
  </w:footnote>
  <w:footnote w:type="continuationSeparator" w:id="0">
    <w:p w14:paraId="035B14FA" w14:textId="77777777" w:rsidR="00BC0F19" w:rsidRDefault="00BC0F19" w:rsidP="005443AF">
      <w:pPr>
        <w:spacing w:after="0" w:line="240" w:lineRule="auto"/>
      </w:pPr>
      <w:r>
        <w:continuationSeparator/>
      </w:r>
    </w:p>
  </w:footnote>
  <w:footnote w:id="1">
    <w:p w14:paraId="6603937F" w14:textId="1FFB518D" w:rsidR="00CC3015" w:rsidRPr="004432EC" w:rsidRDefault="00CC3015">
      <w:pPr>
        <w:pStyle w:val="FootnoteText"/>
        <w:rPr>
          <w:sz w:val="16"/>
          <w:szCs w:val="16"/>
        </w:rPr>
      </w:pPr>
      <w:r w:rsidRPr="004432EC">
        <w:rPr>
          <w:rStyle w:val="FootnoteReference"/>
          <w:sz w:val="16"/>
          <w:szCs w:val="16"/>
        </w:rPr>
        <w:footnoteRef/>
      </w:r>
      <w:r w:rsidRPr="004432EC">
        <w:rPr>
          <w:sz w:val="16"/>
          <w:szCs w:val="16"/>
        </w:rPr>
        <w:t xml:space="preserve"> </w:t>
      </w:r>
      <w:r w:rsidR="004432EC" w:rsidRPr="004432EC">
        <w:rPr>
          <w:i/>
          <w:iCs/>
          <w:sz w:val="16"/>
          <w:szCs w:val="16"/>
        </w:rPr>
        <w:t>Solicitor General’s Opinion – SG No 12 of 2022</w:t>
      </w:r>
      <w:r w:rsidR="004432EC">
        <w:rPr>
          <w:i/>
          <w:iCs/>
          <w:sz w:val="16"/>
          <w:szCs w:val="16"/>
        </w:rPr>
        <w:t>:</w:t>
      </w:r>
      <w:r w:rsidR="004432EC" w:rsidRPr="004432EC">
        <w:rPr>
          <w:sz w:val="16"/>
          <w:szCs w:val="16"/>
        </w:rPr>
        <w:t xml:space="preserve"> at </w:t>
      </w:r>
      <w:hyperlink r:id="rId1" w:history="1">
        <w:r w:rsidR="004432EC" w:rsidRPr="004432EC">
          <w:rPr>
            <w:rStyle w:val="Hyperlink"/>
            <w:sz w:val="16"/>
            <w:szCs w:val="16"/>
          </w:rPr>
          <w:t>https://www.ministriesinquiry.gov.au/publications/solicitor-generals-opinion-sg-no-12-2022</w:t>
        </w:r>
      </w:hyperlink>
    </w:p>
    <w:p w14:paraId="057CC0CF" w14:textId="77777777" w:rsidR="004432EC" w:rsidRDefault="004432EC">
      <w:pPr>
        <w:pStyle w:val="FootnoteText"/>
      </w:pPr>
    </w:p>
  </w:footnote>
  <w:footnote w:id="2">
    <w:p w14:paraId="5365E3A2" w14:textId="069DD06E" w:rsidR="005443AF" w:rsidRDefault="005443AF">
      <w:pPr>
        <w:pStyle w:val="FootnoteText"/>
        <w:rPr>
          <w:rFonts w:cstheme="minorHAnsi"/>
          <w:sz w:val="16"/>
          <w:szCs w:val="16"/>
        </w:rPr>
      </w:pPr>
      <w:r>
        <w:rPr>
          <w:rStyle w:val="FootnoteReference"/>
        </w:rPr>
        <w:footnoteRef/>
      </w:r>
      <w:r>
        <w:t xml:space="preserve"> </w:t>
      </w:r>
      <w:r w:rsidR="00D31F82" w:rsidRPr="00CB270E">
        <w:rPr>
          <w:sz w:val="16"/>
          <w:szCs w:val="16"/>
        </w:rPr>
        <w:t>For example</w:t>
      </w:r>
      <w:r w:rsidR="00B76E7E">
        <w:rPr>
          <w:sz w:val="16"/>
          <w:szCs w:val="16"/>
        </w:rPr>
        <w:t>,</w:t>
      </w:r>
      <w:r w:rsidR="00D31F82" w:rsidRPr="00CB270E">
        <w:rPr>
          <w:sz w:val="16"/>
          <w:szCs w:val="16"/>
        </w:rPr>
        <w:t xml:space="preserve"> Gagelar J</w:t>
      </w:r>
      <w:r w:rsidR="00CB270E" w:rsidRPr="00CB270E">
        <w:rPr>
          <w:sz w:val="16"/>
          <w:szCs w:val="16"/>
        </w:rPr>
        <w:t>:</w:t>
      </w:r>
      <w:r w:rsidR="00D31F82" w:rsidRPr="00CB270E">
        <w:rPr>
          <w:sz w:val="16"/>
          <w:szCs w:val="16"/>
        </w:rPr>
        <w:t xml:space="preserve"> </w:t>
      </w:r>
      <w:r w:rsidR="00CB270E" w:rsidRPr="00CB270E">
        <w:rPr>
          <w:i/>
          <w:iCs/>
          <w:sz w:val="16"/>
          <w:szCs w:val="16"/>
        </w:rPr>
        <w:t>‘…</w:t>
      </w:r>
      <w:r w:rsidR="00CB270E" w:rsidRPr="00CB270E">
        <w:rPr>
          <w:rFonts w:cstheme="minorHAnsi"/>
          <w:i/>
          <w:iCs/>
          <w:color w:val="000000"/>
          <w:sz w:val="16"/>
          <w:szCs w:val="16"/>
          <w:shd w:val="clear" w:color="auto" w:fill="FFFFFF"/>
        </w:rPr>
        <w:t>freedom of communication to and between electors, and between electors and elected legislative and executive representatives, on matters of government and politics is an "indispensable incident" of the system of representative and responsible government prescribed by the Constitution’</w:t>
      </w:r>
      <w:r w:rsidR="00CB270E">
        <w:rPr>
          <w:rFonts w:cstheme="minorHAnsi"/>
          <w:i/>
          <w:iCs/>
          <w:color w:val="000000"/>
          <w:sz w:val="16"/>
          <w:szCs w:val="16"/>
          <w:shd w:val="clear" w:color="auto" w:fill="FFFFFF"/>
        </w:rPr>
        <w:t xml:space="preserve"> </w:t>
      </w:r>
      <w:r w:rsidR="00CB270E" w:rsidRPr="00CB270E">
        <w:rPr>
          <w:rFonts w:cstheme="minorHAnsi"/>
          <w:color w:val="333333"/>
          <w:sz w:val="16"/>
          <w:szCs w:val="16"/>
          <w:shd w:val="clear" w:color="auto" w:fill="FFFFFF"/>
        </w:rPr>
        <w:t>Farm Transparency International Ltd v New South Wales </w:t>
      </w:r>
      <w:r w:rsidR="002879A3">
        <w:rPr>
          <w:rFonts w:cstheme="minorHAnsi"/>
          <w:sz w:val="16"/>
          <w:szCs w:val="16"/>
        </w:rPr>
        <w:t>[2022]HCA 23 at</w:t>
      </w:r>
      <w:r w:rsidR="00CB270E" w:rsidRPr="00CB270E">
        <w:rPr>
          <w:rFonts w:cstheme="minorHAnsi"/>
          <w:sz w:val="16"/>
          <w:szCs w:val="16"/>
        </w:rPr>
        <w:t xml:space="preserve">  </w:t>
      </w:r>
      <w:hyperlink r:id="rId2" w:history="1">
        <w:r w:rsidR="002879A3" w:rsidRPr="000B53E0">
          <w:rPr>
            <w:rStyle w:val="Hyperlink"/>
            <w:rFonts w:cstheme="minorHAnsi"/>
            <w:sz w:val="16"/>
            <w:szCs w:val="16"/>
          </w:rPr>
          <w:t>https://www.hcourt.gov.au/cases/case_s83-2021</w:t>
        </w:r>
      </w:hyperlink>
    </w:p>
    <w:p w14:paraId="50200317" w14:textId="77777777" w:rsidR="002879A3" w:rsidRPr="00CB270E" w:rsidRDefault="002879A3">
      <w:pPr>
        <w:pStyle w:val="FootnoteText"/>
        <w:rPr>
          <w:rFonts w:cstheme="minorHAnsi"/>
          <w:sz w:val="16"/>
          <w:szCs w:val="16"/>
        </w:rPr>
      </w:pPr>
    </w:p>
  </w:footnote>
  <w:footnote w:id="3">
    <w:p w14:paraId="67093ED7" w14:textId="09E292E8" w:rsidR="00381FB7" w:rsidRPr="00ED0B22" w:rsidRDefault="00381FB7">
      <w:pPr>
        <w:pStyle w:val="FootnoteText"/>
        <w:rPr>
          <w:sz w:val="16"/>
          <w:szCs w:val="16"/>
        </w:rPr>
      </w:pPr>
      <w:r w:rsidRPr="00ED0B22">
        <w:rPr>
          <w:rStyle w:val="FootnoteReference"/>
          <w:sz w:val="16"/>
          <w:szCs w:val="16"/>
        </w:rPr>
        <w:footnoteRef/>
      </w:r>
      <w:r w:rsidRPr="00ED0B22">
        <w:rPr>
          <w:sz w:val="16"/>
          <w:szCs w:val="16"/>
        </w:rPr>
        <w:t xml:space="preserve"> Proxies in the other house – for example a Senator represent</w:t>
      </w:r>
      <w:r w:rsidR="00B76E7E">
        <w:rPr>
          <w:sz w:val="16"/>
          <w:szCs w:val="16"/>
        </w:rPr>
        <w:t>ing</w:t>
      </w:r>
      <w:r w:rsidRPr="00ED0B22">
        <w:rPr>
          <w:sz w:val="16"/>
          <w:szCs w:val="16"/>
        </w:rPr>
        <w:t xml:space="preserve"> a Minister </w:t>
      </w:r>
      <w:r w:rsidR="00ED0B22" w:rsidRPr="00ED0B22">
        <w:rPr>
          <w:sz w:val="16"/>
          <w:szCs w:val="16"/>
        </w:rPr>
        <w:t>who sits in the House of Representatives.</w:t>
      </w:r>
    </w:p>
  </w:footnote>
  <w:footnote w:id="4">
    <w:p w14:paraId="387F4C45" w14:textId="77777777" w:rsidR="00B76E7E" w:rsidRDefault="00B76E7E">
      <w:pPr>
        <w:pStyle w:val="FootnoteText"/>
        <w:rPr>
          <w:rFonts w:cstheme="minorHAnsi"/>
          <w:sz w:val="16"/>
          <w:szCs w:val="16"/>
        </w:rPr>
      </w:pPr>
    </w:p>
    <w:p w14:paraId="18BC06BB" w14:textId="258D4AE7" w:rsidR="00B25733" w:rsidRPr="00E87BF9" w:rsidRDefault="00B25733">
      <w:pPr>
        <w:pStyle w:val="FootnoteText"/>
        <w:rPr>
          <w:rFonts w:cstheme="minorHAnsi"/>
          <w:color w:val="000000"/>
          <w:sz w:val="16"/>
          <w:szCs w:val="16"/>
          <w:shd w:val="clear" w:color="auto" w:fill="FFFFFF"/>
        </w:rPr>
      </w:pPr>
      <w:r w:rsidRPr="00E87BF9">
        <w:rPr>
          <w:rStyle w:val="FootnoteReference"/>
          <w:rFonts w:cstheme="minorHAnsi"/>
          <w:sz w:val="16"/>
          <w:szCs w:val="16"/>
        </w:rPr>
        <w:footnoteRef/>
      </w:r>
      <w:r w:rsidRPr="00E87BF9">
        <w:rPr>
          <w:rFonts w:cstheme="minorHAnsi"/>
          <w:sz w:val="16"/>
          <w:szCs w:val="16"/>
        </w:rPr>
        <w:t xml:space="preserve"> </w:t>
      </w:r>
      <w:r w:rsidRPr="00E87BF9">
        <w:rPr>
          <w:rFonts w:cstheme="minorHAnsi"/>
          <w:color w:val="000000"/>
          <w:sz w:val="16"/>
          <w:szCs w:val="16"/>
          <w:shd w:val="clear" w:color="auto" w:fill="FFFFFF"/>
        </w:rPr>
        <w:t>Re Patterson; Ex parte Taylor [2001] HCA 51</w:t>
      </w:r>
    </w:p>
    <w:p w14:paraId="1D7B6EFF" w14:textId="77777777" w:rsidR="00B25733" w:rsidRPr="008250A4" w:rsidRDefault="00B25733">
      <w:pPr>
        <w:pStyle w:val="FootnoteText"/>
        <w:rPr>
          <w:rFonts w:cstheme="minorHAnsi"/>
          <w:sz w:val="16"/>
          <w:szCs w:val="16"/>
        </w:rPr>
      </w:pPr>
    </w:p>
  </w:footnote>
  <w:footnote w:id="5">
    <w:p w14:paraId="5C9D4F10" w14:textId="32F90267" w:rsidR="00DE6E51" w:rsidRPr="000B10BD" w:rsidRDefault="00DE6E51">
      <w:pPr>
        <w:pStyle w:val="FootnoteText"/>
        <w:rPr>
          <w:sz w:val="16"/>
          <w:szCs w:val="16"/>
        </w:rPr>
      </w:pPr>
      <w:r w:rsidRPr="008250A4">
        <w:rPr>
          <w:rStyle w:val="FootnoteReference"/>
          <w:sz w:val="16"/>
          <w:szCs w:val="16"/>
        </w:rPr>
        <w:footnoteRef/>
      </w:r>
      <w:r w:rsidRPr="008250A4">
        <w:rPr>
          <w:sz w:val="16"/>
          <w:szCs w:val="16"/>
        </w:rPr>
        <w:t xml:space="preserve"> </w:t>
      </w:r>
      <w:r w:rsidR="00B25733" w:rsidRPr="008250A4">
        <w:rPr>
          <w:sz w:val="16"/>
          <w:szCs w:val="16"/>
        </w:rPr>
        <w:t>For example, at present there are six Ministers administering the Prime Minister</w:t>
      </w:r>
      <w:r w:rsidR="004432EC">
        <w:rPr>
          <w:sz w:val="16"/>
          <w:szCs w:val="16"/>
        </w:rPr>
        <w:t>’</w:t>
      </w:r>
      <w:r w:rsidR="00B25733" w:rsidRPr="008250A4">
        <w:rPr>
          <w:sz w:val="16"/>
          <w:szCs w:val="16"/>
        </w:rPr>
        <w:t>s Department</w:t>
      </w:r>
      <w:r w:rsidR="004432EC">
        <w:rPr>
          <w:sz w:val="16"/>
          <w:szCs w:val="16"/>
        </w:rPr>
        <w:t xml:space="preserve"> at least two of whom also administer other Departments.  See: </w:t>
      </w:r>
      <w:hyperlink r:id="rId3" w:history="1">
        <w:r w:rsidR="004432EC" w:rsidRPr="005B1CBB">
          <w:rPr>
            <w:rStyle w:val="Hyperlink"/>
            <w:sz w:val="16"/>
            <w:szCs w:val="16"/>
          </w:rPr>
          <w:t>https://www.pmc.gov.au/who-we-are/ministers</w:t>
        </w:r>
      </w:hyperlink>
    </w:p>
    <w:p w14:paraId="04467367" w14:textId="77777777" w:rsidR="00B25733" w:rsidRPr="000B10BD" w:rsidRDefault="00B25733">
      <w:pPr>
        <w:pStyle w:val="FootnoteText"/>
        <w:rPr>
          <w:sz w:val="16"/>
          <w:szCs w:val="16"/>
        </w:rPr>
      </w:pPr>
    </w:p>
  </w:footnote>
  <w:footnote w:id="6">
    <w:p w14:paraId="264B1DBA" w14:textId="6D73AF74" w:rsidR="008C7A7F" w:rsidRDefault="008C7A7F">
      <w:pPr>
        <w:pStyle w:val="FootnoteText"/>
        <w:rPr>
          <w:sz w:val="16"/>
          <w:szCs w:val="16"/>
        </w:rPr>
      </w:pPr>
      <w:r w:rsidRPr="000B10BD">
        <w:rPr>
          <w:rStyle w:val="FootnoteReference"/>
          <w:sz w:val="16"/>
          <w:szCs w:val="16"/>
        </w:rPr>
        <w:footnoteRef/>
      </w:r>
      <w:r w:rsidRPr="000B10BD">
        <w:rPr>
          <w:sz w:val="16"/>
          <w:szCs w:val="16"/>
        </w:rPr>
        <w:t xml:space="preserve"> </w:t>
      </w:r>
      <w:hyperlink r:id="rId4" w:history="1">
        <w:r w:rsidR="000B10BD" w:rsidRPr="005B1CBB">
          <w:rPr>
            <w:rStyle w:val="Hyperlink"/>
            <w:sz w:val="16"/>
            <w:szCs w:val="16"/>
          </w:rPr>
          <w:t>https://www.abc.net.au/news/2022-08-24/scott-morrison-secret-ministries-what-next/101363602</w:t>
        </w:r>
      </w:hyperlink>
    </w:p>
    <w:p w14:paraId="0D7D58DC" w14:textId="77777777" w:rsidR="000B10BD" w:rsidRDefault="000B10BD">
      <w:pPr>
        <w:pStyle w:val="FootnoteText"/>
      </w:pPr>
    </w:p>
  </w:footnote>
  <w:footnote w:id="7">
    <w:p w14:paraId="5FDF5469" w14:textId="59BD454A" w:rsidR="003543CB" w:rsidRDefault="003543CB">
      <w:pPr>
        <w:pStyle w:val="FootnoteText"/>
        <w:rPr>
          <w:sz w:val="16"/>
          <w:szCs w:val="16"/>
        </w:rPr>
      </w:pPr>
      <w:r w:rsidRPr="003543CB">
        <w:rPr>
          <w:rStyle w:val="FootnoteReference"/>
          <w:sz w:val="16"/>
          <w:szCs w:val="16"/>
        </w:rPr>
        <w:footnoteRef/>
      </w:r>
      <w:r w:rsidRPr="003543CB">
        <w:rPr>
          <w:sz w:val="16"/>
          <w:szCs w:val="16"/>
        </w:rPr>
        <w:t xml:space="preserve"> Potential, because </w:t>
      </w:r>
      <w:r w:rsidR="000E41D6">
        <w:rPr>
          <w:sz w:val="16"/>
          <w:szCs w:val="16"/>
        </w:rPr>
        <w:t>it can be</w:t>
      </w:r>
      <w:r>
        <w:rPr>
          <w:sz w:val="16"/>
          <w:szCs w:val="16"/>
        </w:rPr>
        <w:t xml:space="preserve"> argue</w:t>
      </w:r>
      <w:r w:rsidR="000E41D6">
        <w:rPr>
          <w:sz w:val="16"/>
          <w:szCs w:val="16"/>
        </w:rPr>
        <w:t>d</w:t>
      </w:r>
      <w:r w:rsidRPr="003543CB">
        <w:rPr>
          <w:sz w:val="16"/>
          <w:szCs w:val="16"/>
        </w:rPr>
        <w:t xml:space="preserve"> the powers need to be disclose</w:t>
      </w:r>
      <w:r w:rsidRPr="000E41D6">
        <w:rPr>
          <w:sz w:val="16"/>
          <w:szCs w:val="16"/>
        </w:rPr>
        <w:t xml:space="preserve">d to be legally effective. </w:t>
      </w:r>
    </w:p>
    <w:p w14:paraId="4D1814AE" w14:textId="77777777" w:rsidR="006D3DFA" w:rsidRPr="000E41D6" w:rsidRDefault="006D3DFA">
      <w:pPr>
        <w:pStyle w:val="FootnoteText"/>
        <w:rPr>
          <w:sz w:val="16"/>
          <w:szCs w:val="16"/>
        </w:rPr>
      </w:pPr>
    </w:p>
  </w:footnote>
  <w:footnote w:id="8">
    <w:p w14:paraId="2770C277" w14:textId="02EAC71C" w:rsidR="005C711F" w:rsidRPr="000E41D6" w:rsidRDefault="005C711F" w:rsidP="005C711F">
      <w:pPr>
        <w:pStyle w:val="FootnoteText"/>
        <w:rPr>
          <w:sz w:val="16"/>
          <w:szCs w:val="16"/>
        </w:rPr>
      </w:pPr>
      <w:r w:rsidRPr="000E41D6">
        <w:rPr>
          <w:rStyle w:val="FootnoteReference"/>
          <w:sz w:val="16"/>
          <w:szCs w:val="16"/>
        </w:rPr>
        <w:footnoteRef/>
      </w:r>
      <w:r w:rsidRPr="000E41D6">
        <w:rPr>
          <w:sz w:val="16"/>
          <w:szCs w:val="16"/>
        </w:rPr>
        <w:t xml:space="preserve"> </w:t>
      </w:r>
      <w:r>
        <w:rPr>
          <w:sz w:val="16"/>
          <w:szCs w:val="16"/>
        </w:rPr>
        <w:t xml:space="preserve">Anne Twomey (2021), </w:t>
      </w:r>
      <w:r w:rsidRPr="00CC3015">
        <w:rPr>
          <w:i/>
          <w:iCs/>
          <w:sz w:val="16"/>
          <w:szCs w:val="16"/>
        </w:rPr>
        <w:t>“Constitutional Risk” Disrespect for the Rule of Law and Democratic Decay</w:t>
      </w:r>
      <w:r>
        <w:rPr>
          <w:sz w:val="16"/>
          <w:szCs w:val="16"/>
        </w:rPr>
        <w:t xml:space="preserve">, Canadian Journal of Comparative and Contemporary Law 7, at </w:t>
      </w:r>
      <w:hyperlink r:id="rId5" w:history="1">
        <w:r w:rsidRPr="005B1CBB">
          <w:rPr>
            <w:rStyle w:val="Hyperlink"/>
            <w:sz w:val="16"/>
            <w:szCs w:val="16"/>
          </w:rPr>
          <w:t>https://www.cjccl.ca/wp-content/uploads/2021/05/10-Twomey.pdf</w:t>
        </w:r>
      </w:hyperlink>
    </w:p>
  </w:footnote>
  <w:footnote w:id="9">
    <w:p w14:paraId="5616F4D5" w14:textId="22494F1D" w:rsidR="008F43D8" w:rsidRDefault="008B0A52">
      <w:pPr>
        <w:pStyle w:val="FootnoteText"/>
        <w:rPr>
          <w:sz w:val="16"/>
          <w:szCs w:val="16"/>
        </w:rPr>
      </w:pPr>
      <w:r w:rsidRPr="000E41D6">
        <w:rPr>
          <w:rStyle w:val="FootnoteReference"/>
          <w:sz w:val="16"/>
          <w:szCs w:val="16"/>
        </w:rPr>
        <w:footnoteRef/>
      </w:r>
      <w:r w:rsidRPr="000E41D6">
        <w:rPr>
          <w:sz w:val="16"/>
          <w:szCs w:val="16"/>
        </w:rPr>
        <w:t xml:space="preserve"> </w:t>
      </w:r>
      <w:r w:rsidR="000E41D6">
        <w:rPr>
          <w:sz w:val="16"/>
          <w:szCs w:val="16"/>
        </w:rPr>
        <w:t>C</w:t>
      </w:r>
      <w:r w:rsidRPr="000E41D6">
        <w:rPr>
          <w:sz w:val="16"/>
          <w:szCs w:val="16"/>
        </w:rPr>
        <w:t>rime</w:t>
      </w:r>
      <w:r w:rsidR="000E41D6">
        <w:rPr>
          <w:sz w:val="16"/>
          <w:szCs w:val="16"/>
        </w:rPr>
        <w:t xml:space="preserve"> – the NSW Independent Commission Against Corruption recently published a paper on ‘pork-barrelling – use of public monies to ‘buy votes’</w:t>
      </w:r>
      <w:r w:rsidR="00031DD3">
        <w:rPr>
          <w:sz w:val="16"/>
          <w:szCs w:val="16"/>
        </w:rPr>
        <w:t>.</w:t>
      </w:r>
      <w:r w:rsidR="000E41D6">
        <w:rPr>
          <w:sz w:val="16"/>
          <w:szCs w:val="16"/>
        </w:rPr>
        <w:t xml:space="preserve">  It said pork barrelling is illegal if done with the dominant intention of buying votes.  It can involve the crime of misconduct in public office if </w:t>
      </w:r>
      <w:r w:rsidR="008F43D8">
        <w:rPr>
          <w:sz w:val="16"/>
          <w:szCs w:val="16"/>
        </w:rPr>
        <w:t>it (</w:t>
      </w:r>
      <w:r w:rsidR="000E41D6">
        <w:rPr>
          <w:sz w:val="16"/>
          <w:szCs w:val="16"/>
        </w:rPr>
        <w:t>such illegality</w:t>
      </w:r>
      <w:r w:rsidR="008F43D8">
        <w:rPr>
          <w:sz w:val="16"/>
          <w:szCs w:val="16"/>
        </w:rPr>
        <w:t>)</w:t>
      </w:r>
      <w:r w:rsidR="000E41D6">
        <w:rPr>
          <w:sz w:val="16"/>
          <w:szCs w:val="16"/>
        </w:rPr>
        <w:t xml:space="preserve"> </w:t>
      </w:r>
      <w:r w:rsidR="008F43D8">
        <w:rPr>
          <w:sz w:val="16"/>
          <w:szCs w:val="16"/>
        </w:rPr>
        <w:t xml:space="preserve">is done knowingly or with reckless indifference to </w:t>
      </w:r>
      <w:r w:rsidR="007E2753">
        <w:rPr>
          <w:sz w:val="16"/>
          <w:szCs w:val="16"/>
        </w:rPr>
        <w:t>legality:</w:t>
      </w:r>
      <w:r w:rsidR="008F43D8">
        <w:rPr>
          <w:sz w:val="16"/>
          <w:szCs w:val="16"/>
        </w:rPr>
        <w:t xml:space="preserve"> </w:t>
      </w:r>
      <w:r w:rsidR="00031DD3" w:rsidRPr="00031DD3">
        <w:rPr>
          <w:rStyle w:val="Emphasis"/>
          <w:rFonts w:cstheme="minorHAnsi"/>
          <w:color w:val="3D3D3D"/>
          <w:sz w:val="16"/>
          <w:szCs w:val="16"/>
          <w:shd w:val="clear" w:color="auto" w:fill="FFFFFF"/>
        </w:rPr>
        <w:t>Report on investigation into pork barrelling in NSW</w:t>
      </w:r>
      <w:r w:rsidR="00031DD3" w:rsidRPr="00031DD3">
        <w:rPr>
          <w:rFonts w:cstheme="minorHAnsi"/>
          <w:color w:val="3D3D3D"/>
          <w:sz w:val="16"/>
          <w:szCs w:val="16"/>
          <w:shd w:val="clear" w:color="auto" w:fill="FFFFFF"/>
        </w:rPr>
        <w:t xml:space="preserve"> at </w:t>
      </w:r>
      <w:hyperlink r:id="rId6" w:history="1">
        <w:r w:rsidR="00031DD3" w:rsidRPr="00031DD3">
          <w:rPr>
            <w:rStyle w:val="Hyperlink"/>
            <w:rFonts w:cstheme="minorHAnsi"/>
            <w:sz w:val="16"/>
            <w:szCs w:val="16"/>
            <w:shd w:val="clear" w:color="auto" w:fill="FFFFFF"/>
          </w:rPr>
          <w:t>https://www.icac.nsw.gov.au/investigations/past-investigations/2022/investigation-into-pork-barrelling--operation-jersey-</w:t>
        </w:r>
      </w:hyperlink>
    </w:p>
    <w:p w14:paraId="78B74FD5" w14:textId="7B967517" w:rsidR="008B0A52" w:rsidRPr="000E41D6" w:rsidRDefault="008F43D8">
      <w:pPr>
        <w:pStyle w:val="FootnoteText"/>
        <w:rPr>
          <w:sz w:val="16"/>
          <w:szCs w:val="16"/>
        </w:rPr>
      </w:pPr>
      <w:r>
        <w:rPr>
          <w:sz w:val="16"/>
          <w:szCs w:val="16"/>
        </w:rPr>
        <w:t xml:space="preserve"> </w:t>
      </w:r>
      <w:r w:rsidR="000E41D6">
        <w:rPr>
          <w:sz w:val="16"/>
          <w:szCs w:val="16"/>
        </w:rPr>
        <w:t xml:space="preserve"> </w:t>
      </w:r>
    </w:p>
  </w:footnote>
  <w:footnote w:id="10">
    <w:p w14:paraId="2E4E22BE" w14:textId="572F8822" w:rsidR="002B3C33" w:rsidRDefault="00ED38F5">
      <w:pPr>
        <w:pStyle w:val="FootnoteText"/>
        <w:rPr>
          <w:sz w:val="16"/>
          <w:szCs w:val="16"/>
        </w:rPr>
      </w:pPr>
      <w:r w:rsidRPr="000E41D6">
        <w:rPr>
          <w:rStyle w:val="FootnoteReference"/>
          <w:sz w:val="16"/>
          <w:szCs w:val="16"/>
        </w:rPr>
        <w:footnoteRef/>
      </w:r>
      <w:r w:rsidRPr="000E41D6">
        <w:rPr>
          <w:sz w:val="16"/>
          <w:szCs w:val="16"/>
        </w:rPr>
        <w:t xml:space="preserve"> </w:t>
      </w:r>
      <w:r w:rsidR="008F43D8">
        <w:rPr>
          <w:sz w:val="16"/>
          <w:szCs w:val="16"/>
        </w:rPr>
        <w:t xml:space="preserve">Many of the responses to the pandemic were made under emergency legislation which only allowed actions reasonably necessary to prevent damage to public health.  Among responses which do not readily appear </w:t>
      </w:r>
      <w:r w:rsidR="00BA6C0B">
        <w:rPr>
          <w:sz w:val="16"/>
          <w:szCs w:val="16"/>
        </w:rPr>
        <w:t>so</w:t>
      </w:r>
      <w:r w:rsidR="008F43D8">
        <w:rPr>
          <w:sz w:val="16"/>
          <w:szCs w:val="16"/>
        </w:rPr>
        <w:t xml:space="preserve"> necessary were </w:t>
      </w:r>
      <w:r w:rsidR="002B3C33">
        <w:rPr>
          <w:sz w:val="16"/>
          <w:szCs w:val="16"/>
        </w:rPr>
        <w:t xml:space="preserve">extension of </w:t>
      </w:r>
      <w:r w:rsidR="002F74B1">
        <w:rPr>
          <w:sz w:val="16"/>
          <w:szCs w:val="16"/>
        </w:rPr>
        <w:t>border closures</w:t>
      </w:r>
      <w:r w:rsidR="002B3C33">
        <w:rPr>
          <w:sz w:val="16"/>
          <w:szCs w:val="16"/>
        </w:rPr>
        <w:t xml:space="preserve"> until school holidays, prohibition of sitting in public parks</w:t>
      </w:r>
      <w:r w:rsidR="00BA6C0B">
        <w:rPr>
          <w:sz w:val="16"/>
          <w:szCs w:val="16"/>
        </w:rPr>
        <w:t xml:space="preserve"> and surfing</w:t>
      </w:r>
      <w:r w:rsidR="00031DD3">
        <w:rPr>
          <w:sz w:val="16"/>
          <w:szCs w:val="16"/>
        </w:rPr>
        <w:t>:</w:t>
      </w:r>
      <w:r w:rsidR="006E38A9">
        <w:rPr>
          <w:sz w:val="16"/>
          <w:szCs w:val="16"/>
        </w:rPr>
        <w:t xml:space="preserve"> </w:t>
      </w:r>
      <w:r w:rsidR="006E38A9" w:rsidRPr="00031DD3">
        <w:rPr>
          <w:i/>
          <w:iCs/>
          <w:sz w:val="16"/>
          <w:szCs w:val="16"/>
        </w:rPr>
        <w:t xml:space="preserve">Covid observations update </w:t>
      </w:r>
      <w:r w:rsidR="00031DD3">
        <w:rPr>
          <w:i/>
          <w:iCs/>
          <w:sz w:val="16"/>
          <w:szCs w:val="16"/>
        </w:rPr>
        <w:t xml:space="preserve">July </w:t>
      </w:r>
      <w:r w:rsidR="006E38A9" w:rsidRPr="00031DD3">
        <w:rPr>
          <w:i/>
          <w:iCs/>
          <w:sz w:val="16"/>
          <w:szCs w:val="16"/>
        </w:rPr>
        <w:t>202</w:t>
      </w:r>
      <w:r w:rsidR="00031DD3">
        <w:rPr>
          <w:i/>
          <w:iCs/>
          <w:sz w:val="16"/>
          <w:szCs w:val="16"/>
        </w:rPr>
        <w:t>0</w:t>
      </w:r>
      <w:r w:rsidR="006E38A9">
        <w:rPr>
          <w:sz w:val="16"/>
          <w:szCs w:val="16"/>
        </w:rPr>
        <w:t xml:space="preserve"> at </w:t>
      </w:r>
      <w:hyperlink r:id="rId7" w:history="1">
        <w:r w:rsidR="006E38A9" w:rsidRPr="005B1CBB">
          <w:rPr>
            <w:rStyle w:val="Hyperlink"/>
            <w:sz w:val="16"/>
            <w:szCs w:val="16"/>
          </w:rPr>
          <w:t>https://www.thejadebeagle.com/covid---july-2020.html</w:t>
        </w:r>
      </w:hyperlink>
      <w:r w:rsidR="007E2753">
        <w:rPr>
          <w:sz w:val="16"/>
          <w:szCs w:val="16"/>
        </w:rPr>
        <w:t xml:space="preserve">; </w:t>
      </w:r>
      <w:r w:rsidR="007E2753" w:rsidRPr="007E2753">
        <w:rPr>
          <w:i/>
          <w:iCs/>
          <w:sz w:val="16"/>
          <w:szCs w:val="16"/>
        </w:rPr>
        <w:t>Anti-Covid Regulatory Processes</w:t>
      </w:r>
      <w:r w:rsidR="007E2753">
        <w:rPr>
          <w:sz w:val="16"/>
          <w:szCs w:val="16"/>
        </w:rPr>
        <w:t xml:space="preserve"> at </w:t>
      </w:r>
      <w:hyperlink r:id="rId8" w:history="1">
        <w:r w:rsidR="007E2753" w:rsidRPr="005B1CBB">
          <w:rPr>
            <w:rStyle w:val="Hyperlink"/>
            <w:sz w:val="16"/>
            <w:szCs w:val="16"/>
          </w:rPr>
          <w:t>https://www.thejadebeagle.com/acrpa.html</w:t>
        </w:r>
      </w:hyperlink>
    </w:p>
    <w:p w14:paraId="0470CDB1" w14:textId="77777777" w:rsidR="00ED38F5" w:rsidRPr="000E41D6" w:rsidRDefault="00ED38F5">
      <w:pPr>
        <w:pStyle w:val="FootnoteText"/>
        <w:rPr>
          <w:sz w:val="16"/>
          <w:szCs w:val="16"/>
        </w:rPr>
      </w:pPr>
    </w:p>
  </w:footnote>
  <w:footnote w:id="11">
    <w:p w14:paraId="3F05F9F7" w14:textId="38CDA3D1" w:rsidR="002B3C33" w:rsidRDefault="004D425E">
      <w:pPr>
        <w:pStyle w:val="FootnoteText"/>
        <w:rPr>
          <w:sz w:val="16"/>
          <w:szCs w:val="16"/>
        </w:rPr>
      </w:pPr>
      <w:r w:rsidRPr="000E41D6">
        <w:rPr>
          <w:rStyle w:val="FootnoteReference"/>
          <w:sz w:val="16"/>
          <w:szCs w:val="16"/>
        </w:rPr>
        <w:footnoteRef/>
      </w:r>
      <w:r w:rsidRPr="000E41D6">
        <w:rPr>
          <w:sz w:val="16"/>
          <w:szCs w:val="16"/>
        </w:rPr>
        <w:t xml:space="preserve"> </w:t>
      </w:r>
      <w:r w:rsidR="00031DD3">
        <w:rPr>
          <w:sz w:val="16"/>
          <w:szCs w:val="16"/>
        </w:rPr>
        <w:t>O</w:t>
      </w:r>
      <w:r w:rsidR="002B3C33">
        <w:rPr>
          <w:sz w:val="16"/>
          <w:szCs w:val="16"/>
        </w:rPr>
        <w:t>utlined in</w:t>
      </w:r>
      <w:r w:rsidR="00031DD3">
        <w:rPr>
          <w:sz w:val="16"/>
          <w:szCs w:val="16"/>
        </w:rPr>
        <w:t>:</w:t>
      </w:r>
      <w:r w:rsidR="002B3C33">
        <w:rPr>
          <w:sz w:val="16"/>
          <w:szCs w:val="16"/>
        </w:rPr>
        <w:t xml:space="preserve"> </w:t>
      </w:r>
      <w:r w:rsidR="002B3C33" w:rsidRPr="00031DD3">
        <w:rPr>
          <w:i/>
          <w:iCs/>
          <w:sz w:val="16"/>
          <w:szCs w:val="16"/>
        </w:rPr>
        <w:t xml:space="preserve">Tipfire </w:t>
      </w:r>
      <w:r w:rsidR="006E38A9" w:rsidRPr="00031DD3">
        <w:rPr>
          <w:i/>
          <w:iCs/>
          <w:sz w:val="16"/>
          <w:szCs w:val="16"/>
        </w:rPr>
        <w:t>A</w:t>
      </w:r>
      <w:r w:rsidR="002B3C33" w:rsidRPr="00031DD3">
        <w:rPr>
          <w:i/>
          <w:iCs/>
          <w:sz w:val="16"/>
          <w:szCs w:val="16"/>
        </w:rPr>
        <w:t xml:space="preserve"> –</w:t>
      </w:r>
      <w:r w:rsidR="006E38A9" w:rsidRPr="00031DD3">
        <w:rPr>
          <w:i/>
          <w:iCs/>
          <w:sz w:val="16"/>
          <w:szCs w:val="16"/>
        </w:rPr>
        <w:t xml:space="preserve"> Pandemic Royal Commission</w:t>
      </w:r>
      <w:r w:rsidR="006E38A9">
        <w:rPr>
          <w:sz w:val="16"/>
          <w:szCs w:val="16"/>
        </w:rPr>
        <w:t xml:space="preserve"> at </w:t>
      </w:r>
      <w:hyperlink r:id="rId9" w:history="1">
        <w:r w:rsidR="006E38A9" w:rsidRPr="005B1CBB">
          <w:rPr>
            <w:rStyle w:val="Hyperlink"/>
            <w:sz w:val="16"/>
            <w:szCs w:val="16"/>
          </w:rPr>
          <w:t>https://www.thejadebeagle.com/tip-fire-a.html</w:t>
        </w:r>
      </w:hyperlink>
    </w:p>
    <w:p w14:paraId="44126443" w14:textId="77777777" w:rsidR="00766231" w:rsidRPr="000E41D6" w:rsidRDefault="00766231">
      <w:pPr>
        <w:pStyle w:val="FootnoteText"/>
        <w:rPr>
          <w:sz w:val="16"/>
          <w:szCs w:val="16"/>
        </w:rPr>
      </w:pPr>
    </w:p>
  </w:footnote>
  <w:footnote w:id="12">
    <w:p w14:paraId="31283F9F" w14:textId="4A9F8481" w:rsidR="00E71A20" w:rsidRPr="00E71A20" w:rsidRDefault="00BA6BD4" w:rsidP="007F7A7F">
      <w:pPr>
        <w:pStyle w:val="definition"/>
        <w:shd w:val="clear" w:color="auto" w:fill="FFFFFF"/>
        <w:spacing w:before="0" w:beforeAutospacing="0" w:after="0" w:afterAutospacing="0"/>
        <w:rPr>
          <w:rFonts w:asciiTheme="minorHAnsi" w:hAnsiTheme="minorHAnsi" w:cstheme="minorHAnsi"/>
          <w:sz w:val="16"/>
          <w:szCs w:val="16"/>
        </w:rPr>
      </w:pPr>
      <w:r w:rsidRPr="00031DD3">
        <w:rPr>
          <w:rStyle w:val="FootnoteReference"/>
          <w:rFonts w:asciiTheme="minorHAnsi" w:hAnsiTheme="minorHAnsi" w:cstheme="minorHAnsi"/>
          <w:sz w:val="16"/>
          <w:szCs w:val="16"/>
        </w:rPr>
        <w:footnoteRef/>
      </w:r>
      <w:r w:rsidRPr="00031DD3">
        <w:rPr>
          <w:rFonts w:asciiTheme="minorHAnsi" w:hAnsiTheme="minorHAnsi" w:cstheme="minorHAnsi"/>
          <w:sz w:val="16"/>
          <w:szCs w:val="16"/>
        </w:rPr>
        <w:t xml:space="preserve"> </w:t>
      </w:r>
      <w:r w:rsidR="00766231">
        <w:rPr>
          <w:rFonts w:asciiTheme="minorHAnsi" w:hAnsiTheme="minorHAnsi" w:cstheme="minorHAnsi"/>
          <w:sz w:val="16"/>
          <w:szCs w:val="16"/>
        </w:rPr>
        <w:t>While the legislation empowers the Governor General to declare a national emergency, that is done on the advice of the Prime Minister.  Elsewhere it is held the Governor General must act on the Prime Minister’s advice.</w:t>
      </w:r>
      <w:r w:rsidR="004A132D">
        <w:rPr>
          <w:rFonts w:asciiTheme="minorHAnsi" w:hAnsiTheme="minorHAnsi" w:cstheme="minorHAnsi"/>
          <w:sz w:val="16"/>
          <w:szCs w:val="16"/>
        </w:rPr>
        <w:t xml:space="preserve">  </w:t>
      </w:r>
      <w:r w:rsidR="00E71A20" w:rsidRPr="00E71A20">
        <w:rPr>
          <w:rFonts w:asciiTheme="minorHAnsi" w:hAnsiTheme="minorHAnsi" w:cstheme="minorHAnsi"/>
          <w:sz w:val="16"/>
          <w:szCs w:val="16"/>
        </w:rPr>
        <w:t xml:space="preserve">The legislation allows the calling of an emergency on the emergence of threat of significant harm.  Section 10 defines </w:t>
      </w:r>
      <w:r w:rsidR="005C711F">
        <w:rPr>
          <w:rFonts w:asciiTheme="minorHAnsi" w:hAnsiTheme="minorHAnsi" w:cstheme="minorHAnsi"/>
          <w:sz w:val="16"/>
          <w:szCs w:val="16"/>
        </w:rPr>
        <w:t xml:space="preserve">nationally significant </w:t>
      </w:r>
      <w:r w:rsidR="00E71A20" w:rsidRPr="00E71A20">
        <w:rPr>
          <w:rFonts w:asciiTheme="minorHAnsi" w:hAnsiTheme="minorHAnsi" w:cstheme="minorHAnsi"/>
          <w:sz w:val="16"/>
          <w:szCs w:val="16"/>
        </w:rPr>
        <w:t>harm:</w:t>
      </w:r>
    </w:p>
    <w:p w14:paraId="56C1B217" w14:textId="07E36F54" w:rsidR="00E71A20" w:rsidRDefault="00E71A20" w:rsidP="005C711F">
      <w:pPr>
        <w:pStyle w:val="definition"/>
        <w:shd w:val="clear" w:color="auto" w:fill="FFFFFF"/>
        <w:spacing w:before="0" w:beforeAutospacing="0" w:after="0" w:afterAutospacing="0"/>
        <w:rPr>
          <w:rFonts w:asciiTheme="minorHAnsi" w:hAnsiTheme="minorHAnsi" w:cstheme="minorHAnsi"/>
          <w:color w:val="000000"/>
          <w:sz w:val="16"/>
          <w:szCs w:val="16"/>
        </w:rPr>
      </w:pPr>
      <w:r>
        <w:rPr>
          <w:rFonts w:asciiTheme="minorHAnsi" w:hAnsiTheme="minorHAnsi" w:cstheme="minorHAnsi"/>
          <w:b/>
          <w:bCs/>
          <w:i/>
          <w:iCs/>
          <w:color w:val="000000"/>
          <w:sz w:val="16"/>
          <w:szCs w:val="16"/>
        </w:rPr>
        <w:t>‘</w:t>
      </w:r>
      <w:r w:rsidR="005C711F">
        <w:rPr>
          <w:rFonts w:asciiTheme="minorHAnsi" w:hAnsiTheme="minorHAnsi" w:cstheme="minorHAnsi"/>
          <w:b/>
          <w:bCs/>
          <w:i/>
          <w:iCs/>
          <w:color w:val="000000"/>
          <w:sz w:val="16"/>
          <w:szCs w:val="16"/>
        </w:rPr>
        <w:t>….</w:t>
      </w:r>
      <w:r w:rsidR="0024460E" w:rsidRPr="00031DD3">
        <w:rPr>
          <w:rFonts w:asciiTheme="minorHAnsi" w:hAnsiTheme="minorHAnsi" w:cstheme="minorHAnsi"/>
          <w:color w:val="000000"/>
          <w:sz w:val="16"/>
          <w:szCs w:val="16"/>
        </w:rPr>
        <w:t>means harm that: (a)  has a significant national impact because of its scale or consequences;</w:t>
      </w:r>
      <w:r>
        <w:rPr>
          <w:rFonts w:asciiTheme="minorHAnsi" w:hAnsiTheme="minorHAnsi" w:cstheme="minorHAnsi"/>
          <w:color w:val="000000"/>
          <w:sz w:val="16"/>
          <w:szCs w:val="16"/>
        </w:rPr>
        <w:t xml:space="preserve"> </w:t>
      </w:r>
      <w:r w:rsidR="0024460E" w:rsidRPr="00031DD3">
        <w:rPr>
          <w:rFonts w:asciiTheme="minorHAnsi" w:hAnsiTheme="minorHAnsi" w:cstheme="minorHAnsi"/>
          <w:color w:val="000000"/>
          <w:sz w:val="16"/>
          <w:szCs w:val="16"/>
        </w:rPr>
        <w:t>and</w:t>
      </w:r>
      <w:r w:rsidR="007F7A7F">
        <w:rPr>
          <w:rFonts w:asciiTheme="minorHAnsi" w:hAnsiTheme="minorHAnsi" w:cstheme="minorHAnsi"/>
          <w:color w:val="000000"/>
          <w:sz w:val="16"/>
          <w:szCs w:val="16"/>
        </w:rPr>
        <w:t xml:space="preserve"> </w:t>
      </w:r>
      <w:r w:rsidR="0024460E" w:rsidRPr="00031DD3">
        <w:rPr>
          <w:rFonts w:asciiTheme="minorHAnsi" w:hAnsiTheme="minorHAnsi" w:cstheme="minorHAnsi"/>
          <w:color w:val="000000"/>
          <w:sz w:val="16"/>
          <w:szCs w:val="16"/>
        </w:rPr>
        <w:t>(b)  is any of the following: (i)  harm to the life or health (including mental health) of an individual or group of individuals;</w:t>
      </w:r>
      <w:bookmarkStart w:id="0" w:name="_Toc59111151"/>
      <w:r w:rsidR="0024460E" w:rsidRPr="00031DD3">
        <w:rPr>
          <w:rStyle w:val="ListParagraph"/>
          <w:rFonts w:asciiTheme="minorHAnsi" w:hAnsiTheme="minorHAnsi" w:cstheme="minorHAnsi"/>
          <w:b/>
          <w:bCs/>
          <w:color w:val="000000"/>
          <w:sz w:val="16"/>
          <w:szCs w:val="16"/>
        </w:rPr>
        <w:t xml:space="preserve"> </w:t>
      </w:r>
      <w:bookmarkEnd w:id="0"/>
      <w:r w:rsidR="0024460E" w:rsidRPr="00031DD3">
        <w:rPr>
          <w:rFonts w:asciiTheme="minorHAnsi" w:hAnsiTheme="minorHAnsi" w:cstheme="minorHAnsi"/>
          <w:color w:val="000000"/>
          <w:sz w:val="16"/>
          <w:szCs w:val="16"/>
        </w:rPr>
        <w:t>(ii)  harm to the life or health of animals or plants; (iii)  damage to property, including infrastructure; (iv)  harm to the environment; (v)  disruption to an essential service.</w:t>
      </w:r>
      <w:r>
        <w:rPr>
          <w:rFonts w:asciiTheme="minorHAnsi" w:hAnsiTheme="minorHAnsi" w:cstheme="minorHAnsi"/>
          <w:color w:val="000000"/>
          <w:sz w:val="16"/>
          <w:szCs w:val="16"/>
        </w:rPr>
        <w:t>’</w:t>
      </w:r>
    </w:p>
    <w:p w14:paraId="0E9C374A" w14:textId="767B91CE" w:rsidR="00BA6BD4" w:rsidRPr="00031DD3" w:rsidRDefault="00E71A20" w:rsidP="001C1722">
      <w:pPr>
        <w:pStyle w:val="definition"/>
        <w:shd w:val="clear" w:color="auto" w:fill="FFFFFF"/>
        <w:spacing w:before="0" w:beforeAutospacing="0" w:after="0" w:afterAutospacing="0"/>
        <w:rPr>
          <w:rFonts w:asciiTheme="minorHAnsi" w:hAnsiTheme="minorHAnsi" w:cstheme="minorHAnsi"/>
          <w:sz w:val="16"/>
          <w:szCs w:val="16"/>
        </w:rPr>
      </w:pPr>
      <w:r w:rsidRPr="007F7A7F">
        <w:rPr>
          <w:rFonts w:asciiTheme="minorHAnsi" w:hAnsiTheme="minorHAnsi" w:cstheme="minorHAnsi"/>
          <w:i/>
          <w:iCs/>
          <w:sz w:val="16"/>
          <w:szCs w:val="16"/>
        </w:rPr>
        <w:t>National Emergency Declaration Act 2020</w:t>
      </w:r>
      <w:r>
        <w:rPr>
          <w:rFonts w:asciiTheme="minorHAnsi" w:hAnsiTheme="minorHAnsi" w:cstheme="minorHAnsi"/>
          <w:sz w:val="16"/>
          <w:szCs w:val="16"/>
        </w:rPr>
        <w:t xml:space="preserve"> at </w:t>
      </w:r>
      <w:hyperlink r:id="rId10" w:history="1">
        <w:r w:rsidRPr="005B1CBB">
          <w:rPr>
            <w:rStyle w:val="Hyperlink"/>
            <w:rFonts w:asciiTheme="minorHAnsi" w:hAnsiTheme="minorHAnsi" w:cstheme="minorHAnsi"/>
            <w:sz w:val="16"/>
            <w:szCs w:val="16"/>
          </w:rPr>
          <w:t>https://www.legislation.gov.au/Details/C2020A00128National emergency legislation</w:t>
        </w:r>
      </w:hyperlink>
      <w:r w:rsidRPr="00031DD3">
        <w:rPr>
          <w:rFonts w:asciiTheme="minorHAnsi" w:hAnsiTheme="minorHAnsi" w:cstheme="minorHAnsi"/>
          <w:sz w:val="16"/>
          <w:szCs w:val="16"/>
        </w:rPr>
        <w:t xml:space="preserve"> </w:t>
      </w:r>
    </w:p>
  </w:footnote>
  <w:footnote w:id="13">
    <w:p w14:paraId="44E913C4" w14:textId="5D4BBE4F" w:rsidR="00667C7C" w:rsidRDefault="00667C7C">
      <w:pPr>
        <w:pStyle w:val="FootnoteText"/>
        <w:rPr>
          <w:sz w:val="16"/>
          <w:szCs w:val="16"/>
        </w:rPr>
      </w:pPr>
      <w:r w:rsidRPr="00F0027D">
        <w:rPr>
          <w:rStyle w:val="FootnoteReference"/>
          <w:sz w:val="16"/>
          <w:szCs w:val="16"/>
        </w:rPr>
        <w:footnoteRef/>
      </w:r>
      <w:r w:rsidRPr="00F0027D">
        <w:rPr>
          <w:sz w:val="16"/>
          <w:szCs w:val="16"/>
        </w:rPr>
        <w:t xml:space="preserve"> </w:t>
      </w:r>
      <w:r w:rsidR="00F0027D" w:rsidRPr="00F0027D">
        <w:rPr>
          <w:sz w:val="16"/>
          <w:szCs w:val="16"/>
        </w:rPr>
        <w:t>Constitution s.61</w:t>
      </w:r>
      <w:r w:rsidR="005271BC">
        <w:rPr>
          <w:sz w:val="16"/>
          <w:szCs w:val="16"/>
        </w:rPr>
        <w:t xml:space="preserve"> and see: Twomey, </w:t>
      </w:r>
      <w:r w:rsidR="005271BC" w:rsidRPr="005271BC">
        <w:rPr>
          <w:i/>
          <w:iCs/>
          <w:sz w:val="16"/>
          <w:szCs w:val="16"/>
        </w:rPr>
        <w:t>The Prerogative and the Courts in Australia</w:t>
      </w:r>
      <w:r w:rsidR="005271BC">
        <w:rPr>
          <w:sz w:val="16"/>
          <w:szCs w:val="16"/>
        </w:rPr>
        <w:t xml:space="preserve">, Journal of Commonwealth Law Vol. 3 2021 at </w:t>
      </w:r>
      <w:hyperlink r:id="rId11" w:history="1">
        <w:r w:rsidR="005271BC" w:rsidRPr="005B1CBB">
          <w:rPr>
            <w:rStyle w:val="Hyperlink"/>
            <w:sz w:val="16"/>
            <w:szCs w:val="16"/>
          </w:rPr>
          <w:t>https://www.journalofcommonwealthlaw.org/article/24261-the-prerogative-and-the-courts-in-australia</w:t>
        </w:r>
      </w:hyperlink>
    </w:p>
    <w:p w14:paraId="74809BF1" w14:textId="77777777" w:rsidR="005271BC" w:rsidRPr="00F0027D" w:rsidRDefault="005271BC">
      <w:pPr>
        <w:pStyle w:val="FootnoteText"/>
        <w:rPr>
          <w:sz w:val="16"/>
          <w:szCs w:val="16"/>
        </w:rPr>
      </w:pPr>
    </w:p>
  </w:footnote>
  <w:footnote w:id="14">
    <w:p w14:paraId="721FBD5D" w14:textId="77777777" w:rsidR="001C1722" w:rsidRPr="00D15B7E" w:rsidRDefault="001C1722" w:rsidP="001C1722">
      <w:pPr>
        <w:pStyle w:val="FootnoteText"/>
        <w:rPr>
          <w:sz w:val="16"/>
          <w:szCs w:val="16"/>
        </w:rPr>
      </w:pPr>
      <w:r w:rsidRPr="00D15B7E">
        <w:rPr>
          <w:rStyle w:val="FootnoteReference"/>
          <w:sz w:val="16"/>
          <w:szCs w:val="16"/>
        </w:rPr>
        <w:footnoteRef/>
      </w:r>
      <w:r w:rsidRPr="00D15B7E">
        <w:rPr>
          <w:sz w:val="16"/>
          <w:szCs w:val="16"/>
        </w:rPr>
        <w:t xml:space="preserve"> Minister’s second reading speech at </w:t>
      </w:r>
      <w:hyperlink r:id="rId12" w:history="1">
        <w:r w:rsidRPr="00D15B7E">
          <w:rPr>
            <w:rStyle w:val="Hyperlink"/>
            <w:sz w:val="16"/>
            <w:szCs w:val="16"/>
          </w:rPr>
          <w:t>https://parlinfo.aph.gov.au/parlInfo/search/display/display.w3p;query=Id%3A%22chamber%2Fhansardr%2F11b18738-de56-4d82-82f6-2c10fddd6b2b%2F0008%22</w:t>
        </w:r>
      </w:hyperlink>
    </w:p>
    <w:p w14:paraId="46B08402" w14:textId="77777777" w:rsidR="001C1722" w:rsidRPr="00D15B7E" w:rsidRDefault="001C1722" w:rsidP="001C1722">
      <w:pPr>
        <w:pStyle w:val="FootnoteText"/>
        <w:rPr>
          <w:sz w:val="16"/>
          <w:szCs w:val="16"/>
        </w:rPr>
      </w:pPr>
    </w:p>
  </w:footnote>
  <w:footnote w:id="15">
    <w:p w14:paraId="22D14D45" w14:textId="0A8DB329" w:rsidR="00733522" w:rsidRDefault="004A132D" w:rsidP="004A132D">
      <w:pPr>
        <w:pStyle w:val="FootnoteText"/>
        <w:rPr>
          <w:sz w:val="16"/>
          <w:szCs w:val="16"/>
        </w:rPr>
      </w:pPr>
      <w:r w:rsidRPr="00D15B7E">
        <w:rPr>
          <w:rStyle w:val="FootnoteReference"/>
          <w:sz w:val="16"/>
          <w:szCs w:val="16"/>
        </w:rPr>
        <w:footnoteRef/>
      </w:r>
      <w:r w:rsidRPr="00D15B7E">
        <w:rPr>
          <w:sz w:val="16"/>
          <w:szCs w:val="16"/>
        </w:rPr>
        <w:t xml:space="preserve"> </w:t>
      </w:r>
      <w:r w:rsidR="00733522">
        <w:rPr>
          <w:sz w:val="16"/>
          <w:szCs w:val="16"/>
        </w:rPr>
        <w:t xml:space="preserve">Health legislation: </w:t>
      </w:r>
      <w:hyperlink r:id="rId13" w:history="1">
        <w:r w:rsidR="00733522" w:rsidRPr="005B1CBB">
          <w:rPr>
            <w:rStyle w:val="Hyperlink"/>
            <w:sz w:val="16"/>
            <w:szCs w:val="16"/>
          </w:rPr>
          <w:t>https://www.theaustralian.com.au/commentary/emergency-powers-secret-ministries-avoid-scrutiny-of-parliament/news-story/5c8580593ff6319994d9625a3b0f8a99</w:t>
        </w:r>
      </w:hyperlink>
    </w:p>
    <w:p w14:paraId="7C223EE9" w14:textId="282FBDBA" w:rsidR="004A132D" w:rsidRDefault="00733522" w:rsidP="004A132D">
      <w:pPr>
        <w:pStyle w:val="FootnoteText"/>
        <w:rPr>
          <w:sz w:val="16"/>
          <w:szCs w:val="16"/>
        </w:rPr>
      </w:pPr>
      <w:r>
        <w:rPr>
          <w:sz w:val="16"/>
          <w:szCs w:val="16"/>
        </w:rPr>
        <w:t xml:space="preserve">Acquire other Ministries: </w:t>
      </w:r>
      <w:r w:rsidR="004A132D">
        <w:rPr>
          <w:sz w:val="16"/>
          <w:szCs w:val="16"/>
        </w:rPr>
        <w:t xml:space="preserve">Simon Benson Geoff Chambers, </w:t>
      </w:r>
      <w:r w:rsidR="004A132D" w:rsidRPr="00D15B7E">
        <w:rPr>
          <w:i/>
          <w:iCs/>
          <w:sz w:val="16"/>
          <w:szCs w:val="16"/>
        </w:rPr>
        <w:t>Plagued</w:t>
      </w:r>
      <w:r w:rsidR="004A132D">
        <w:rPr>
          <w:sz w:val="16"/>
          <w:szCs w:val="16"/>
        </w:rPr>
        <w:t>, Pantera Press 2022 at p.89.</w:t>
      </w:r>
      <w:r w:rsidR="004A132D">
        <w:rPr>
          <w:sz w:val="16"/>
          <w:szCs w:val="16"/>
        </w:rPr>
        <w:t xml:space="preserve">  Extraordinarily: </w:t>
      </w:r>
      <w:r w:rsidR="004A132D" w:rsidRPr="004A132D">
        <w:rPr>
          <w:i/>
          <w:iCs/>
          <w:sz w:val="16"/>
          <w:szCs w:val="16"/>
        </w:rPr>
        <w:t>Emergency Achieved</w:t>
      </w:r>
      <w:r w:rsidR="004A132D">
        <w:rPr>
          <w:sz w:val="16"/>
          <w:szCs w:val="16"/>
        </w:rPr>
        <w:t xml:space="preserve"> at </w:t>
      </w:r>
      <w:hyperlink r:id="rId14" w:history="1">
        <w:r w:rsidR="004A132D" w:rsidRPr="005B1CBB">
          <w:rPr>
            <w:rStyle w:val="Hyperlink"/>
            <w:sz w:val="16"/>
            <w:szCs w:val="16"/>
          </w:rPr>
          <w:t>https://www.thejadebeagle.com/emergency-achieved.html</w:t>
        </w:r>
      </w:hyperlink>
    </w:p>
    <w:p w14:paraId="4FCC8474" w14:textId="5F70DF7C" w:rsidR="004018F9" w:rsidRPr="00D15B7E" w:rsidRDefault="004018F9" w:rsidP="004A132D">
      <w:pPr>
        <w:pStyle w:val="FootnoteText"/>
        <w:rPr>
          <w:sz w:val="16"/>
          <w:szCs w:val="16"/>
        </w:rPr>
      </w:pPr>
      <w:r>
        <w:rPr>
          <w:sz w:val="16"/>
          <w:szCs w:val="16"/>
        </w:rPr>
        <w:t xml:space="preserve">The emergency legislation does require a Senate Committee to begin a review of each declaration within a year of the declaration being made: Section 14A at </w:t>
      </w:r>
      <w:hyperlink r:id="rId15" w:history="1">
        <w:r w:rsidRPr="005B1CBB">
          <w:rPr>
            <w:rStyle w:val="Hyperlink"/>
            <w:sz w:val="16"/>
            <w:szCs w:val="16"/>
          </w:rPr>
          <w:t>https://www.legislation.gov.au/Details/C2020A00128</w:t>
        </w:r>
      </w:hyperlink>
      <w:r>
        <w:rPr>
          <w:sz w:val="16"/>
          <w:szCs w:val="16"/>
        </w:rPr>
        <w:t>.  There is no time limit on a review report being provided to the Senate, and there is no leg</w:t>
      </w:r>
      <w:r w:rsidR="00BA6C0B">
        <w:rPr>
          <w:sz w:val="16"/>
          <w:szCs w:val="16"/>
        </w:rPr>
        <w:t>al</w:t>
      </w:r>
      <w:r>
        <w:rPr>
          <w:sz w:val="16"/>
          <w:szCs w:val="16"/>
        </w:rPr>
        <w:t xml:space="preserve"> consequence of </w:t>
      </w:r>
      <w:r w:rsidR="00BA6C0B">
        <w:rPr>
          <w:sz w:val="16"/>
          <w:szCs w:val="16"/>
        </w:rPr>
        <w:t>such a report being made – for example, it does not lead to any right for the Senate to ‘disallow’ a declaration or action taken under it.</w:t>
      </w:r>
    </w:p>
  </w:footnote>
  <w:footnote w:id="16">
    <w:p w14:paraId="26078B8D" w14:textId="77777777" w:rsidR="00431EC8" w:rsidRPr="00431EC8" w:rsidRDefault="00431EC8">
      <w:pPr>
        <w:pStyle w:val="FootnoteText"/>
        <w:rPr>
          <w:sz w:val="16"/>
          <w:szCs w:val="16"/>
        </w:rPr>
      </w:pPr>
    </w:p>
    <w:p w14:paraId="58268DC3" w14:textId="51EFCFB3" w:rsidR="00431EC8" w:rsidRPr="00431EC8" w:rsidRDefault="0076146E">
      <w:pPr>
        <w:pStyle w:val="FootnoteText"/>
        <w:rPr>
          <w:sz w:val="16"/>
          <w:szCs w:val="16"/>
        </w:rPr>
      </w:pPr>
      <w:r w:rsidRPr="00431EC8">
        <w:rPr>
          <w:rStyle w:val="FootnoteReference"/>
          <w:sz w:val="16"/>
          <w:szCs w:val="16"/>
        </w:rPr>
        <w:footnoteRef/>
      </w:r>
      <w:r w:rsidR="00431EC8" w:rsidRPr="00431EC8">
        <w:rPr>
          <w:sz w:val="16"/>
          <w:szCs w:val="16"/>
        </w:rPr>
        <w:t xml:space="preserve"> Secret trials </w:t>
      </w:r>
      <w:r w:rsidR="007E2753" w:rsidRPr="00431EC8">
        <w:rPr>
          <w:sz w:val="16"/>
          <w:szCs w:val="16"/>
        </w:rPr>
        <w:t>e.g.,</w:t>
      </w:r>
      <w:r w:rsidR="00431EC8" w:rsidRPr="00431EC8">
        <w:rPr>
          <w:sz w:val="16"/>
          <w:szCs w:val="16"/>
        </w:rPr>
        <w:t xml:space="preserve"> </w:t>
      </w:r>
      <w:hyperlink r:id="rId16" w:history="1">
        <w:r w:rsidR="00431EC8" w:rsidRPr="00431EC8">
          <w:rPr>
            <w:rStyle w:val="Hyperlink"/>
            <w:sz w:val="16"/>
            <w:szCs w:val="16"/>
          </w:rPr>
          <w:t>https://www.lawcouncil.asn.au/media/news/secret-trials-need-reform</w:t>
        </w:r>
      </w:hyperlink>
      <w:r w:rsidR="00431EC8" w:rsidRPr="00431EC8">
        <w:rPr>
          <w:sz w:val="16"/>
          <w:szCs w:val="16"/>
        </w:rPr>
        <w:t xml:space="preserve">; </w:t>
      </w:r>
      <w:hyperlink r:id="rId17" w:history="1">
        <w:r w:rsidR="00431EC8" w:rsidRPr="00431EC8">
          <w:rPr>
            <w:rStyle w:val="Hyperlink"/>
            <w:sz w:val="16"/>
            <w:szCs w:val="16"/>
          </w:rPr>
          <w:t>https://www.nswccl.org.au/witness_k_and_bernard_collaery</w:t>
        </w:r>
      </w:hyperlink>
    </w:p>
    <w:p w14:paraId="1F0E4381" w14:textId="408562A8" w:rsidR="0076146E" w:rsidRDefault="0076146E">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493" w14:textId="77777777" w:rsidR="00496565" w:rsidRDefault="00496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EBAA" w14:textId="77777777" w:rsidR="00496565" w:rsidRDefault="00496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45F2" w14:textId="77777777" w:rsidR="00496565" w:rsidRDefault="00496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ABE"/>
    <w:multiLevelType w:val="hybridMultilevel"/>
    <w:tmpl w:val="F00A660A"/>
    <w:lvl w:ilvl="0" w:tplc="D82253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2635F9"/>
    <w:multiLevelType w:val="hybridMultilevel"/>
    <w:tmpl w:val="A06254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DFF7FD1"/>
    <w:multiLevelType w:val="hybridMultilevel"/>
    <w:tmpl w:val="1D1C0D56"/>
    <w:lvl w:ilvl="0" w:tplc="DE366D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3428C2"/>
    <w:multiLevelType w:val="hybridMultilevel"/>
    <w:tmpl w:val="DBAA87E4"/>
    <w:lvl w:ilvl="0" w:tplc="D1DED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31314D"/>
    <w:multiLevelType w:val="hybridMultilevel"/>
    <w:tmpl w:val="3228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4629147">
    <w:abstractNumId w:val="2"/>
  </w:num>
  <w:num w:numId="2" w16cid:durableId="281116255">
    <w:abstractNumId w:val="3"/>
  </w:num>
  <w:num w:numId="3" w16cid:durableId="777792383">
    <w:abstractNumId w:val="0"/>
  </w:num>
  <w:num w:numId="4" w16cid:durableId="1802919738">
    <w:abstractNumId w:val="4"/>
  </w:num>
  <w:num w:numId="5" w16cid:durableId="367801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BA"/>
    <w:rsid w:val="0002760F"/>
    <w:rsid w:val="000313A3"/>
    <w:rsid w:val="00031DD3"/>
    <w:rsid w:val="000417B7"/>
    <w:rsid w:val="000B10BD"/>
    <w:rsid w:val="000E41D6"/>
    <w:rsid w:val="00141623"/>
    <w:rsid w:val="001642E9"/>
    <w:rsid w:val="00191488"/>
    <w:rsid w:val="00193FAA"/>
    <w:rsid w:val="001C1722"/>
    <w:rsid w:val="001F3EAF"/>
    <w:rsid w:val="001F57C5"/>
    <w:rsid w:val="00225272"/>
    <w:rsid w:val="0024460E"/>
    <w:rsid w:val="00250C1E"/>
    <w:rsid w:val="00250CD2"/>
    <w:rsid w:val="00253E4B"/>
    <w:rsid w:val="00287501"/>
    <w:rsid w:val="002879A3"/>
    <w:rsid w:val="002A6CD8"/>
    <w:rsid w:val="002B14EB"/>
    <w:rsid w:val="002B3C33"/>
    <w:rsid w:val="002C77A9"/>
    <w:rsid w:val="002E1CAC"/>
    <w:rsid w:val="002F74B1"/>
    <w:rsid w:val="003543CB"/>
    <w:rsid w:val="00381FB7"/>
    <w:rsid w:val="003F1CBA"/>
    <w:rsid w:val="004018F9"/>
    <w:rsid w:val="00403B52"/>
    <w:rsid w:val="0041442D"/>
    <w:rsid w:val="00431EC8"/>
    <w:rsid w:val="004432EC"/>
    <w:rsid w:val="00455823"/>
    <w:rsid w:val="004647CC"/>
    <w:rsid w:val="00476CAE"/>
    <w:rsid w:val="0048299F"/>
    <w:rsid w:val="00496565"/>
    <w:rsid w:val="004A132D"/>
    <w:rsid w:val="004C2ABA"/>
    <w:rsid w:val="004D425E"/>
    <w:rsid w:val="004D4E0A"/>
    <w:rsid w:val="005156DA"/>
    <w:rsid w:val="005271BC"/>
    <w:rsid w:val="005443AF"/>
    <w:rsid w:val="00564B80"/>
    <w:rsid w:val="005725EF"/>
    <w:rsid w:val="00595E24"/>
    <w:rsid w:val="005A3C3D"/>
    <w:rsid w:val="005A64BA"/>
    <w:rsid w:val="005C711F"/>
    <w:rsid w:val="005D79B5"/>
    <w:rsid w:val="00667C7C"/>
    <w:rsid w:val="006836B0"/>
    <w:rsid w:val="0069181A"/>
    <w:rsid w:val="006D3DFA"/>
    <w:rsid w:val="006D59C5"/>
    <w:rsid w:val="006E38A9"/>
    <w:rsid w:val="006E43AF"/>
    <w:rsid w:val="006F2CB5"/>
    <w:rsid w:val="00733522"/>
    <w:rsid w:val="00744B08"/>
    <w:rsid w:val="00751AE3"/>
    <w:rsid w:val="0076146E"/>
    <w:rsid w:val="00766231"/>
    <w:rsid w:val="00771825"/>
    <w:rsid w:val="007E2753"/>
    <w:rsid w:val="007F7A7F"/>
    <w:rsid w:val="008250A4"/>
    <w:rsid w:val="008A0DB1"/>
    <w:rsid w:val="008B0A52"/>
    <w:rsid w:val="008C7A7F"/>
    <w:rsid w:val="008F43D8"/>
    <w:rsid w:val="00904B25"/>
    <w:rsid w:val="00905DEF"/>
    <w:rsid w:val="009B0926"/>
    <w:rsid w:val="00A35A2A"/>
    <w:rsid w:val="00AC4818"/>
    <w:rsid w:val="00B12BB0"/>
    <w:rsid w:val="00B25733"/>
    <w:rsid w:val="00B3414F"/>
    <w:rsid w:val="00B42D09"/>
    <w:rsid w:val="00B6012A"/>
    <w:rsid w:val="00B63377"/>
    <w:rsid w:val="00B76E7E"/>
    <w:rsid w:val="00BA6BD4"/>
    <w:rsid w:val="00BA6C0B"/>
    <w:rsid w:val="00BB3FAB"/>
    <w:rsid w:val="00BC0F19"/>
    <w:rsid w:val="00C75F8D"/>
    <w:rsid w:val="00C90F9B"/>
    <w:rsid w:val="00CB270E"/>
    <w:rsid w:val="00CC3015"/>
    <w:rsid w:val="00CF0EE9"/>
    <w:rsid w:val="00CF2BBA"/>
    <w:rsid w:val="00D15B7E"/>
    <w:rsid w:val="00D31F82"/>
    <w:rsid w:val="00D46ACF"/>
    <w:rsid w:val="00D64B81"/>
    <w:rsid w:val="00D652D8"/>
    <w:rsid w:val="00D80BE2"/>
    <w:rsid w:val="00DD2CDF"/>
    <w:rsid w:val="00DE575D"/>
    <w:rsid w:val="00DE6E51"/>
    <w:rsid w:val="00DF2FB6"/>
    <w:rsid w:val="00E04074"/>
    <w:rsid w:val="00E12404"/>
    <w:rsid w:val="00E17E9A"/>
    <w:rsid w:val="00E71A20"/>
    <w:rsid w:val="00E87BF9"/>
    <w:rsid w:val="00EA4D34"/>
    <w:rsid w:val="00EA6021"/>
    <w:rsid w:val="00EC2576"/>
    <w:rsid w:val="00ED0B22"/>
    <w:rsid w:val="00ED38F5"/>
    <w:rsid w:val="00F0027D"/>
    <w:rsid w:val="00F62975"/>
    <w:rsid w:val="00F84BD6"/>
    <w:rsid w:val="00FA4F9E"/>
    <w:rsid w:val="00FD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EC63"/>
  <w15:chartTrackingRefBased/>
  <w15:docId w15:val="{9A7B9F06-C8F3-4860-8F26-F266B222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414F"/>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B3414F"/>
    <w:pPr>
      <w:keepNext/>
      <w:keepLines/>
      <w:spacing w:before="40" w:after="0"/>
      <w:outlineLvl w:val="2"/>
    </w:pPr>
    <w:rPr>
      <w:rFonts w:asciiTheme="majorHAnsi" w:eastAsiaTheme="majorEastAsia" w:hAnsiTheme="majorHAnsi" w:cstheme="majorBidi"/>
      <w:b/>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14F"/>
    <w:rPr>
      <w:rFonts w:eastAsiaTheme="majorEastAsia" w:cstheme="majorBidi"/>
      <w:b/>
      <w:color w:val="2F5496" w:themeColor="accent1" w:themeShade="BF"/>
      <w:sz w:val="28"/>
      <w:szCs w:val="26"/>
    </w:rPr>
  </w:style>
  <w:style w:type="paragraph" w:styleId="ListParagraph">
    <w:name w:val="List Paragraph"/>
    <w:basedOn w:val="Normal"/>
    <w:uiPriority w:val="34"/>
    <w:qFormat/>
    <w:rsid w:val="00EA4D34"/>
    <w:pPr>
      <w:ind w:left="720"/>
      <w:contextualSpacing/>
    </w:pPr>
  </w:style>
  <w:style w:type="character" w:customStyle="1" w:styleId="Heading3Char">
    <w:name w:val="Heading 3 Char"/>
    <w:basedOn w:val="DefaultParagraphFont"/>
    <w:link w:val="Heading3"/>
    <w:uiPriority w:val="9"/>
    <w:rsid w:val="00B3414F"/>
    <w:rPr>
      <w:rFonts w:asciiTheme="majorHAnsi" w:eastAsiaTheme="majorEastAsia" w:hAnsiTheme="majorHAnsi" w:cstheme="majorBidi"/>
      <w:b/>
      <w:i/>
      <w:color w:val="1F3763" w:themeColor="accent1" w:themeShade="7F"/>
      <w:sz w:val="24"/>
      <w:szCs w:val="24"/>
    </w:rPr>
  </w:style>
  <w:style w:type="paragraph" w:styleId="FootnoteText">
    <w:name w:val="footnote text"/>
    <w:basedOn w:val="Normal"/>
    <w:link w:val="FootnoteTextChar"/>
    <w:uiPriority w:val="99"/>
    <w:semiHidden/>
    <w:unhideWhenUsed/>
    <w:rsid w:val="00544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3AF"/>
    <w:rPr>
      <w:sz w:val="20"/>
      <w:szCs w:val="20"/>
    </w:rPr>
  </w:style>
  <w:style w:type="character" w:styleId="FootnoteReference">
    <w:name w:val="footnote reference"/>
    <w:basedOn w:val="DefaultParagraphFont"/>
    <w:uiPriority w:val="99"/>
    <w:semiHidden/>
    <w:unhideWhenUsed/>
    <w:rsid w:val="005443AF"/>
    <w:rPr>
      <w:vertAlign w:val="superscript"/>
    </w:rPr>
  </w:style>
  <w:style w:type="character" w:styleId="Hyperlink">
    <w:name w:val="Hyperlink"/>
    <w:basedOn w:val="DefaultParagraphFont"/>
    <w:uiPriority w:val="99"/>
    <w:unhideWhenUsed/>
    <w:rsid w:val="00141623"/>
    <w:rPr>
      <w:color w:val="0563C1" w:themeColor="hyperlink"/>
      <w:u w:val="single"/>
    </w:rPr>
  </w:style>
  <w:style w:type="character" w:styleId="UnresolvedMention">
    <w:name w:val="Unresolved Mention"/>
    <w:basedOn w:val="DefaultParagraphFont"/>
    <w:uiPriority w:val="99"/>
    <w:semiHidden/>
    <w:unhideWhenUsed/>
    <w:rsid w:val="00141623"/>
    <w:rPr>
      <w:color w:val="605E5C"/>
      <w:shd w:val="clear" w:color="auto" w:fill="E1DFDD"/>
    </w:rPr>
  </w:style>
  <w:style w:type="paragraph" w:styleId="Header">
    <w:name w:val="header"/>
    <w:basedOn w:val="Normal"/>
    <w:link w:val="HeaderChar"/>
    <w:uiPriority w:val="99"/>
    <w:unhideWhenUsed/>
    <w:rsid w:val="00496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65"/>
  </w:style>
  <w:style w:type="paragraph" w:styleId="Footer">
    <w:name w:val="footer"/>
    <w:basedOn w:val="Normal"/>
    <w:link w:val="FooterChar"/>
    <w:uiPriority w:val="99"/>
    <w:unhideWhenUsed/>
    <w:rsid w:val="00496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65"/>
  </w:style>
  <w:style w:type="character" w:styleId="Emphasis">
    <w:name w:val="Emphasis"/>
    <w:basedOn w:val="DefaultParagraphFont"/>
    <w:uiPriority w:val="20"/>
    <w:qFormat/>
    <w:rsid w:val="006E38A9"/>
    <w:rPr>
      <w:i/>
      <w:iCs/>
    </w:rPr>
  </w:style>
  <w:style w:type="paragraph" w:customStyle="1" w:styleId="definition">
    <w:name w:val="definition"/>
    <w:basedOn w:val="Normal"/>
    <w:rsid w:val="002446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446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2446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4460E"/>
    <w:rPr>
      <w:color w:val="954F72" w:themeColor="followedHyperlink"/>
      <w:u w:val="single"/>
    </w:rPr>
  </w:style>
  <w:style w:type="paragraph" w:customStyle="1" w:styleId="acthead5">
    <w:name w:val="acthead5"/>
    <w:basedOn w:val="Normal"/>
    <w:rsid w:val="002446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4460E"/>
  </w:style>
  <w:style w:type="paragraph" w:customStyle="1" w:styleId="subsection">
    <w:name w:val="subsection"/>
    <w:basedOn w:val="Normal"/>
    <w:rsid w:val="0024460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9051">
      <w:bodyDiv w:val="1"/>
      <w:marLeft w:val="0"/>
      <w:marRight w:val="0"/>
      <w:marTop w:val="0"/>
      <w:marBottom w:val="0"/>
      <w:divBdr>
        <w:top w:val="none" w:sz="0" w:space="0" w:color="auto"/>
        <w:left w:val="none" w:sz="0" w:space="0" w:color="auto"/>
        <w:bottom w:val="none" w:sz="0" w:space="0" w:color="auto"/>
        <w:right w:val="none" w:sz="0" w:space="0" w:color="auto"/>
      </w:divBdr>
    </w:div>
    <w:div w:id="1346830973">
      <w:bodyDiv w:val="1"/>
      <w:marLeft w:val="0"/>
      <w:marRight w:val="0"/>
      <w:marTop w:val="0"/>
      <w:marBottom w:val="0"/>
      <w:divBdr>
        <w:top w:val="none" w:sz="0" w:space="0" w:color="auto"/>
        <w:left w:val="none" w:sz="0" w:space="0" w:color="auto"/>
        <w:bottom w:val="none" w:sz="0" w:space="0" w:color="auto"/>
        <w:right w:val="none" w:sz="0" w:space="0" w:color="auto"/>
      </w:divBdr>
    </w:div>
    <w:div w:id="21052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ebeagle@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thejadebeagle.com/acrpa.html" TargetMode="External"/><Relationship Id="rId13" Type="http://schemas.openxmlformats.org/officeDocument/2006/relationships/hyperlink" Target="https://www.theaustralian.com.au/commentary/emergency-powers-secret-ministries-avoid-scrutiny-of-parliament/news-story/5c8580593ff6319994d9625a3b0f8a99" TargetMode="External"/><Relationship Id="rId3" Type="http://schemas.openxmlformats.org/officeDocument/2006/relationships/hyperlink" Target="https://www.pmc.gov.au/who-we-are/ministers" TargetMode="External"/><Relationship Id="rId7" Type="http://schemas.openxmlformats.org/officeDocument/2006/relationships/hyperlink" Target="https://www.thejadebeagle.com/covid---july-2020.html" TargetMode="External"/><Relationship Id="rId12" Type="http://schemas.openxmlformats.org/officeDocument/2006/relationships/hyperlink" Target="https://parlinfo.aph.gov.au/parlInfo/search/display/display.w3p;query=Id%3A%22chamber%2Fhansardr%2F11b18738-de56-4d82-82f6-2c10fddd6b2b%2F0008%22" TargetMode="External"/><Relationship Id="rId17" Type="http://schemas.openxmlformats.org/officeDocument/2006/relationships/hyperlink" Target="https://www.nswccl.org.au/witness_k_and_bernard_collaery" TargetMode="External"/><Relationship Id="rId2" Type="http://schemas.openxmlformats.org/officeDocument/2006/relationships/hyperlink" Target="https://www.hcourt.gov.au/cases/case_s83-2021" TargetMode="External"/><Relationship Id="rId16" Type="http://schemas.openxmlformats.org/officeDocument/2006/relationships/hyperlink" Target="https://www.lawcouncil.asn.au/media/news/secret-trials-need-reform" TargetMode="External"/><Relationship Id="rId1" Type="http://schemas.openxmlformats.org/officeDocument/2006/relationships/hyperlink" Target="https://www.ministriesinquiry.gov.au/publications/solicitor-generals-opinion-sg-no-12-2022" TargetMode="External"/><Relationship Id="rId6" Type="http://schemas.openxmlformats.org/officeDocument/2006/relationships/hyperlink" Target="https://www.icac.nsw.gov.au/investigations/past-investigations/2022/investigation-into-pork-barrelling--operation-jersey-" TargetMode="External"/><Relationship Id="rId11" Type="http://schemas.openxmlformats.org/officeDocument/2006/relationships/hyperlink" Target="https://www.journalofcommonwealthlaw.org/article/24261-the-prerogative-and-the-courts-in-australia" TargetMode="External"/><Relationship Id="rId5" Type="http://schemas.openxmlformats.org/officeDocument/2006/relationships/hyperlink" Target="https://www.cjccl.ca/wp-content/uploads/2021/05/10-Twomey.pdf" TargetMode="External"/><Relationship Id="rId15" Type="http://schemas.openxmlformats.org/officeDocument/2006/relationships/hyperlink" Target="https://www.legislation.gov.au/Details/C2020A00128" TargetMode="External"/><Relationship Id="rId10" Type="http://schemas.openxmlformats.org/officeDocument/2006/relationships/hyperlink" Target="https://www.legislation.gov.au/Details/C2020A00128National%20emergency%20legislation" TargetMode="External"/><Relationship Id="rId4" Type="http://schemas.openxmlformats.org/officeDocument/2006/relationships/hyperlink" Target="https://www.abc.net.au/news/2022-08-24/scott-morrison-secret-ministries-what-next/101363602" TargetMode="External"/><Relationship Id="rId9" Type="http://schemas.openxmlformats.org/officeDocument/2006/relationships/hyperlink" Target="https://www.thejadebeagle.com/tip-fire-a.html" TargetMode="External"/><Relationship Id="rId14" Type="http://schemas.openxmlformats.org/officeDocument/2006/relationships/hyperlink" Target="https://www.thejadebeagle.com/emergency-achie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E21D-AD19-4E6C-912F-7153B368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7282</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34</cp:revision>
  <dcterms:created xsi:type="dcterms:W3CDTF">2022-09-22T03:22:00Z</dcterms:created>
  <dcterms:modified xsi:type="dcterms:W3CDTF">2022-09-27T04:56:00Z</dcterms:modified>
</cp:coreProperties>
</file>