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B7C2" w14:textId="77777777" w:rsidR="0004536E" w:rsidRDefault="0004536E" w:rsidP="00C0158D">
      <w:pPr>
        <w:spacing w:after="0"/>
      </w:pPr>
      <w:r>
        <w:t xml:space="preserve">Secretariat </w:t>
      </w:r>
    </w:p>
    <w:p w14:paraId="7507B818" w14:textId="77777777" w:rsidR="0004536E" w:rsidRDefault="0004536E" w:rsidP="00C0158D">
      <w:pPr>
        <w:spacing w:after="0"/>
      </w:pPr>
      <w:r>
        <w:t xml:space="preserve">Public Accountability Committee </w:t>
      </w:r>
    </w:p>
    <w:p w14:paraId="41D1E062" w14:textId="77777777" w:rsidR="0004536E" w:rsidRDefault="0004536E" w:rsidP="00C0158D">
      <w:pPr>
        <w:spacing w:after="0"/>
      </w:pPr>
      <w:r>
        <w:t xml:space="preserve">NSW Legislative Council </w:t>
      </w:r>
    </w:p>
    <w:p w14:paraId="4CCDEC81" w14:textId="7FE5FDE1" w:rsidR="0004536E" w:rsidRDefault="0004536E" w:rsidP="00C0158D">
      <w:pPr>
        <w:spacing w:after="0"/>
      </w:pPr>
      <w:r>
        <w:t xml:space="preserve">Parliament House </w:t>
      </w:r>
      <w:r w:rsidR="003945B0">
        <w:t xml:space="preserve">  </w:t>
      </w:r>
    </w:p>
    <w:p w14:paraId="25D32A59" w14:textId="56575EE9" w:rsidR="0004536E" w:rsidRDefault="0004536E" w:rsidP="00C0158D">
      <w:pPr>
        <w:spacing w:after="0"/>
      </w:pPr>
      <w:r>
        <w:t xml:space="preserve">SYDNEY NSW 2000 </w:t>
      </w:r>
    </w:p>
    <w:p w14:paraId="70E0E90F" w14:textId="77777777" w:rsidR="00C0158D" w:rsidRDefault="00C0158D" w:rsidP="00C0158D">
      <w:pPr>
        <w:spacing w:after="0"/>
      </w:pPr>
    </w:p>
    <w:p w14:paraId="0F427F34" w14:textId="77777777" w:rsidR="0004536E" w:rsidRPr="00476709" w:rsidRDefault="0004536E" w:rsidP="00C0158D">
      <w:pPr>
        <w:spacing w:after="0"/>
        <w:rPr>
          <w:b/>
          <w:bCs/>
        </w:rPr>
      </w:pPr>
      <w:r w:rsidRPr="00476709">
        <w:rPr>
          <w:b/>
          <w:bCs/>
        </w:rPr>
        <w:t xml:space="preserve">TRANSPORT ASSET HOLDING ENTITY INQUIRY – </w:t>
      </w:r>
      <w:r w:rsidRPr="00476709">
        <w:rPr>
          <w:b/>
          <w:bCs/>
        </w:rPr>
        <w:t>CLARIFICATION</w:t>
      </w:r>
      <w:r w:rsidRPr="00476709">
        <w:rPr>
          <w:b/>
          <w:bCs/>
        </w:rPr>
        <w:t xml:space="preserve"> </w:t>
      </w:r>
    </w:p>
    <w:p w14:paraId="32D45863" w14:textId="77777777" w:rsidR="00C0158D" w:rsidRDefault="00C0158D" w:rsidP="00C0158D">
      <w:pPr>
        <w:spacing w:after="0"/>
      </w:pPr>
    </w:p>
    <w:p w14:paraId="52082FFF" w14:textId="62CBDBA7" w:rsidR="0004536E" w:rsidRDefault="0004536E" w:rsidP="00C0158D">
      <w:pPr>
        <w:spacing w:after="0"/>
      </w:pPr>
      <w:r>
        <w:t xml:space="preserve">Dear Secretariat </w:t>
      </w:r>
    </w:p>
    <w:p w14:paraId="41B67CB2" w14:textId="10DA8924" w:rsidR="002667A4" w:rsidRDefault="002667A4" w:rsidP="00C0158D">
      <w:pPr>
        <w:spacing w:after="0"/>
      </w:pPr>
    </w:p>
    <w:p w14:paraId="2ACBE0B4" w14:textId="196071FD" w:rsidR="002667A4" w:rsidRDefault="002667A4" w:rsidP="00C0158D">
      <w:pPr>
        <w:spacing w:after="0"/>
      </w:pPr>
      <w:r>
        <w:t>I reluctantly write, with some embarrassment, to draw attention to some ‘false narratives’ provided to the Inquiry.</w:t>
      </w:r>
    </w:p>
    <w:p w14:paraId="6424EFAE" w14:textId="77777777" w:rsidR="00C0158D" w:rsidRDefault="00C0158D" w:rsidP="00C0158D">
      <w:pPr>
        <w:spacing w:after="0"/>
      </w:pPr>
    </w:p>
    <w:p w14:paraId="6BD51AEE" w14:textId="249B0BD5" w:rsidR="003945B0" w:rsidRDefault="002619F9" w:rsidP="00C0158D">
      <w:pPr>
        <w:spacing w:after="0"/>
      </w:pPr>
      <w:r>
        <w:t>My</w:t>
      </w:r>
      <w:r w:rsidR="0004536E">
        <w:t xml:space="preserve"> submission to the Inquiry</w:t>
      </w:r>
      <w:r>
        <w:t>, in September, observed</w:t>
      </w:r>
      <w:r w:rsidR="00C0158D">
        <w:t xml:space="preserve"> </w:t>
      </w:r>
      <w:r w:rsidR="0065563A">
        <w:t>commonalities</w:t>
      </w:r>
      <w:r w:rsidR="00C0158D">
        <w:t xml:space="preserve"> </w:t>
      </w:r>
      <w:r>
        <w:t>between</w:t>
      </w:r>
      <w:r w:rsidR="00C0158D">
        <w:t xml:space="preserve"> the </w:t>
      </w:r>
      <w:r w:rsidR="007E778F">
        <w:t xml:space="preserve">present </w:t>
      </w:r>
      <w:r>
        <w:t xml:space="preserve">structure of the </w:t>
      </w:r>
      <w:r w:rsidR="00C0158D">
        <w:t>NSW Government rail sector</w:t>
      </w:r>
      <w:r>
        <w:t xml:space="preserve"> </w:t>
      </w:r>
      <w:r w:rsidR="00DE0555">
        <w:t xml:space="preserve">and </w:t>
      </w:r>
      <w:r w:rsidR="0072006E">
        <w:t xml:space="preserve">that </w:t>
      </w:r>
      <w:r w:rsidR="00C0158D">
        <w:t>between 1996 and 2000</w:t>
      </w:r>
      <w:r w:rsidR="003945B0">
        <w:t>.  This include</w:t>
      </w:r>
      <w:r w:rsidR="007E778F">
        <w:t>s</w:t>
      </w:r>
      <w:r w:rsidR="003945B0">
        <w:t xml:space="preserve"> </w:t>
      </w:r>
      <w:r w:rsidR="0065563A">
        <w:t>strong similarities</w:t>
      </w:r>
      <w:r w:rsidR="003945B0">
        <w:t xml:space="preserve"> </w:t>
      </w:r>
      <w:r w:rsidR="0065563A">
        <w:t>of</w:t>
      </w:r>
      <w:r w:rsidR="003945B0">
        <w:t xml:space="preserve"> the present Transport</w:t>
      </w:r>
      <w:r w:rsidR="00C0158D">
        <w:t xml:space="preserve"> Asset Holding Entity and the </w:t>
      </w:r>
      <w:r w:rsidR="003945B0">
        <w:t>then Rail Access Corporation.</w:t>
      </w:r>
      <w:r w:rsidR="003945B0">
        <w:rPr>
          <w:rStyle w:val="FootnoteReference"/>
        </w:rPr>
        <w:footnoteReference w:id="1"/>
      </w:r>
    </w:p>
    <w:p w14:paraId="4C60A984" w14:textId="77777777" w:rsidR="003945B0" w:rsidRDefault="003945B0" w:rsidP="00C0158D">
      <w:pPr>
        <w:spacing w:after="0"/>
      </w:pPr>
    </w:p>
    <w:p w14:paraId="0FA538CD" w14:textId="1B24A972" w:rsidR="00A307EA" w:rsidRDefault="003945B0" w:rsidP="00C0158D">
      <w:pPr>
        <w:spacing w:after="0"/>
      </w:pPr>
      <w:r>
        <w:t xml:space="preserve">Subsequently, I have read the documentation and transcripts </w:t>
      </w:r>
      <w:r w:rsidR="005250E7">
        <w:t>at</w:t>
      </w:r>
      <w:r>
        <w:t xml:space="preserve"> the Inquiry’s website</w:t>
      </w:r>
      <w:r w:rsidR="00A307EA">
        <w:t xml:space="preserve">.  </w:t>
      </w:r>
    </w:p>
    <w:p w14:paraId="76407A94" w14:textId="77777777" w:rsidR="00A307EA" w:rsidRDefault="00A307EA" w:rsidP="00C0158D">
      <w:pPr>
        <w:spacing w:after="0"/>
      </w:pPr>
    </w:p>
    <w:p w14:paraId="40F53324" w14:textId="2FEC60A4" w:rsidR="003945B0" w:rsidRDefault="00A307EA" w:rsidP="00C0158D">
      <w:pPr>
        <w:spacing w:after="0"/>
      </w:pPr>
      <w:r>
        <w:t>I also have</w:t>
      </w:r>
      <w:r w:rsidR="003945B0">
        <w:t xml:space="preserve"> written several </w:t>
      </w:r>
      <w:r w:rsidR="007E4877">
        <w:t>b</w:t>
      </w:r>
      <w:r w:rsidR="003945B0">
        <w:t>log articles about related issues.</w:t>
      </w:r>
      <w:r w:rsidR="002667A4">
        <w:t xml:space="preserve">  Another is underway.</w:t>
      </w:r>
      <w:r w:rsidR="003945B0">
        <w:rPr>
          <w:rStyle w:val="FootnoteReference"/>
        </w:rPr>
        <w:footnoteReference w:id="2"/>
      </w:r>
    </w:p>
    <w:p w14:paraId="393F5C95" w14:textId="77777777" w:rsidR="007E4877" w:rsidRDefault="003945B0" w:rsidP="00C0158D">
      <w:pPr>
        <w:spacing w:after="0"/>
      </w:pPr>
      <w:r>
        <w:t xml:space="preserve"> </w:t>
      </w:r>
    </w:p>
    <w:p w14:paraId="7D330FDA" w14:textId="7473A4E2" w:rsidR="002A23AD" w:rsidRDefault="007E4877" w:rsidP="00C0158D">
      <w:pPr>
        <w:spacing w:after="0"/>
      </w:pPr>
      <w:r>
        <w:t xml:space="preserve">Those articles identify </w:t>
      </w:r>
      <w:r w:rsidR="0065563A">
        <w:t>critical</w:t>
      </w:r>
      <w:r>
        <w:t xml:space="preserve"> misconceptions</w:t>
      </w:r>
      <w:r w:rsidR="00074509">
        <w:t xml:space="preserve"> </w:t>
      </w:r>
      <w:r w:rsidR="000070B7">
        <w:t xml:space="preserve">that have been </w:t>
      </w:r>
      <w:r w:rsidR="00297481">
        <w:t>propounded</w:t>
      </w:r>
      <w:r w:rsidR="00074509">
        <w:t xml:space="preserve"> in quite emphatic – at times</w:t>
      </w:r>
      <w:r w:rsidR="007E778F">
        <w:t>,</w:t>
      </w:r>
      <w:r w:rsidR="00074509">
        <w:t xml:space="preserve"> dismissive - terms at the Inquiry</w:t>
      </w:r>
      <w:r w:rsidR="002667A4">
        <w:t xml:space="preserve"> and associated public debate</w:t>
      </w:r>
      <w:r w:rsidR="00DE0555">
        <w:t>.  T</w:t>
      </w:r>
      <w:r>
        <w:t xml:space="preserve">he more significant </w:t>
      </w:r>
      <w:r w:rsidR="002A23AD">
        <w:t>includ</w:t>
      </w:r>
      <w:r w:rsidR="00DE0555">
        <w:t xml:space="preserve">e </w:t>
      </w:r>
      <w:r w:rsidR="0065563A">
        <w:t xml:space="preserve">fundamental </w:t>
      </w:r>
      <w:r w:rsidR="00DE0555">
        <w:t>mis</w:t>
      </w:r>
      <w:r w:rsidR="006D0DCC">
        <w:t>apprehension</w:t>
      </w:r>
      <w:r w:rsidR="00DE0555">
        <w:t xml:space="preserve"> of </w:t>
      </w:r>
      <w:r>
        <w:t>the Glenbrook and Waterfall Commission</w:t>
      </w:r>
      <w:r w:rsidR="0065563A">
        <w:t>s’</w:t>
      </w:r>
      <w:r w:rsidR="006D0DCC">
        <w:t xml:space="preserve"> recommendations</w:t>
      </w:r>
      <w:r>
        <w:t xml:space="preserve">.  </w:t>
      </w:r>
    </w:p>
    <w:p w14:paraId="709B53AE" w14:textId="77777777" w:rsidR="002A23AD" w:rsidRDefault="002A23AD" w:rsidP="00C0158D">
      <w:pPr>
        <w:spacing w:after="0"/>
      </w:pPr>
    </w:p>
    <w:p w14:paraId="23C58848" w14:textId="1CD911E1" w:rsidR="00E2194D" w:rsidRDefault="00DE0555" w:rsidP="00C0158D">
      <w:pPr>
        <w:spacing w:after="0"/>
      </w:pPr>
      <w:r>
        <w:t>For example, i</w:t>
      </w:r>
      <w:r w:rsidR="002A23AD">
        <w:t xml:space="preserve">t seems </w:t>
      </w:r>
      <w:r w:rsidR="007E4877">
        <w:t>common</w:t>
      </w:r>
      <w:r w:rsidR="002A23AD">
        <w:t>ly</w:t>
      </w:r>
      <w:r w:rsidR="007E4877">
        <w:t xml:space="preserve"> believed the Commissions recommended (infrastructure) asset maintenance </w:t>
      </w:r>
      <w:r w:rsidR="002D697B">
        <w:t xml:space="preserve">should </w:t>
      </w:r>
      <w:r w:rsidR="007E4877">
        <w:t xml:space="preserve">be conducted by the operator of commuter trains.  </w:t>
      </w:r>
    </w:p>
    <w:p w14:paraId="573635EC" w14:textId="77777777" w:rsidR="00E2194D" w:rsidRDefault="00E2194D" w:rsidP="00C0158D">
      <w:pPr>
        <w:spacing w:after="0"/>
      </w:pPr>
    </w:p>
    <w:p w14:paraId="092303B7" w14:textId="5D4F0154" w:rsidR="002A23AD" w:rsidRDefault="007E4877" w:rsidP="00C0158D">
      <w:pPr>
        <w:spacing w:after="0"/>
      </w:pPr>
      <w:r>
        <w:t>Th</w:t>
      </w:r>
      <w:r w:rsidR="006D0DCC">
        <w:t>e</w:t>
      </w:r>
      <w:r>
        <w:t xml:space="preserve"> </w:t>
      </w:r>
      <w:r w:rsidR="006D0DCC">
        <w:t xml:space="preserve">belief </w:t>
      </w:r>
      <w:r w:rsidR="00074509">
        <w:t>wa</w:t>
      </w:r>
      <w:r>
        <w:t xml:space="preserve">s expressed in </w:t>
      </w:r>
      <w:r w:rsidR="002A23AD">
        <w:t xml:space="preserve">(what appears to be) the </w:t>
      </w:r>
      <w:r w:rsidR="00AD6397">
        <w:t xml:space="preserve">2016 </w:t>
      </w:r>
      <w:r w:rsidR="002A23AD">
        <w:t>Cabinet submission which formed the basis for legislation creating the Entity</w:t>
      </w:r>
      <w:r w:rsidR="00E2194D">
        <w:t xml:space="preserve">.  </w:t>
      </w:r>
      <w:r w:rsidR="00476709">
        <w:t>It presumably is a reason for claim</w:t>
      </w:r>
      <w:r w:rsidR="00297481">
        <w:t>s</w:t>
      </w:r>
      <w:r w:rsidR="00476709">
        <w:t xml:space="preserve"> the Entity </w:t>
      </w:r>
      <w:r w:rsidR="00297481">
        <w:t xml:space="preserve">is somehow not </w:t>
      </w:r>
      <w:r w:rsidR="007E778F">
        <w:t>– and s</w:t>
      </w:r>
      <w:r w:rsidR="00903D70">
        <w:t xml:space="preserve">hould not be - </w:t>
      </w:r>
      <w:r w:rsidR="00297481">
        <w:t>responsible for</w:t>
      </w:r>
      <w:r w:rsidR="00476709">
        <w:t xml:space="preserve"> maintenance</w:t>
      </w:r>
      <w:r w:rsidR="0028741D">
        <w:t xml:space="preserve"> of its assets</w:t>
      </w:r>
      <w:r w:rsidR="002A23AD">
        <w:t>.</w:t>
      </w:r>
      <w:r w:rsidR="002A23AD">
        <w:rPr>
          <w:rStyle w:val="FootnoteReference"/>
        </w:rPr>
        <w:footnoteReference w:id="3"/>
      </w:r>
    </w:p>
    <w:p w14:paraId="6A05B854" w14:textId="77777777" w:rsidR="002A23AD" w:rsidRDefault="002A23AD" w:rsidP="00C0158D">
      <w:pPr>
        <w:spacing w:after="0"/>
      </w:pPr>
    </w:p>
    <w:p w14:paraId="6A8B3AFA" w14:textId="5D15CE54" w:rsidR="007D3A16" w:rsidRDefault="00F20006" w:rsidP="00C0158D">
      <w:pPr>
        <w:spacing w:after="0"/>
      </w:pPr>
      <w:r>
        <w:t>Yet t</w:t>
      </w:r>
      <w:r w:rsidR="005A5CE0">
        <w:t xml:space="preserve">he Commissions made no such recommendation. </w:t>
      </w:r>
    </w:p>
    <w:p w14:paraId="2F8BCFBC" w14:textId="77777777" w:rsidR="007D3A16" w:rsidRDefault="007D3A16" w:rsidP="00C0158D">
      <w:pPr>
        <w:spacing w:after="0"/>
      </w:pPr>
    </w:p>
    <w:p w14:paraId="367B1382" w14:textId="171FAD93" w:rsidR="00903D70" w:rsidRDefault="00903D70" w:rsidP="00032A09">
      <w:pPr>
        <w:spacing w:after="0"/>
      </w:pPr>
      <w:r>
        <w:t>T</w:t>
      </w:r>
      <w:r w:rsidR="004407B3">
        <w:t>he Commissions did make recommendations about sector structure</w:t>
      </w:r>
      <w:r>
        <w:t xml:space="preserve">.  </w:t>
      </w:r>
      <w:r w:rsidR="00F20006">
        <w:t>T</w:t>
      </w:r>
      <w:r>
        <w:t xml:space="preserve">hey </w:t>
      </w:r>
      <w:r w:rsidR="005250E7">
        <w:t>we</w:t>
      </w:r>
      <w:r>
        <w:t xml:space="preserve">re </w:t>
      </w:r>
      <w:r w:rsidR="004407B3">
        <w:t xml:space="preserve">very different from </w:t>
      </w:r>
      <w:r w:rsidR="00F20006">
        <w:t>w</w:t>
      </w:r>
      <w:r w:rsidR="004407B3">
        <w:t xml:space="preserve">hat </w:t>
      </w:r>
      <w:r w:rsidR="00F20006">
        <w:t xml:space="preserve">some apparently </w:t>
      </w:r>
      <w:r w:rsidR="004407B3">
        <w:t>belie</w:t>
      </w:r>
      <w:r w:rsidR="00F20006">
        <w:t>ve</w:t>
      </w:r>
      <w:r w:rsidR="004407B3">
        <w:t xml:space="preserve">.  </w:t>
      </w:r>
    </w:p>
    <w:p w14:paraId="1365A63B" w14:textId="77777777" w:rsidR="00903D70" w:rsidRDefault="00903D70" w:rsidP="00032A09">
      <w:pPr>
        <w:spacing w:after="0"/>
      </w:pPr>
    </w:p>
    <w:p w14:paraId="7437039A" w14:textId="76AF81DD" w:rsidR="00297481" w:rsidRDefault="004407B3" w:rsidP="00032A09">
      <w:pPr>
        <w:spacing w:after="0"/>
      </w:pPr>
      <w:r>
        <w:t>T</w:t>
      </w:r>
      <w:r w:rsidR="005A5CE0">
        <w:t xml:space="preserve">he Glenbrook Commission </w:t>
      </w:r>
      <w:r w:rsidR="004B425C">
        <w:t xml:space="preserve">(2000) </w:t>
      </w:r>
      <w:r w:rsidR="005A5CE0">
        <w:t>recommended</w:t>
      </w:r>
      <w:r w:rsidR="00DE0555">
        <w:t>:</w:t>
      </w:r>
      <w:r w:rsidR="005A5CE0">
        <w:t xml:space="preserve"> </w:t>
      </w:r>
      <w:r w:rsidR="00831EBE">
        <w:t xml:space="preserve">(infrastructure) </w:t>
      </w:r>
      <w:r w:rsidR="005A5CE0">
        <w:t>maintenance be conducted by the asset owner</w:t>
      </w:r>
      <w:r w:rsidR="00DE0555">
        <w:t xml:space="preserve">; </w:t>
      </w:r>
      <w:r w:rsidR="00831EBE">
        <w:t>that owner be a statutory authority not a State-owned corporation</w:t>
      </w:r>
      <w:r w:rsidR="00831EBE">
        <w:t xml:space="preserve">; </w:t>
      </w:r>
      <w:r w:rsidR="00DE0555">
        <w:t>that owner be responsible to the Minister for Transport.</w:t>
      </w:r>
      <w:r w:rsidR="00BC0532">
        <w:t xml:space="preserve">  </w:t>
      </w:r>
    </w:p>
    <w:p w14:paraId="6915BF00" w14:textId="77777777" w:rsidR="00297481" w:rsidRDefault="00297481" w:rsidP="00032A09">
      <w:pPr>
        <w:spacing w:after="0"/>
      </w:pPr>
    </w:p>
    <w:p w14:paraId="534CF83A" w14:textId="69A7E409" w:rsidR="005A5CE0" w:rsidRDefault="00BC0532" w:rsidP="00032A09">
      <w:pPr>
        <w:spacing w:after="0"/>
      </w:pPr>
      <w:r>
        <w:lastRenderedPageBreak/>
        <w:t xml:space="preserve">That was the very first recommendation in a report by the Commission, requested by Government, on structure </w:t>
      </w:r>
      <w:r w:rsidR="009046AC">
        <w:t xml:space="preserve">- </w:t>
      </w:r>
      <w:r>
        <w:t xml:space="preserve">about which senior advisers and policy makers </w:t>
      </w:r>
      <w:r w:rsidR="0065563A">
        <w:t xml:space="preserve">now </w:t>
      </w:r>
      <w:r>
        <w:t>appear entirely ignorant.</w:t>
      </w:r>
      <w:r w:rsidR="005A5CE0">
        <w:rPr>
          <w:rStyle w:val="FootnoteReference"/>
        </w:rPr>
        <w:footnoteReference w:id="4"/>
      </w:r>
    </w:p>
    <w:p w14:paraId="6CC4207E" w14:textId="77777777" w:rsidR="00297481" w:rsidRDefault="00297481" w:rsidP="00032A09">
      <w:pPr>
        <w:spacing w:after="0"/>
      </w:pPr>
    </w:p>
    <w:p w14:paraId="61F948EB" w14:textId="64BAF259" w:rsidR="004B425C" w:rsidRDefault="00297481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As another example</w:t>
      </w:r>
      <w:r w:rsidR="00903D70">
        <w:rPr>
          <w:rFonts w:cstheme="minorHAnsi"/>
          <w:color w:val="424242"/>
          <w:shd w:val="clear" w:color="auto" w:fill="FFFFFF"/>
        </w:rPr>
        <w:t xml:space="preserve"> of misconception</w:t>
      </w:r>
      <w:r>
        <w:rPr>
          <w:rFonts w:cstheme="minorHAnsi"/>
          <w:color w:val="424242"/>
          <w:shd w:val="clear" w:color="auto" w:fill="FFFFFF"/>
        </w:rPr>
        <w:t>, t</w:t>
      </w:r>
      <w:r w:rsidR="007D3A16" w:rsidRPr="00DE0555">
        <w:rPr>
          <w:rFonts w:cstheme="minorHAnsi"/>
          <w:color w:val="424242"/>
          <w:shd w:val="clear" w:color="auto" w:fill="FFFFFF"/>
        </w:rPr>
        <w:t xml:space="preserve">he </w:t>
      </w:r>
      <w:r w:rsidR="004407B3">
        <w:rPr>
          <w:rFonts w:cstheme="minorHAnsi"/>
          <w:color w:val="424242"/>
          <w:shd w:val="clear" w:color="auto" w:fill="FFFFFF"/>
        </w:rPr>
        <w:t>I</w:t>
      </w:r>
      <w:r w:rsidR="007D3A16" w:rsidRPr="00DE0555">
        <w:rPr>
          <w:rFonts w:cstheme="minorHAnsi"/>
          <w:color w:val="424242"/>
          <w:shd w:val="clear" w:color="auto" w:fill="FFFFFF"/>
        </w:rPr>
        <w:t xml:space="preserve">nquiry </w:t>
      </w:r>
      <w:r w:rsidR="00E2194D">
        <w:rPr>
          <w:rFonts w:cstheme="minorHAnsi"/>
          <w:color w:val="424242"/>
          <w:shd w:val="clear" w:color="auto" w:fill="FFFFFF"/>
        </w:rPr>
        <w:t>was recently</w:t>
      </w:r>
      <w:r w:rsidR="007D3A16" w:rsidRPr="00DE0555">
        <w:rPr>
          <w:rFonts w:cstheme="minorHAnsi"/>
          <w:color w:val="424242"/>
          <w:shd w:val="clear" w:color="auto" w:fill="FFFFFF"/>
        </w:rPr>
        <w:t xml:space="preserve"> told </w:t>
      </w:r>
      <w:r w:rsidR="004B425C">
        <w:rPr>
          <w:rFonts w:cstheme="minorHAnsi"/>
          <w:color w:val="424242"/>
          <w:shd w:val="clear" w:color="auto" w:fill="FFFFFF"/>
        </w:rPr>
        <w:t>the structure that has governed rail safety since responses to the Glenbrook and Waterfall Commissions remains unchanged.</w:t>
      </w:r>
      <w:r w:rsidR="004B425C">
        <w:rPr>
          <w:rStyle w:val="FootnoteReference"/>
          <w:rFonts w:cstheme="minorHAnsi"/>
          <w:color w:val="424242"/>
          <w:shd w:val="clear" w:color="auto" w:fill="FFFFFF"/>
        </w:rPr>
        <w:footnoteReference w:id="5"/>
      </w:r>
    </w:p>
    <w:p w14:paraId="51D7E5E7" w14:textId="77777777" w:rsidR="004B425C" w:rsidRDefault="004B425C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6350AD12" w14:textId="77DE641C" w:rsidR="00AD6397" w:rsidRDefault="00032A09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That is false</w:t>
      </w:r>
      <w:r w:rsidR="004B425C">
        <w:rPr>
          <w:rFonts w:cstheme="minorHAnsi"/>
          <w:color w:val="424242"/>
          <w:shd w:val="clear" w:color="auto" w:fill="FFFFFF"/>
        </w:rPr>
        <w:t xml:space="preserve">. </w:t>
      </w:r>
      <w:r w:rsidR="008A2140">
        <w:rPr>
          <w:rFonts w:cstheme="minorHAnsi"/>
          <w:color w:val="424242"/>
          <w:shd w:val="clear" w:color="auto" w:fill="FFFFFF"/>
        </w:rPr>
        <w:t xml:space="preserve">The structure of </w:t>
      </w:r>
      <w:r>
        <w:rPr>
          <w:rFonts w:cstheme="minorHAnsi"/>
          <w:color w:val="424242"/>
          <w:shd w:val="clear" w:color="auto" w:fill="FFFFFF"/>
        </w:rPr>
        <w:t xml:space="preserve">rail safety administration and </w:t>
      </w:r>
      <w:r w:rsidR="008A2140">
        <w:rPr>
          <w:rFonts w:cstheme="minorHAnsi"/>
          <w:color w:val="424242"/>
          <w:shd w:val="clear" w:color="auto" w:fill="FFFFFF"/>
        </w:rPr>
        <w:t xml:space="preserve">the </w:t>
      </w:r>
      <w:r>
        <w:rPr>
          <w:rFonts w:cstheme="minorHAnsi"/>
          <w:color w:val="424242"/>
          <w:shd w:val="clear" w:color="auto" w:fill="FFFFFF"/>
        </w:rPr>
        <w:t xml:space="preserve">structure of </w:t>
      </w:r>
      <w:r w:rsidR="00712C1C">
        <w:rPr>
          <w:rFonts w:cstheme="minorHAnsi"/>
          <w:color w:val="424242"/>
          <w:shd w:val="clear" w:color="auto" w:fill="FFFFFF"/>
        </w:rPr>
        <w:t xml:space="preserve">the </w:t>
      </w:r>
      <w:r w:rsidR="008A2140">
        <w:rPr>
          <w:rFonts w:cstheme="minorHAnsi"/>
          <w:color w:val="424242"/>
          <w:shd w:val="clear" w:color="auto" w:fill="FFFFFF"/>
        </w:rPr>
        <w:t>Government rail sector ha</w:t>
      </w:r>
      <w:r>
        <w:rPr>
          <w:rFonts w:cstheme="minorHAnsi"/>
          <w:color w:val="424242"/>
          <w:shd w:val="clear" w:color="auto" w:fill="FFFFFF"/>
        </w:rPr>
        <w:t>ve</w:t>
      </w:r>
      <w:r w:rsidR="008A2140">
        <w:rPr>
          <w:rFonts w:cstheme="minorHAnsi"/>
          <w:color w:val="424242"/>
          <w:shd w:val="clear" w:color="auto" w:fill="FFFFFF"/>
        </w:rPr>
        <w:t xml:space="preserve"> changed several times since </w:t>
      </w:r>
      <w:r w:rsidR="00297481">
        <w:rPr>
          <w:rFonts w:cstheme="minorHAnsi"/>
          <w:color w:val="424242"/>
          <w:shd w:val="clear" w:color="auto" w:fill="FFFFFF"/>
        </w:rPr>
        <w:t>r</w:t>
      </w:r>
      <w:r>
        <w:rPr>
          <w:rFonts w:cstheme="minorHAnsi"/>
          <w:color w:val="424242"/>
          <w:shd w:val="clear" w:color="auto" w:fill="FFFFFF"/>
        </w:rPr>
        <w:t xml:space="preserve">esponses to the </w:t>
      </w:r>
      <w:r w:rsidR="008A2140">
        <w:rPr>
          <w:rFonts w:cstheme="minorHAnsi"/>
          <w:color w:val="424242"/>
          <w:shd w:val="clear" w:color="auto" w:fill="FFFFFF"/>
        </w:rPr>
        <w:t>Waterfall Commission report (2005).</w:t>
      </w:r>
      <w:r w:rsidR="00397980">
        <w:rPr>
          <w:rFonts w:cstheme="minorHAnsi"/>
          <w:color w:val="424242"/>
          <w:shd w:val="clear" w:color="auto" w:fill="FFFFFF"/>
        </w:rPr>
        <w:t xml:space="preserve">  T</w:t>
      </w:r>
      <w:r w:rsidR="0065563A">
        <w:rPr>
          <w:rFonts w:cstheme="minorHAnsi"/>
          <w:color w:val="424242"/>
          <w:shd w:val="clear" w:color="auto" w:fill="FFFFFF"/>
        </w:rPr>
        <w:t>o illustrate, T</w:t>
      </w:r>
      <w:r w:rsidR="00397980">
        <w:rPr>
          <w:rFonts w:cstheme="minorHAnsi"/>
          <w:color w:val="424242"/>
          <w:shd w:val="clear" w:color="auto" w:fill="FFFFFF"/>
        </w:rPr>
        <w:t>able 1 show</w:t>
      </w:r>
      <w:r w:rsidR="00B739DA">
        <w:rPr>
          <w:rFonts w:cstheme="minorHAnsi"/>
          <w:color w:val="424242"/>
          <w:shd w:val="clear" w:color="auto" w:fill="FFFFFF"/>
        </w:rPr>
        <w:t>s</w:t>
      </w:r>
      <w:r w:rsidR="0072006E">
        <w:rPr>
          <w:rFonts w:cstheme="minorHAnsi"/>
          <w:color w:val="424242"/>
          <w:shd w:val="clear" w:color="auto" w:fill="FFFFFF"/>
        </w:rPr>
        <w:t xml:space="preserve"> conformance of </w:t>
      </w:r>
      <w:r>
        <w:rPr>
          <w:rFonts w:cstheme="minorHAnsi"/>
          <w:color w:val="424242"/>
          <w:shd w:val="clear" w:color="auto" w:fill="FFFFFF"/>
        </w:rPr>
        <w:t xml:space="preserve">sector </w:t>
      </w:r>
      <w:r w:rsidR="0072006E">
        <w:rPr>
          <w:rFonts w:cstheme="minorHAnsi"/>
          <w:color w:val="424242"/>
          <w:shd w:val="clear" w:color="auto" w:fill="FFFFFF"/>
        </w:rPr>
        <w:t>structure</w:t>
      </w:r>
      <w:r w:rsidR="007E778F">
        <w:rPr>
          <w:rFonts w:cstheme="minorHAnsi"/>
          <w:color w:val="424242"/>
          <w:shd w:val="clear" w:color="auto" w:fill="FFFFFF"/>
        </w:rPr>
        <w:t xml:space="preserve"> </w:t>
      </w:r>
      <w:r w:rsidR="0072006E">
        <w:rPr>
          <w:rFonts w:cstheme="minorHAnsi"/>
          <w:color w:val="424242"/>
          <w:shd w:val="clear" w:color="auto" w:fill="FFFFFF"/>
        </w:rPr>
        <w:t>with</w:t>
      </w:r>
      <w:r w:rsidR="00397980">
        <w:rPr>
          <w:rFonts w:cstheme="minorHAnsi"/>
          <w:color w:val="424242"/>
          <w:shd w:val="clear" w:color="auto" w:fill="FFFFFF"/>
        </w:rPr>
        <w:t xml:space="preserve"> </w:t>
      </w:r>
      <w:r w:rsidR="00903D70">
        <w:rPr>
          <w:rFonts w:cstheme="minorHAnsi"/>
          <w:color w:val="424242"/>
          <w:shd w:val="clear" w:color="auto" w:fill="FFFFFF"/>
        </w:rPr>
        <w:t xml:space="preserve">the Commissions’ </w:t>
      </w:r>
      <w:r w:rsidR="00397980">
        <w:rPr>
          <w:rFonts w:cstheme="minorHAnsi"/>
          <w:color w:val="424242"/>
          <w:shd w:val="clear" w:color="auto" w:fill="FFFFFF"/>
        </w:rPr>
        <w:t>recommendations</w:t>
      </w:r>
      <w:r w:rsidR="00E560D5">
        <w:rPr>
          <w:rFonts w:cstheme="minorHAnsi"/>
          <w:color w:val="424242"/>
          <w:shd w:val="clear" w:color="auto" w:fill="FFFFFF"/>
        </w:rPr>
        <w:t xml:space="preserve"> – green shading indicates</w:t>
      </w:r>
      <w:r w:rsidR="001A2850">
        <w:rPr>
          <w:rFonts w:cstheme="minorHAnsi"/>
          <w:color w:val="424242"/>
          <w:shd w:val="clear" w:color="auto" w:fill="FFFFFF"/>
        </w:rPr>
        <w:t xml:space="preserve"> conformance</w:t>
      </w:r>
      <w:r w:rsidR="00E560D5">
        <w:rPr>
          <w:rFonts w:cstheme="minorHAnsi"/>
          <w:color w:val="424242"/>
          <w:shd w:val="clear" w:color="auto" w:fill="FFFFFF"/>
        </w:rPr>
        <w:t xml:space="preserve">, red shading indicates </w:t>
      </w:r>
      <w:r w:rsidR="001A2850">
        <w:rPr>
          <w:rFonts w:cstheme="minorHAnsi"/>
          <w:color w:val="424242"/>
          <w:shd w:val="clear" w:color="auto" w:fill="FFFFFF"/>
        </w:rPr>
        <w:t>non-conformance</w:t>
      </w:r>
      <w:r w:rsidR="0072006E">
        <w:rPr>
          <w:rFonts w:cstheme="minorHAnsi"/>
          <w:color w:val="424242"/>
          <w:shd w:val="clear" w:color="auto" w:fill="FFFFFF"/>
        </w:rPr>
        <w:t xml:space="preserve">.  </w:t>
      </w:r>
      <w:r w:rsidR="00397980">
        <w:rPr>
          <w:rFonts w:cstheme="minorHAnsi"/>
          <w:color w:val="424242"/>
          <w:shd w:val="clear" w:color="auto" w:fill="FFFFFF"/>
        </w:rPr>
        <w:t xml:space="preserve"> </w:t>
      </w:r>
      <w:r w:rsidR="00E2194D">
        <w:rPr>
          <w:rFonts w:cstheme="minorHAnsi"/>
          <w:color w:val="424242"/>
          <w:shd w:val="clear" w:color="auto" w:fill="FFFFFF"/>
        </w:rPr>
        <w:t xml:space="preserve">  </w:t>
      </w:r>
    </w:p>
    <w:p w14:paraId="747C8100" w14:textId="77777777" w:rsidR="00B50EF7" w:rsidRDefault="00B50EF7" w:rsidP="00B50EF7">
      <w:pPr>
        <w:spacing w:after="0"/>
      </w:pPr>
    </w:p>
    <w:p w14:paraId="676DD6AE" w14:textId="3468693C" w:rsidR="00B50EF7" w:rsidRDefault="00B50EF7" w:rsidP="00B50EF7">
      <w:pPr>
        <w:spacing w:after="0"/>
        <w:rPr>
          <w:b/>
          <w:bCs/>
        </w:rPr>
      </w:pPr>
      <w:r>
        <w:rPr>
          <w:b/>
          <w:bCs/>
        </w:rPr>
        <w:t>Table 1: Co</w:t>
      </w:r>
      <w:r w:rsidR="00F42E78">
        <w:rPr>
          <w:b/>
          <w:bCs/>
        </w:rPr>
        <w:t>nformance</w:t>
      </w:r>
      <w:r>
        <w:rPr>
          <w:b/>
          <w:bCs/>
        </w:rPr>
        <w:t xml:space="preserve"> of NSW </w:t>
      </w:r>
      <w:r w:rsidR="004407B3">
        <w:rPr>
          <w:b/>
          <w:bCs/>
        </w:rPr>
        <w:t xml:space="preserve">sector </w:t>
      </w:r>
      <w:r>
        <w:rPr>
          <w:b/>
          <w:bCs/>
        </w:rPr>
        <w:t>structure with Glenbrook Commission recommendations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977"/>
      </w:tblGrid>
      <w:tr w:rsidR="00B50EF7" w14:paraId="1BA80512" w14:textId="77777777" w:rsidTr="00B50EF7">
        <w:trPr>
          <w:trHeight w:val="1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D0CF" w14:textId="77777777" w:rsidR="00B50EF7" w:rsidRPr="00E560D5" w:rsidRDefault="00B50EF7" w:rsidP="006A54A0">
            <w:pPr>
              <w:rPr>
                <w:b/>
                <w:bCs/>
                <w:sz w:val="18"/>
                <w:szCs w:val="18"/>
              </w:rPr>
            </w:pPr>
            <w:r w:rsidRPr="00E560D5">
              <w:rPr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237" w14:textId="12A08F38" w:rsidR="00B50EF7" w:rsidRPr="00E560D5" w:rsidRDefault="00462A4F" w:rsidP="006A5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Infrastructure network </w:t>
            </w:r>
            <w:r w:rsidR="00B50EF7" w:rsidRPr="00E560D5">
              <w:rPr>
                <w:b/>
                <w:bCs/>
                <w:sz w:val="18"/>
                <w:szCs w:val="18"/>
              </w:rPr>
              <w:t>owner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E560D5" w:rsidRPr="00E560D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E560D5" w:rsidRPr="00E560D5">
              <w:rPr>
                <w:b/>
                <w:bCs/>
                <w:sz w:val="18"/>
                <w:szCs w:val="18"/>
              </w:rPr>
              <w:t>s it</w:t>
            </w:r>
            <w:r w:rsidR="00B50EF7" w:rsidRPr="00E560D5">
              <w:rPr>
                <w:b/>
                <w:bCs/>
                <w:sz w:val="18"/>
                <w:szCs w:val="18"/>
              </w:rPr>
              <w:t xml:space="preserve"> a statutory authority? (a)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C20" w14:textId="38E27F3C" w:rsidR="00B50EF7" w:rsidRPr="00E560D5" w:rsidRDefault="00B50EF7" w:rsidP="006A54A0">
            <w:pPr>
              <w:rPr>
                <w:b/>
                <w:bCs/>
                <w:sz w:val="18"/>
                <w:szCs w:val="18"/>
              </w:rPr>
            </w:pPr>
            <w:r w:rsidRPr="00E560D5">
              <w:rPr>
                <w:b/>
                <w:bCs/>
                <w:sz w:val="18"/>
                <w:szCs w:val="18"/>
              </w:rPr>
              <w:t xml:space="preserve">R1: </w:t>
            </w:r>
            <w:r w:rsidR="00E560D5" w:rsidRPr="00E560D5">
              <w:rPr>
                <w:b/>
                <w:bCs/>
                <w:sz w:val="18"/>
                <w:szCs w:val="18"/>
              </w:rPr>
              <w:t>Network maintainer</w:t>
            </w:r>
            <w:r w:rsidR="00462A4F">
              <w:rPr>
                <w:b/>
                <w:bCs/>
                <w:sz w:val="18"/>
                <w:szCs w:val="18"/>
              </w:rPr>
              <w:t>: i</w:t>
            </w:r>
            <w:r w:rsidR="00E560D5" w:rsidRPr="00E560D5">
              <w:rPr>
                <w:b/>
                <w:bCs/>
                <w:sz w:val="18"/>
                <w:szCs w:val="18"/>
              </w:rPr>
              <w:t xml:space="preserve">s it the network </w:t>
            </w:r>
            <w:r w:rsidRPr="00E560D5">
              <w:rPr>
                <w:b/>
                <w:bCs/>
                <w:sz w:val="18"/>
                <w:szCs w:val="18"/>
              </w:rPr>
              <w:t>owner</w:t>
            </w:r>
            <w:r w:rsidR="00E560D5" w:rsidRPr="00E560D5">
              <w:rPr>
                <w:b/>
                <w:bCs/>
                <w:sz w:val="18"/>
                <w:szCs w:val="18"/>
              </w:rPr>
              <w:t>?</w:t>
            </w:r>
            <w:r w:rsidR="00462A4F">
              <w:rPr>
                <w:b/>
                <w:bCs/>
                <w:sz w:val="18"/>
                <w:szCs w:val="18"/>
              </w:rPr>
              <w:t xml:space="preserve"> </w:t>
            </w:r>
            <w:r w:rsidRPr="00E560D5"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60CB" w14:textId="7562800B" w:rsidR="00B50EF7" w:rsidRPr="00E560D5" w:rsidRDefault="00B50EF7" w:rsidP="006A54A0">
            <w:pPr>
              <w:rPr>
                <w:b/>
                <w:bCs/>
                <w:sz w:val="18"/>
                <w:szCs w:val="18"/>
              </w:rPr>
            </w:pPr>
            <w:r w:rsidRPr="00E560D5">
              <w:rPr>
                <w:b/>
                <w:bCs/>
                <w:sz w:val="18"/>
                <w:szCs w:val="18"/>
              </w:rPr>
              <w:t xml:space="preserve">R3: </w:t>
            </w:r>
            <w:r w:rsidR="00462A4F">
              <w:rPr>
                <w:b/>
                <w:bCs/>
                <w:sz w:val="18"/>
                <w:szCs w:val="18"/>
              </w:rPr>
              <w:t>Commuter t</w:t>
            </w:r>
            <w:r w:rsidR="00E560D5" w:rsidRPr="00E560D5">
              <w:rPr>
                <w:b/>
                <w:bCs/>
                <w:sz w:val="18"/>
                <w:szCs w:val="18"/>
              </w:rPr>
              <w:t>rain operator</w:t>
            </w:r>
            <w:r w:rsidR="00462A4F">
              <w:rPr>
                <w:b/>
                <w:bCs/>
                <w:sz w:val="18"/>
                <w:szCs w:val="18"/>
              </w:rPr>
              <w:t>:</w:t>
            </w:r>
            <w:r w:rsidR="00E560D5" w:rsidRPr="00E560D5">
              <w:rPr>
                <w:b/>
                <w:bCs/>
                <w:sz w:val="18"/>
                <w:szCs w:val="18"/>
              </w:rPr>
              <w:t xml:space="preserve"> </w:t>
            </w:r>
            <w:r w:rsidR="00462A4F">
              <w:rPr>
                <w:b/>
                <w:bCs/>
                <w:sz w:val="18"/>
                <w:szCs w:val="18"/>
              </w:rPr>
              <w:t>d</w:t>
            </w:r>
            <w:r w:rsidR="00E560D5" w:rsidRPr="00E560D5">
              <w:rPr>
                <w:b/>
                <w:bCs/>
                <w:sz w:val="18"/>
                <w:szCs w:val="18"/>
              </w:rPr>
              <w:t>oes it perform all of n</w:t>
            </w:r>
            <w:r w:rsidRPr="00E560D5">
              <w:rPr>
                <w:b/>
                <w:bCs/>
                <w:sz w:val="18"/>
                <w:szCs w:val="18"/>
              </w:rPr>
              <w:t>etwork control? (b)</w:t>
            </w:r>
          </w:p>
        </w:tc>
      </w:tr>
      <w:tr w:rsidR="00B50EF7" w14:paraId="58377B7A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54B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  <w:highlight w:val="green"/>
              </w:rPr>
              <w:t>Pre 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491A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State Rail Authority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2F88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State Rail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3A04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State Rail</w:t>
            </w:r>
          </w:p>
        </w:tc>
      </w:tr>
      <w:tr w:rsidR="00B50EF7" w14:paraId="664B32B1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D0DC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6416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 xml:space="preserve">Rail Access Corporation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6381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Rail Services (c)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896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  <w:highlight w:val="green"/>
              </w:rPr>
              <w:t>State Rail</w:t>
            </w:r>
          </w:p>
        </w:tc>
      </w:tr>
      <w:tr w:rsidR="00B50EF7" w14:paraId="781DA480" w14:textId="77777777" w:rsidTr="006A54A0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869" w14:textId="1D4C9D53" w:rsidR="00B50EF7" w:rsidRPr="00E560D5" w:rsidRDefault="00B50EF7" w:rsidP="006A54A0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E560D5">
              <w:rPr>
                <w:b/>
                <w:bCs/>
                <w:sz w:val="18"/>
                <w:szCs w:val="18"/>
              </w:rPr>
              <w:t>2000</w:t>
            </w:r>
            <w:r w:rsidRPr="00E560D5">
              <w:rPr>
                <w:b/>
                <w:bCs/>
                <w:sz w:val="18"/>
                <w:szCs w:val="18"/>
              </w:rPr>
              <w:t>:</w:t>
            </w:r>
            <w:r w:rsidRPr="00E560D5">
              <w:rPr>
                <w:b/>
                <w:bCs/>
                <w:sz w:val="18"/>
                <w:szCs w:val="18"/>
              </w:rPr>
              <w:t xml:space="preserve"> Glenbrook Commission</w:t>
            </w:r>
            <w:r w:rsidR="00A115B9">
              <w:rPr>
                <w:b/>
                <w:bCs/>
                <w:sz w:val="18"/>
                <w:szCs w:val="18"/>
              </w:rPr>
              <w:t xml:space="preserve"> (</w:t>
            </w:r>
            <w:r w:rsidR="00831EBE">
              <w:rPr>
                <w:b/>
                <w:bCs/>
                <w:sz w:val="18"/>
                <w:szCs w:val="18"/>
              </w:rPr>
              <w:t>2nd</w:t>
            </w:r>
            <w:r w:rsidR="00A115B9">
              <w:rPr>
                <w:b/>
                <w:bCs/>
                <w:sz w:val="18"/>
                <w:szCs w:val="18"/>
              </w:rPr>
              <w:t xml:space="preserve"> interim report)</w:t>
            </w:r>
            <w:r w:rsidRPr="00E560D5">
              <w:rPr>
                <w:b/>
                <w:bCs/>
                <w:sz w:val="18"/>
                <w:szCs w:val="18"/>
              </w:rPr>
              <w:t>: R1:</w:t>
            </w:r>
            <w:r w:rsidR="00A115B9">
              <w:rPr>
                <w:b/>
                <w:bCs/>
                <w:sz w:val="18"/>
                <w:szCs w:val="18"/>
              </w:rPr>
              <w:t xml:space="preserve"> </w:t>
            </w:r>
            <w:r w:rsidRPr="00E560D5">
              <w:rPr>
                <w:b/>
                <w:bCs/>
                <w:sz w:val="18"/>
                <w:szCs w:val="18"/>
              </w:rPr>
              <w:t>Stat</w:t>
            </w:r>
            <w:r w:rsidR="001A2850">
              <w:rPr>
                <w:b/>
                <w:bCs/>
                <w:sz w:val="18"/>
                <w:szCs w:val="18"/>
              </w:rPr>
              <w:t>utory</w:t>
            </w:r>
            <w:r w:rsidRPr="00E560D5">
              <w:rPr>
                <w:b/>
                <w:bCs/>
                <w:sz w:val="18"/>
                <w:szCs w:val="18"/>
              </w:rPr>
              <w:t xml:space="preserve"> authority infrastructure owner to maintain network; R3: </w:t>
            </w:r>
            <w:r w:rsidR="007E778F" w:rsidRPr="00E560D5">
              <w:rPr>
                <w:b/>
                <w:bCs/>
                <w:sz w:val="18"/>
                <w:szCs w:val="18"/>
              </w:rPr>
              <w:t>Train</w:t>
            </w:r>
            <w:r w:rsidRPr="00E560D5">
              <w:rPr>
                <w:b/>
                <w:bCs/>
                <w:sz w:val="18"/>
                <w:szCs w:val="18"/>
              </w:rPr>
              <w:t xml:space="preserve"> operator</w:t>
            </w:r>
            <w:r w:rsidR="001A2850">
              <w:rPr>
                <w:b/>
                <w:bCs/>
                <w:sz w:val="18"/>
                <w:szCs w:val="18"/>
              </w:rPr>
              <w:t xml:space="preserve"> performs all metropolitan network control functions</w:t>
            </w:r>
            <w:r w:rsidR="00831EB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50EF7" w14:paraId="5963031A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B31F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009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Rail Infrastructure Corporation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26D0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  <w:highlight w:val="green"/>
              </w:rPr>
              <w:t>Rail Infrastructure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E8D5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  <w:highlight w:val="green"/>
              </w:rPr>
              <w:t>State Rail</w:t>
            </w:r>
          </w:p>
        </w:tc>
      </w:tr>
      <w:tr w:rsidR="00B50EF7" w14:paraId="61E9E959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079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E9A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RailCorp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252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RailCorp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0EAD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RailCorp</w:t>
            </w:r>
          </w:p>
        </w:tc>
      </w:tr>
      <w:tr w:rsidR="00B50EF7" w14:paraId="422CAA95" w14:textId="77777777" w:rsidTr="006A54A0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E7C0" w14:textId="3B2AEC13" w:rsidR="00B50EF7" w:rsidRPr="00E560D5" w:rsidRDefault="00B50EF7" w:rsidP="006A54A0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E560D5">
              <w:rPr>
                <w:b/>
                <w:bCs/>
                <w:sz w:val="18"/>
                <w:szCs w:val="18"/>
              </w:rPr>
              <w:t>2005: Waterfall Commission Report: reiterate</w:t>
            </w:r>
            <w:r w:rsidR="00A115B9">
              <w:rPr>
                <w:b/>
                <w:bCs/>
                <w:sz w:val="18"/>
                <w:szCs w:val="18"/>
              </w:rPr>
              <w:t>d</w:t>
            </w:r>
            <w:r w:rsidRPr="00E560D5">
              <w:rPr>
                <w:b/>
                <w:bCs/>
                <w:sz w:val="18"/>
                <w:szCs w:val="18"/>
              </w:rPr>
              <w:t xml:space="preserve"> Glenbrook Commission recommendations</w:t>
            </w:r>
            <w:r w:rsidR="00831EBE">
              <w:rPr>
                <w:b/>
                <w:bCs/>
                <w:sz w:val="18"/>
                <w:szCs w:val="18"/>
              </w:rPr>
              <w:t>.</w:t>
            </w:r>
            <w:r w:rsidRPr="00E560D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0EF7" w14:paraId="22959FB8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D4E" w14:textId="0ED6EB59" w:rsidR="00B50EF7" w:rsidRPr="00E560D5" w:rsidRDefault="00903D70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  <w:highlight w:val="green"/>
              </w:rPr>
              <w:t>20</w:t>
            </w:r>
            <w:r w:rsidR="00B50EF7" w:rsidRPr="00E560D5">
              <w:rPr>
                <w:sz w:val="18"/>
                <w:szCs w:val="18"/>
                <w:highlight w:val="green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7BE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 xml:space="preserve">RailCorp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AF22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RailCorp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F9C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RailCorp</w:t>
            </w:r>
          </w:p>
        </w:tc>
      </w:tr>
      <w:tr w:rsidR="00B50EF7" w14:paraId="60D7AD8C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2CD5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329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RailCorp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86E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Sydney Trains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FA51" w14:textId="403CE4F0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Sydney</w:t>
            </w:r>
            <w:r w:rsidR="00831EBE">
              <w:rPr>
                <w:sz w:val="18"/>
                <w:szCs w:val="18"/>
                <w:highlight w:val="red"/>
              </w:rPr>
              <w:t xml:space="preserve"> </w:t>
            </w:r>
            <w:r w:rsidRPr="00E560D5">
              <w:rPr>
                <w:sz w:val="18"/>
                <w:szCs w:val="18"/>
                <w:highlight w:val="red"/>
              </w:rPr>
              <w:t>Trains/</w:t>
            </w:r>
            <w:r w:rsidR="00831EBE">
              <w:rPr>
                <w:sz w:val="18"/>
                <w:szCs w:val="18"/>
                <w:highlight w:val="red"/>
              </w:rPr>
              <w:t xml:space="preserve"> </w:t>
            </w:r>
            <w:r w:rsidRPr="00E560D5">
              <w:rPr>
                <w:sz w:val="18"/>
                <w:szCs w:val="18"/>
                <w:highlight w:val="red"/>
              </w:rPr>
              <w:t>RailCorp/</w:t>
            </w:r>
            <w:r w:rsidR="00831EBE">
              <w:rPr>
                <w:sz w:val="18"/>
                <w:szCs w:val="18"/>
                <w:highlight w:val="red"/>
              </w:rPr>
              <w:t xml:space="preserve"> </w:t>
            </w:r>
            <w:r w:rsidRPr="00E560D5">
              <w:rPr>
                <w:sz w:val="18"/>
                <w:szCs w:val="18"/>
                <w:highlight w:val="red"/>
              </w:rPr>
              <w:t>TfNSW</w:t>
            </w:r>
          </w:p>
        </w:tc>
      </w:tr>
      <w:tr w:rsidR="00B50EF7" w14:paraId="61D32B0F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F92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5A77" w14:textId="77777777" w:rsidR="00B50EF7" w:rsidRPr="00E560D5" w:rsidRDefault="00B50EF7" w:rsidP="006A54A0">
            <w:pPr>
              <w:rPr>
                <w:sz w:val="18"/>
                <w:szCs w:val="18"/>
                <w:highlight w:val="green"/>
              </w:rPr>
            </w:pPr>
            <w:r w:rsidRPr="00E560D5">
              <w:rPr>
                <w:sz w:val="18"/>
                <w:szCs w:val="18"/>
                <w:highlight w:val="green"/>
              </w:rPr>
              <w:t>Transport for NSW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CB0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Sydney Trains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4D2A" w14:textId="7B27B4D5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Sydney Trains/</w:t>
            </w:r>
            <w:r w:rsidR="00831EBE">
              <w:rPr>
                <w:sz w:val="18"/>
                <w:szCs w:val="18"/>
                <w:highlight w:val="red"/>
              </w:rPr>
              <w:t xml:space="preserve"> </w:t>
            </w:r>
            <w:r w:rsidRPr="00E560D5">
              <w:rPr>
                <w:sz w:val="18"/>
                <w:szCs w:val="18"/>
                <w:highlight w:val="red"/>
              </w:rPr>
              <w:t>TfnSW</w:t>
            </w:r>
          </w:p>
        </w:tc>
      </w:tr>
      <w:tr w:rsidR="00B50EF7" w14:paraId="0F92189E" w14:textId="77777777" w:rsidTr="00B50E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061" w14:textId="77777777" w:rsidR="00B50EF7" w:rsidRPr="00E560D5" w:rsidRDefault="00B50EF7" w:rsidP="006A54A0">
            <w:pPr>
              <w:rPr>
                <w:sz w:val="18"/>
                <w:szCs w:val="18"/>
              </w:rPr>
            </w:pPr>
            <w:r w:rsidRPr="00E560D5">
              <w:rPr>
                <w:sz w:val="18"/>
                <w:szCs w:val="1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296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Transport Asset Holding Entity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D51" w14:textId="77777777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 xml:space="preserve">Sydney Trains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AC4" w14:textId="3D5153ED" w:rsidR="00B50EF7" w:rsidRPr="00E560D5" w:rsidRDefault="00B50EF7" w:rsidP="006A54A0">
            <w:pPr>
              <w:rPr>
                <w:sz w:val="18"/>
                <w:szCs w:val="18"/>
                <w:highlight w:val="red"/>
              </w:rPr>
            </w:pPr>
            <w:r w:rsidRPr="00E560D5">
              <w:rPr>
                <w:sz w:val="18"/>
                <w:szCs w:val="18"/>
                <w:highlight w:val="red"/>
              </w:rPr>
              <w:t>Sydney Trains/</w:t>
            </w:r>
            <w:r w:rsidR="00831EBE">
              <w:rPr>
                <w:sz w:val="18"/>
                <w:szCs w:val="18"/>
                <w:highlight w:val="red"/>
              </w:rPr>
              <w:t xml:space="preserve"> </w:t>
            </w:r>
            <w:r w:rsidRPr="00E560D5">
              <w:rPr>
                <w:sz w:val="18"/>
                <w:szCs w:val="18"/>
                <w:highlight w:val="red"/>
              </w:rPr>
              <w:t>TfNSW</w:t>
            </w:r>
          </w:p>
        </w:tc>
      </w:tr>
    </w:tbl>
    <w:p w14:paraId="5E313718" w14:textId="393457D6" w:rsidR="00B50EF7" w:rsidRPr="00903D70" w:rsidRDefault="00B50EF7" w:rsidP="00B50EF7">
      <w:pPr>
        <w:spacing w:after="0"/>
        <w:rPr>
          <w:sz w:val="16"/>
          <w:szCs w:val="16"/>
        </w:rPr>
      </w:pPr>
      <w:r w:rsidRPr="00903D70">
        <w:rPr>
          <w:rFonts w:cstheme="minorHAnsi"/>
          <w:color w:val="424242"/>
          <w:sz w:val="16"/>
          <w:szCs w:val="16"/>
          <w:shd w:val="clear" w:color="auto" w:fill="FFFFFF"/>
        </w:rPr>
        <w:t xml:space="preserve">(a) Glenbrook Commission </w:t>
      </w:r>
      <w:r w:rsidR="00A115B9">
        <w:rPr>
          <w:rFonts w:cstheme="minorHAnsi"/>
          <w:color w:val="424242"/>
          <w:sz w:val="16"/>
          <w:szCs w:val="16"/>
          <w:shd w:val="clear" w:color="auto" w:fill="FFFFFF"/>
        </w:rPr>
        <w:t>(2</w:t>
      </w:r>
      <w:r w:rsidR="00A115B9" w:rsidRPr="00A115B9">
        <w:rPr>
          <w:rFonts w:cstheme="minorHAnsi"/>
          <w:color w:val="424242"/>
          <w:sz w:val="16"/>
          <w:szCs w:val="16"/>
          <w:shd w:val="clear" w:color="auto" w:fill="FFFFFF"/>
          <w:vertAlign w:val="superscript"/>
        </w:rPr>
        <w:t>nd</w:t>
      </w:r>
      <w:r w:rsidR="00A115B9">
        <w:rPr>
          <w:rFonts w:cstheme="minorHAnsi"/>
          <w:color w:val="424242"/>
          <w:sz w:val="16"/>
          <w:szCs w:val="16"/>
          <w:shd w:val="clear" w:color="auto" w:fill="FFFFFF"/>
        </w:rPr>
        <w:t xml:space="preserve"> interim report) </w:t>
      </w:r>
      <w:r w:rsidRPr="00903D70">
        <w:rPr>
          <w:rFonts w:cstheme="minorHAnsi"/>
          <w:color w:val="424242"/>
          <w:sz w:val="16"/>
          <w:szCs w:val="16"/>
          <w:shd w:val="clear" w:color="auto" w:fill="FFFFFF"/>
        </w:rPr>
        <w:t xml:space="preserve">recommendation </w:t>
      </w:r>
      <w:r w:rsidR="00706FAD" w:rsidRPr="00903D70"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  <w:t>‘</w:t>
      </w:r>
      <w:r w:rsidRPr="00903D70"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  <w:t>1</w:t>
      </w:r>
      <w:r w:rsidR="0065563A" w:rsidRPr="00903D70"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  <w:t>.</w:t>
      </w:r>
      <w:r w:rsidRPr="00903D70"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  <w:t xml:space="preserve"> </w:t>
      </w:r>
      <w:r w:rsidRPr="00903D70">
        <w:rPr>
          <w:i/>
          <w:iCs/>
          <w:sz w:val="16"/>
          <w:szCs w:val="16"/>
        </w:rPr>
        <w:t>That the infrastructure owner RAC and the infrastructure maintainer RSA</w:t>
      </w:r>
      <w:r w:rsidRPr="00903D70">
        <w:rPr>
          <w:b/>
          <w:bCs/>
          <w:i/>
          <w:iCs/>
          <w:sz w:val="16"/>
          <w:szCs w:val="16"/>
        </w:rPr>
        <w:t xml:space="preserve"> </w:t>
      </w:r>
      <w:r w:rsidRPr="00903D70">
        <w:rPr>
          <w:i/>
          <w:iCs/>
          <w:sz w:val="16"/>
          <w:szCs w:val="16"/>
        </w:rPr>
        <w:t>cease to be State owned corporations and that their property and functions be merged into a single statutory authority, to be known as the Rail Infrastructure Authority, responsible to the Minister for Transport.</w:t>
      </w:r>
      <w:r w:rsidR="00706FAD" w:rsidRPr="00903D70">
        <w:rPr>
          <w:i/>
          <w:iCs/>
          <w:sz w:val="16"/>
          <w:szCs w:val="16"/>
        </w:rPr>
        <w:t>’</w:t>
      </w:r>
      <w:r w:rsidRPr="00903D70">
        <w:rPr>
          <w:sz w:val="16"/>
          <w:szCs w:val="16"/>
        </w:rPr>
        <w:t xml:space="preserve"> </w:t>
      </w:r>
    </w:p>
    <w:p w14:paraId="211B725B" w14:textId="4EC4E0DF" w:rsidR="00B50EF7" w:rsidRPr="00903D70" w:rsidRDefault="00B50EF7" w:rsidP="00B50EF7">
      <w:pPr>
        <w:spacing w:after="0"/>
        <w:rPr>
          <w:rFonts w:cstheme="minorHAnsi"/>
          <w:color w:val="424242"/>
          <w:sz w:val="16"/>
          <w:szCs w:val="16"/>
          <w:shd w:val="clear" w:color="auto" w:fill="FFFFFF"/>
        </w:rPr>
      </w:pPr>
      <w:r w:rsidRPr="00903D70">
        <w:rPr>
          <w:sz w:val="16"/>
          <w:szCs w:val="16"/>
        </w:rPr>
        <w:t xml:space="preserve">(b) Glenbrook Commission </w:t>
      </w:r>
      <w:r w:rsidR="00A115B9">
        <w:rPr>
          <w:sz w:val="16"/>
          <w:szCs w:val="16"/>
        </w:rPr>
        <w:t>(2</w:t>
      </w:r>
      <w:r w:rsidR="00A115B9" w:rsidRPr="00A115B9">
        <w:rPr>
          <w:sz w:val="16"/>
          <w:szCs w:val="16"/>
          <w:vertAlign w:val="superscript"/>
        </w:rPr>
        <w:t>nd</w:t>
      </w:r>
      <w:r w:rsidR="00A115B9">
        <w:rPr>
          <w:sz w:val="16"/>
          <w:szCs w:val="16"/>
        </w:rPr>
        <w:t xml:space="preserve"> interim report) </w:t>
      </w:r>
      <w:r w:rsidRPr="00903D70">
        <w:rPr>
          <w:sz w:val="16"/>
          <w:szCs w:val="16"/>
        </w:rPr>
        <w:t xml:space="preserve">recommendation </w:t>
      </w:r>
      <w:r w:rsidR="00706FAD" w:rsidRPr="00903D70">
        <w:rPr>
          <w:sz w:val="16"/>
          <w:szCs w:val="16"/>
        </w:rPr>
        <w:t>‘</w:t>
      </w:r>
      <w:r w:rsidR="00706FAD" w:rsidRPr="00903D70">
        <w:rPr>
          <w:i/>
          <w:iCs/>
          <w:sz w:val="16"/>
          <w:szCs w:val="16"/>
        </w:rPr>
        <w:t>3</w:t>
      </w:r>
      <w:r w:rsidR="0065563A" w:rsidRPr="00903D70">
        <w:rPr>
          <w:i/>
          <w:iCs/>
          <w:sz w:val="16"/>
          <w:szCs w:val="16"/>
        </w:rPr>
        <w:t>.</w:t>
      </w:r>
      <w:r w:rsidRPr="00903D70">
        <w:rPr>
          <w:i/>
          <w:iCs/>
          <w:sz w:val="16"/>
          <w:szCs w:val="16"/>
        </w:rPr>
        <w:t xml:space="preserve"> That SRA be responsible for the control and management of timetabling and train movements and other functions of network control within the area of operation of the present CityRail network.</w:t>
      </w:r>
      <w:r w:rsidR="00706FAD" w:rsidRPr="00903D70">
        <w:rPr>
          <w:i/>
          <w:iCs/>
          <w:sz w:val="16"/>
          <w:szCs w:val="16"/>
        </w:rPr>
        <w:t>’</w:t>
      </w:r>
    </w:p>
    <w:p w14:paraId="2E8B9E28" w14:textId="77777777" w:rsidR="00B50EF7" w:rsidRPr="00903D70" w:rsidRDefault="00B50EF7" w:rsidP="00B50EF7">
      <w:pPr>
        <w:spacing w:after="0"/>
        <w:rPr>
          <w:sz w:val="16"/>
          <w:szCs w:val="16"/>
          <w:lang w:val="en-GB"/>
        </w:rPr>
      </w:pPr>
      <w:r w:rsidRPr="00903D70">
        <w:rPr>
          <w:rFonts w:cstheme="minorHAnsi"/>
          <w:color w:val="424242"/>
          <w:sz w:val="16"/>
          <w:szCs w:val="16"/>
          <w:shd w:val="clear" w:color="auto" w:fill="FFFFFF"/>
        </w:rPr>
        <w:t>(c) S</w:t>
      </w:r>
      <w:r w:rsidRPr="00903D70">
        <w:rPr>
          <w:sz w:val="16"/>
          <w:szCs w:val="16"/>
          <w:lang w:val="en-GB"/>
        </w:rPr>
        <w:t>tatutory authority 1 July 1996 to 1 July 1998; State owned corporation from 1 July 1998</w:t>
      </w:r>
    </w:p>
    <w:p w14:paraId="3A63210F" w14:textId="77777777" w:rsidR="00B50EF7" w:rsidRPr="00903D70" w:rsidRDefault="00B50EF7" w:rsidP="00B50EF7">
      <w:pPr>
        <w:spacing w:after="0"/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</w:pPr>
      <w:r w:rsidRPr="00903D70">
        <w:rPr>
          <w:rFonts w:cstheme="minorHAnsi"/>
          <w:i/>
          <w:iCs/>
          <w:color w:val="424242"/>
          <w:sz w:val="16"/>
          <w:szCs w:val="16"/>
          <w:shd w:val="clear" w:color="auto" w:fill="FFFFFF"/>
        </w:rPr>
        <w:t>Source: Forthcoming</w:t>
      </w:r>
    </w:p>
    <w:p w14:paraId="66F8E0CA" w14:textId="77777777" w:rsidR="00B50EF7" w:rsidRPr="00903D70" w:rsidRDefault="00B50EF7" w:rsidP="007D3A16">
      <w:pPr>
        <w:spacing w:after="0"/>
        <w:rPr>
          <w:rFonts w:cstheme="minorHAnsi"/>
          <w:color w:val="424242"/>
          <w:sz w:val="16"/>
          <w:szCs w:val="16"/>
          <w:shd w:val="clear" w:color="auto" w:fill="FFFFFF"/>
        </w:rPr>
      </w:pPr>
    </w:p>
    <w:p w14:paraId="3021F36A" w14:textId="4FAFDB85" w:rsidR="00032A09" w:rsidRDefault="002619F9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T</w:t>
      </w:r>
      <w:r w:rsidR="00032A09">
        <w:rPr>
          <w:rFonts w:cstheme="minorHAnsi"/>
          <w:color w:val="424242"/>
          <w:shd w:val="clear" w:color="auto" w:fill="FFFFFF"/>
        </w:rPr>
        <w:t xml:space="preserve">he </w:t>
      </w:r>
      <w:r w:rsidR="0065563A">
        <w:rPr>
          <w:rFonts w:cstheme="minorHAnsi"/>
          <w:color w:val="424242"/>
          <w:shd w:val="clear" w:color="auto" w:fill="FFFFFF"/>
        </w:rPr>
        <w:t xml:space="preserve">Commissions’ </w:t>
      </w:r>
      <w:r w:rsidR="00A23260">
        <w:rPr>
          <w:rFonts w:cstheme="minorHAnsi"/>
          <w:color w:val="424242"/>
          <w:shd w:val="clear" w:color="auto" w:fill="FFFFFF"/>
        </w:rPr>
        <w:t xml:space="preserve">sector structure </w:t>
      </w:r>
      <w:r w:rsidR="00032A09">
        <w:rPr>
          <w:rFonts w:cstheme="minorHAnsi"/>
          <w:color w:val="424242"/>
          <w:shd w:val="clear" w:color="auto" w:fill="FFFFFF"/>
        </w:rPr>
        <w:t>recommendations</w:t>
      </w:r>
      <w:r w:rsidR="00032A09">
        <w:rPr>
          <w:rFonts w:cstheme="minorHAnsi"/>
          <w:color w:val="424242"/>
          <w:shd w:val="clear" w:color="auto" w:fill="FFFFFF"/>
        </w:rPr>
        <w:t>:</w:t>
      </w:r>
    </w:p>
    <w:p w14:paraId="02F43C03" w14:textId="5EF013B1" w:rsidR="00032A09" w:rsidRPr="00032A09" w:rsidRDefault="00032A09" w:rsidP="00462A4F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color w:val="424242"/>
          <w:shd w:val="clear" w:color="auto" w:fill="FFFFFF"/>
        </w:rPr>
      </w:pPr>
      <w:r w:rsidRPr="00032A09">
        <w:rPr>
          <w:rFonts w:cstheme="minorHAnsi"/>
          <w:color w:val="424242"/>
          <w:shd w:val="clear" w:color="auto" w:fill="FFFFFF"/>
        </w:rPr>
        <w:t xml:space="preserve">were not fully adopted by NSW until 2009 - when RailCorp </w:t>
      </w:r>
      <w:r>
        <w:rPr>
          <w:rFonts w:cstheme="minorHAnsi"/>
          <w:color w:val="424242"/>
          <w:shd w:val="clear" w:color="auto" w:fill="FFFFFF"/>
        </w:rPr>
        <w:t>became a statutory authority</w:t>
      </w:r>
      <w:r w:rsidRPr="00032A09">
        <w:rPr>
          <w:rFonts w:cstheme="minorHAnsi"/>
          <w:color w:val="424242"/>
          <w:shd w:val="clear" w:color="auto" w:fill="FFFFFF"/>
        </w:rPr>
        <w:t>;</w:t>
      </w:r>
    </w:p>
    <w:p w14:paraId="36484988" w14:textId="1FBA7789" w:rsidR="00032A09" w:rsidRPr="00032A09" w:rsidRDefault="00032A09" w:rsidP="00462A4F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color w:val="424242"/>
          <w:shd w:val="clear" w:color="auto" w:fill="FFFFFF"/>
        </w:rPr>
      </w:pPr>
      <w:r w:rsidRPr="00032A09">
        <w:rPr>
          <w:rFonts w:cstheme="minorHAnsi"/>
          <w:color w:val="424242"/>
          <w:shd w:val="clear" w:color="auto" w:fill="FFFFFF"/>
        </w:rPr>
        <w:t xml:space="preserve">have been progressively </w:t>
      </w:r>
      <w:r w:rsidR="00F42E78">
        <w:rPr>
          <w:rFonts w:cstheme="minorHAnsi"/>
          <w:color w:val="424242"/>
          <w:shd w:val="clear" w:color="auto" w:fill="FFFFFF"/>
        </w:rPr>
        <w:t>discarded</w:t>
      </w:r>
      <w:r w:rsidRPr="00032A09">
        <w:rPr>
          <w:rFonts w:cstheme="minorHAnsi"/>
          <w:color w:val="424242"/>
          <w:shd w:val="clear" w:color="auto" w:fill="FFFFFF"/>
        </w:rPr>
        <w:t xml:space="preserve"> s</w:t>
      </w:r>
      <w:r w:rsidRPr="00032A09">
        <w:rPr>
          <w:rFonts w:cstheme="minorHAnsi"/>
          <w:color w:val="424242"/>
          <w:shd w:val="clear" w:color="auto" w:fill="FFFFFF"/>
        </w:rPr>
        <w:t>ince 2013</w:t>
      </w:r>
      <w:r w:rsidR="002619F9">
        <w:rPr>
          <w:rFonts w:cstheme="minorHAnsi"/>
          <w:color w:val="424242"/>
          <w:shd w:val="clear" w:color="auto" w:fill="FFFFFF"/>
        </w:rPr>
        <w:t xml:space="preserve"> and are now </w:t>
      </w:r>
      <w:r w:rsidR="00F42E78">
        <w:rPr>
          <w:rFonts w:cstheme="minorHAnsi"/>
          <w:color w:val="424242"/>
          <w:shd w:val="clear" w:color="auto" w:fill="FFFFFF"/>
        </w:rPr>
        <w:t>abandoned</w:t>
      </w:r>
      <w:r w:rsidRPr="00032A09">
        <w:rPr>
          <w:rFonts w:cstheme="minorHAnsi"/>
          <w:color w:val="424242"/>
          <w:shd w:val="clear" w:color="auto" w:fill="FFFFFF"/>
        </w:rPr>
        <w:t>.</w:t>
      </w:r>
    </w:p>
    <w:p w14:paraId="19033C2A" w14:textId="77777777" w:rsidR="00032A09" w:rsidRDefault="00032A09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44E6C2CE" w14:textId="42B49F3B" w:rsidR="00935C53" w:rsidRDefault="000612DE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P</w:t>
      </w:r>
      <w:r w:rsidR="00B50EF7">
        <w:rPr>
          <w:rFonts w:cstheme="minorHAnsi"/>
          <w:color w:val="424242"/>
          <w:shd w:val="clear" w:color="auto" w:fill="FFFFFF"/>
        </w:rPr>
        <w:t>arties</w:t>
      </w:r>
      <w:r w:rsidR="00AD6397">
        <w:rPr>
          <w:rFonts w:cstheme="minorHAnsi"/>
          <w:color w:val="424242"/>
          <w:shd w:val="clear" w:color="auto" w:fill="FFFFFF"/>
        </w:rPr>
        <w:t xml:space="preserve"> </w:t>
      </w:r>
      <w:r w:rsidR="002667A4">
        <w:rPr>
          <w:rFonts w:cstheme="minorHAnsi"/>
          <w:color w:val="424242"/>
          <w:shd w:val="clear" w:color="auto" w:fill="FFFFFF"/>
        </w:rPr>
        <w:t>making</w:t>
      </w:r>
      <w:r w:rsidR="00AD6397">
        <w:rPr>
          <w:rFonts w:cstheme="minorHAnsi"/>
          <w:color w:val="424242"/>
          <w:shd w:val="clear" w:color="auto" w:fill="FFFFFF"/>
        </w:rPr>
        <w:t xml:space="preserve"> </w:t>
      </w:r>
      <w:r w:rsidR="007E5E49">
        <w:rPr>
          <w:rFonts w:cstheme="minorHAnsi"/>
          <w:color w:val="424242"/>
          <w:shd w:val="clear" w:color="auto" w:fill="FFFFFF"/>
        </w:rPr>
        <w:t xml:space="preserve">wrong </w:t>
      </w:r>
      <w:r w:rsidR="00AD6397">
        <w:rPr>
          <w:rFonts w:cstheme="minorHAnsi"/>
          <w:color w:val="424242"/>
          <w:shd w:val="clear" w:color="auto" w:fill="FFFFFF"/>
        </w:rPr>
        <w:t xml:space="preserve">assertions </w:t>
      </w:r>
      <w:r w:rsidR="002D697B">
        <w:rPr>
          <w:rFonts w:cstheme="minorHAnsi"/>
          <w:color w:val="424242"/>
          <w:shd w:val="clear" w:color="auto" w:fill="FFFFFF"/>
        </w:rPr>
        <w:t xml:space="preserve">like those </w:t>
      </w:r>
      <w:r w:rsidR="006D0DCC">
        <w:rPr>
          <w:rFonts w:cstheme="minorHAnsi"/>
          <w:color w:val="424242"/>
          <w:shd w:val="clear" w:color="auto" w:fill="FFFFFF"/>
        </w:rPr>
        <w:t>m</w:t>
      </w:r>
      <w:r w:rsidR="00297481">
        <w:rPr>
          <w:rFonts w:cstheme="minorHAnsi"/>
          <w:color w:val="424242"/>
          <w:shd w:val="clear" w:color="auto" w:fill="FFFFFF"/>
        </w:rPr>
        <w:t>entioned above</w:t>
      </w:r>
      <w:r w:rsidR="00AD6397">
        <w:rPr>
          <w:rFonts w:cstheme="minorHAnsi"/>
          <w:color w:val="424242"/>
          <w:shd w:val="clear" w:color="auto" w:fill="FFFFFF"/>
        </w:rPr>
        <w:t xml:space="preserve"> may not realise the present </w:t>
      </w:r>
      <w:r>
        <w:rPr>
          <w:rFonts w:cstheme="minorHAnsi"/>
          <w:color w:val="424242"/>
          <w:shd w:val="clear" w:color="auto" w:fill="FFFFFF"/>
        </w:rPr>
        <w:t xml:space="preserve">sector </w:t>
      </w:r>
      <w:r w:rsidR="00AD6397">
        <w:rPr>
          <w:rFonts w:cstheme="minorHAnsi"/>
          <w:color w:val="424242"/>
          <w:shd w:val="clear" w:color="auto" w:fill="FFFFFF"/>
        </w:rPr>
        <w:t>structure</w:t>
      </w:r>
      <w:r>
        <w:rPr>
          <w:rFonts w:cstheme="minorHAnsi"/>
          <w:color w:val="424242"/>
          <w:shd w:val="clear" w:color="auto" w:fill="FFFFFF"/>
        </w:rPr>
        <w:t>,</w:t>
      </w:r>
      <w:r w:rsidR="00AD6397">
        <w:rPr>
          <w:rFonts w:cstheme="minorHAnsi"/>
          <w:color w:val="424242"/>
          <w:shd w:val="clear" w:color="auto" w:fill="FFFFFF"/>
        </w:rPr>
        <w:t xml:space="preserve"> </w:t>
      </w:r>
      <w:r w:rsidR="002D697B">
        <w:rPr>
          <w:rFonts w:cstheme="minorHAnsi"/>
          <w:color w:val="424242"/>
          <w:shd w:val="clear" w:color="auto" w:fill="FFFFFF"/>
        </w:rPr>
        <w:t>and Transport Asset Holding Entity</w:t>
      </w:r>
      <w:r>
        <w:rPr>
          <w:rFonts w:cstheme="minorHAnsi"/>
          <w:color w:val="424242"/>
          <w:shd w:val="clear" w:color="auto" w:fill="FFFFFF"/>
        </w:rPr>
        <w:t>,</w:t>
      </w:r>
      <w:r w:rsidR="002D697B">
        <w:rPr>
          <w:rFonts w:cstheme="minorHAnsi"/>
          <w:color w:val="424242"/>
          <w:shd w:val="clear" w:color="auto" w:fill="FFFFFF"/>
        </w:rPr>
        <w:t xml:space="preserve"> </w:t>
      </w:r>
      <w:r w:rsidR="002619F9">
        <w:rPr>
          <w:rFonts w:cstheme="minorHAnsi"/>
          <w:color w:val="424242"/>
          <w:shd w:val="clear" w:color="auto" w:fill="FFFFFF"/>
        </w:rPr>
        <w:t>conflict</w:t>
      </w:r>
      <w:r w:rsidR="002D697B">
        <w:rPr>
          <w:rFonts w:cstheme="minorHAnsi"/>
          <w:color w:val="424242"/>
          <w:shd w:val="clear" w:color="auto" w:fill="FFFFFF"/>
        </w:rPr>
        <w:t xml:space="preserve"> with the Commissions’ recommendations.</w:t>
      </w:r>
      <w:r w:rsidR="00297481">
        <w:rPr>
          <w:rFonts w:cstheme="minorHAnsi"/>
          <w:color w:val="424242"/>
          <w:shd w:val="clear" w:color="auto" w:fill="FFFFFF"/>
        </w:rPr>
        <w:t xml:space="preserve">  </w:t>
      </w:r>
      <w:r w:rsidR="00935C53">
        <w:rPr>
          <w:rFonts w:cstheme="minorHAnsi"/>
          <w:color w:val="424242"/>
          <w:shd w:val="clear" w:color="auto" w:fill="FFFFFF"/>
        </w:rPr>
        <w:t xml:space="preserve">Hence, </w:t>
      </w:r>
      <w:r w:rsidR="00CA2839">
        <w:rPr>
          <w:rFonts w:cstheme="minorHAnsi"/>
          <w:color w:val="424242"/>
          <w:shd w:val="clear" w:color="auto" w:fill="FFFFFF"/>
        </w:rPr>
        <w:t xml:space="preserve">among other things, </w:t>
      </w:r>
      <w:r w:rsidR="00706FAD">
        <w:rPr>
          <w:rFonts w:cstheme="minorHAnsi"/>
          <w:color w:val="424242"/>
          <w:shd w:val="clear" w:color="auto" w:fill="FFFFFF"/>
        </w:rPr>
        <w:t>the</w:t>
      </w:r>
      <w:r w:rsidR="00903D70">
        <w:rPr>
          <w:rFonts w:cstheme="minorHAnsi"/>
          <w:color w:val="424242"/>
          <w:shd w:val="clear" w:color="auto" w:fill="FFFFFF"/>
        </w:rPr>
        <w:t>ir</w:t>
      </w:r>
      <w:r w:rsidR="001E7F0A">
        <w:rPr>
          <w:rFonts w:cstheme="minorHAnsi"/>
          <w:color w:val="424242"/>
          <w:shd w:val="clear" w:color="auto" w:fill="FFFFFF"/>
        </w:rPr>
        <w:t xml:space="preserve"> narrative </w:t>
      </w:r>
      <w:r w:rsidR="00903D70">
        <w:rPr>
          <w:rFonts w:cstheme="minorHAnsi"/>
          <w:color w:val="424242"/>
          <w:shd w:val="clear" w:color="auto" w:fill="FFFFFF"/>
        </w:rPr>
        <w:t>(</w:t>
      </w:r>
      <w:r w:rsidR="007E778F">
        <w:rPr>
          <w:rFonts w:cstheme="minorHAnsi"/>
          <w:color w:val="424242"/>
          <w:shd w:val="clear" w:color="auto" w:fill="FFFFFF"/>
        </w:rPr>
        <w:t>so far</w:t>
      </w:r>
      <w:r w:rsidR="00903D70">
        <w:rPr>
          <w:rFonts w:cstheme="minorHAnsi"/>
          <w:color w:val="424242"/>
          <w:shd w:val="clear" w:color="auto" w:fill="FFFFFF"/>
        </w:rPr>
        <w:t>)</w:t>
      </w:r>
      <w:r w:rsidR="007E778F">
        <w:rPr>
          <w:rFonts w:cstheme="minorHAnsi"/>
          <w:color w:val="424242"/>
          <w:shd w:val="clear" w:color="auto" w:fill="FFFFFF"/>
        </w:rPr>
        <w:t xml:space="preserve"> </w:t>
      </w:r>
      <w:r w:rsidR="001E7F0A">
        <w:rPr>
          <w:rFonts w:cstheme="minorHAnsi"/>
          <w:color w:val="424242"/>
          <w:shd w:val="clear" w:color="auto" w:fill="FFFFFF"/>
        </w:rPr>
        <w:t>about</w:t>
      </w:r>
      <w:r w:rsidR="00935C53">
        <w:rPr>
          <w:rFonts w:cstheme="minorHAnsi"/>
          <w:color w:val="424242"/>
          <w:shd w:val="clear" w:color="auto" w:fill="FFFFFF"/>
        </w:rPr>
        <w:t xml:space="preserve"> how the Entity etc. arrangements conform with the recommendations </w:t>
      </w:r>
      <w:r w:rsidR="00CA2839">
        <w:rPr>
          <w:rFonts w:cstheme="minorHAnsi"/>
          <w:color w:val="424242"/>
          <w:shd w:val="clear" w:color="auto" w:fill="FFFFFF"/>
        </w:rPr>
        <w:t xml:space="preserve">- </w:t>
      </w:r>
      <w:r w:rsidR="00935C53">
        <w:rPr>
          <w:rFonts w:cstheme="minorHAnsi"/>
          <w:color w:val="424242"/>
          <w:shd w:val="clear" w:color="auto" w:fill="FFFFFF"/>
        </w:rPr>
        <w:t xml:space="preserve">by </w:t>
      </w:r>
      <w:r w:rsidR="00831EBE">
        <w:rPr>
          <w:rFonts w:cstheme="minorHAnsi"/>
          <w:color w:val="424242"/>
          <w:shd w:val="clear" w:color="auto" w:fill="FFFFFF"/>
        </w:rPr>
        <w:t>e.g.,</w:t>
      </w:r>
      <w:r w:rsidR="00935C53">
        <w:rPr>
          <w:rFonts w:cstheme="minorHAnsi"/>
          <w:color w:val="424242"/>
          <w:shd w:val="clear" w:color="auto" w:fill="FFFFFF"/>
        </w:rPr>
        <w:t xml:space="preserve"> claims about Sydney Trains’ responsibility </w:t>
      </w:r>
      <w:r w:rsidR="00CA2839">
        <w:rPr>
          <w:rFonts w:cstheme="minorHAnsi"/>
          <w:color w:val="424242"/>
          <w:shd w:val="clear" w:color="auto" w:fill="FFFFFF"/>
        </w:rPr>
        <w:t xml:space="preserve">- </w:t>
      </w:r>
      <w:r w:rsidR="001E7F0A">
        <w:rPr>
          <w:rFonts w:cstheme="minorHAnsi"/>
          <w:color w:val="424242"/>
          <w:shd w:val="clear" w:color="auto" w:fill="FFFFFF"/>
        </w:rPr>
        <w:t>is</w:t>
      </w:r>
      <w:r w:rsidR="00935C53">
        <w:rPr>
          <w:rFonts w:cstheme="minorHAnsi"/>
          <w:color w:val="424242"/>
          <w:shd w:val="clear" w:color="auto" w:fill="FFFFFF"/>
        </w:rPr>
        <w:t xml:space="preserve"> unsatisfactory.</w:t>
      </w:r>
    </w:p>
    <w:p w14:paraId="4685FB0F" w14:textId="1CFD4AFD" w:rsidR="001E7F0A" w:rsidRDefault="001E7F0A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3C328BE6" w14:textId="5803E917" w:rsidR="001E7F0A" w:rsidRDefault="001E7F0A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There are similar issues relating to infrastructure access</w:t>
      </w:r>
      <w:r w:rsidR="002619F9">
        <w:rPr>
          <w:rFonts w:cstheme="minorHAnsi"/>
          <w:color w:val="424242"/>
          <w:shd w:val="clear" w:color="auto" w:fill="FFFFFF"/>
        </w:rPr>
        <w:t xml:space="preserve"> - </w:t>
      </w:r>
      <w:r>
        <w:rPr>
          <w:rFonts w:cstheme="minorHAnsi"/>
          <w:color w:val="424242"/>
          <w:shd w:val="clear" w:color="auto" w:fill="FFFFFF"/>
        </w:rPr>
        <w:t xml:space="preserve">‘agreements’, </w:t>
      </w:r>
      <w:r w:rsidR="002619F9">
        <w:rPr>
          <w:rFonts w:cstheme="minorHAnsi"/>
          <w:color w:val="424242"/>
          <w:shd w:val="clear" w:color="auto" w:fill="FFFFFF"/>
        </w:rPr>
        <w:t>charges, regulation</w:t>
      </w:r>
      <w:r w:rsidR="00E560D5">
        <w:rPr>
          <w:rFonts w:cstheme="minorHAnsi"/>
          <w:color w:val="424242"/>
          <w:shd w:val="clear" w:color="auto" w:fill="FFFFFF"/>
        </w:rPr>
        <w:t xml:space="preserve"> </w:t>
      </w:r>
      <w:r w:rsidR="002619F9">
        <w:rPr>
          <w:rFonts w:cstheme="minorHAnsi"/>
          <w:color w:val="424242"/>
          <w:shd w:val="clear" w:color="auto" w:fill="FFFFFF"/>
        </w:rPr>
        <w:t>etc.</w:t>
      </w:r>
    </w:p>
    <w:p w14:paraId="6362A379" w14:textId="5A264574" w:rsidR="002D697B" w:rsidRDefault="002D697B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09434D95" w14:textId="0E3F52F0" w:rsidR="002D697B" w:rsidRDefault="002D697B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Yours sincerely</w:t>
      </w:r>
    </w:p>
    <w:p w14:paraId="2E5D7E8E" w14:textId="7ACD15BF" w:rsidR="002D697B" w:rsidRDefault="002D697B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28C82E02" w14:textId="77777777" w:rsidR="00E560D5" w:rsidRDefault="00E560D5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59C00031" w14:textId="01EC91F2" w:rsidR="002D697B" w:rsidRDefault="002D697B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J Austen</w:t>
      </w:r>
    </w:p>
    <w:p w14:paraId="6BA7AA15" w14:textId="106CA4BD" w:rsidR="002D697B" w:rsidRDefault="002D697B" w:rsidP="007D3A16">
      <w:pPr>
        <w:spacing w:after="0"/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t>1</w:t>
      </w:r>
      <w:r w:rsidR="00A115B9">
        <w:rPr>
          <w:rFonts w:cstheme="minorHAnsi"/>
          <w:color w:val="424242"/>
          <w:shd w:val="clear" w:color="auto" w:fill="FFFFFF"/>
        </w:rPr>
        <w:t>9</w:t>
      </w:r>
      <w:r>
        <w:rPr>
          <w:rFonts w:cstheme="minorHAnsi"/>
          <w:color w:val="424242"/>
          <w:shd w:val="clear" w:color="auto" w:fill="FFFFFF"/>
        </w:rPr>
        <w:t xml:space="preserve"> December 2021</w:t>
      </w:r>
    </w:p>
    <w:p w14:paraId="1C92875E" w14:textId="0F741614" w:rsidR="00794E94" w:rsidRDefault="00794E94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737FC51E" w14:textId="77777777" w:rsidR="00794E94" w:rsidRDefault="00794E94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43F6C997" w14:textId="77777777" w:rsidR="00794E94" w:rsidRDefault="00794E94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301331CA" w14:textId="6B69D67E" w:rsidR="00794E94" w:rsidRDefault="00794E94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56567DE2" w14:textId="77777777" w:rsidR="00794E94" w:rsidRDefault="00794E94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17F81FD3" w14:textId="24E99A26" w:rsidR="00397980" w:rsidRDefault="00397980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30CB7BFF" w14:textId="77777777" w:rsidR="00397980" w:rsidRDefault="00397980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209F7FCC" w14:textId="21F66B23" w:rsidR="008A2140" w:rsidRDefault="008A2140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0578CFC5" w14:textId="77777777" w:rsidR="008A2140" w:rsidRDefault="008A2140" w:rsidP="007D3A16">
      <w:pPr>
        <w:spacing w:after="0"/>
        <w:rPr>
          <w:rFonts w:cstheme="minorHAnsi"/>
          <w:color w:val="424242"/>
          <w:shd w:val="clear" w:color="auto" w:fill="FFFFFF"/>
        </w:rPr>
      </w:pPr>
    </w:p>
    <w:p w14:paraId="481B3097" w14:textId="2D771D6D" w:rsidR="008A2140" w:rsidRDefault="008A2140">
      <w:pPr>
        <w:rPr>
          <w:rFonts w:cstheme="minorHAnsi"/>
          <w:color w:val="424242"/>
          <w:shd w:val="clear" w:color="auto" w:fill="FFFFFF"/>
        </w:rPr>
      </w:pPr>
      <w:r>
        <w:rPr>
          <w:rFonts w:cstheme="minorHAnsi"/>
          <w:color w:val="424242"/>
          <w:shd w:val="clear" w:color="auto" w:fill="FFFFFF"/>
        </w:rPr>
        <w:br w:type="page"/>
      </w:r>
    </w:p>
    <w:sectPr w:rsidR="008A2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33B3" w14:textId="77777777" w:rsidR="00AB5258" w:rsidRDefault="00AB5258" w:rsidP="003945B0">
      <w:pPr>
        <w:spacing w:after="0" w:line="240" w:lineRule="auto"/>
      </w:pPr>
      <w:r>
        <w:separator/>
      </w:r>
    </w:p>
  </w:endnote>
  <w:endnote w:type="continuationSeparator" w:id="0">
    <w:p w14:paraId="2C384959" w14:textId="77777777" w:rsidR="00AB5258" w:rsidRDefault="00AB5258" w:rsidP="0039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2BD2" w14:textId="77777777" w:rsidR="00AB5258" w:rsidRDefault="00AB5258" w:rsidP="003945B0">
      <w:pPr>
        <w:spacing w:after="0" w:line="240" w:lineRule="auto"/>
      </w:pPr>
      <w:r>
        <w:separator/>
      </w:r>
    </w:p>
  </w:footnote>
  <w:footnote w:type="continuationSeparator" w:id="0">
    <w:p w14:paraId="77E7BE7F" w14:textId="77777777" w:rsidR="00AB5258" w:rsidRDefault="00AB5258" w:rsidP="003945B0">
      <w:pPr>
        <w:spacing w:after="0" w:line="240" w:lineRule="auto"/>
      </w:pPr>
      <w:r>
        <w:continuationSeparator/>
      </w:r>
    </w:p>
  </w:footnote>
  <w:footnote w:id="1">
    <w:p w14:paraId="27CB918B" w14:textId="7686E828" w:rsidR="003945B0" w:rsidRDefault="003945B0">
      <w:pPr>
        <w:pStyle w:val="FootnoteText"/>
        <w:rPr>
          <w:sz w:val="16"/>
          <w:szCs w:val="16"/>
        </w:rPr>
      </w:pPr>
      <w:r w:rsidRPr="000070B7">
        <w:rPr>
          <w:rStyle w:val="FootnoteReference"/>
          <w:sz w:val="16"/>
          <w:szCs w:val="16"/>
        </w:rPr>
        <w:footnoteRef/>
      </w:r>
      <w:r w:rsidRPr="000070B7">
        <w:rPr>
          <w:sz w:val="16"/>
          <w:szCs w:val="16"/>
        </w:rPr>
        <w:t xml:space="preserve"> </w:t>
      </w:r>
      <w:hyperlink r:id="rId1" w:history="1">
        <w:r w:rsidRPr="000070B7">
          <w:rPr>
            <w:rStyle w:val="Hyperlink"/>
            <w:sz w:val="16"/>
            <w:szCs w:val="16"/>
          </w:rPr>
          <w:t>https://www.parliament.nsw.gov.au/lcdocs/submissions/76366/0002%20John%20Austen.pdf</w:t>
        </w:r>
      </w:hyperlink>
    </w:p>
    <w:p w14:paraId="30852BC3" w14:textId="77777777" w:rsidR="00462A4F" w:rsidRPr="000070B7" w:rsidRDefault="00462A4F">
      <w:pPr>
        <w:pStyle w:val="FootnoteText"/>
        <w:rPr>
          <w:sz w:val="16"/>
          <w:szCs w:val="16"/>
        </w:rPr>
      </w:pPr>
    </w:p>
  </w:footnote>
  <w:footnote w:id="2">
    <w:p w14:paraId="385C0F20" w14:textId="242F2FA6" w:rsidR="003945B0" w:rsidRPr="000070B7" w:rsidRDefault="003945B0">
      <w:pPr>
        <w:pStyle w:val="FootnoteText"/>
        <w:rPr>
          <w:sz w:val="16"/>
          <w:szCs w:val="16"/>
        </w:rPr>
      </w:pPr>
      <w:r w:rsidRPr="000070B7">
        <w:rPr>
          <w:rStyle w:val="FootnoteReference"/>
          <w:sz w:val="16"/>
          <w:szCs w:val="16"/>
        </w:rPr>
        <w:footnoteRef/>
      </w:r>
      <w:r w:rsidRPr="000070B7">
        <w:rPr>
          <w:sz w:val="16"/>
          <w:szCs w:val="16"/>
        </w:rPr>
        <w:t xml:space="preserve"> </w:t>
      </w:r>
      <w:hyperlink r:id="rId2" w:history="1">
        <w:r w:rsidRPr="000070B7">
          <w:rPr>
            <w:rStyle w:val="Hyperlink"/>
            <w:sz w:val="16"/>
            <w:szCs w:val="16"/>
          </w:rPr>
          <w:t>https://johnmenadue.com/policy-wreck-were-being-told-two-contradictory-stories-about-nsw-trains/</w:t>
        </w:r>
      </w:hyperlink>
      <w:r w:rsidRPr="000070B7">
        <w:rPr>
          <w:sz w:val="16"/>
          <w:szCs w:val="16"/>
        </w:rPr>
        <w:t>;</w:t>
      </w:r>
    </w:p>
    <w:p w14:paraId="3183409F" w14:textId="7FEC9A99" w:rsidR="007E4877" w:rsidRDefault="007E4877">
      <w:pPr>
        <w:pStyle w:val="FootnoteText"/>
        <w:rPr>
          <w:sz w:val="16"/>
          <w:szCs w:val="16"/>
        </w:rPr>
      </w:pPr>
      <w:hyperlink r:id="rId3" w:history="1">
        <w:r w:rsidRPr="000070B7">
          <w:rPr>
            <w:rStyle w:val="Hyperlink"/>
            <w:sz w:val="16"/>
            <w:szCs w:val="16"/>
          </w:rPr>
          <w:t>https://www.thejadebeagle.com/policy-spad-update.html</w:t>
        </w:r>
      </w:hyperlink>
    </w:p>
    <w:p w14:paraId="32F3D9B7" w14:textId="77777777" w:rsidR="00462A4F" w:rsidRPr="000070B7" w:rsidRDefault="00462A4F">
      <w:pPr>
        <w:pStyle w:val="FootnoteText"/>
        <w:rPr>
          <w:sz w:val="16"/>
          <w:szCs w:val="16"/>
        </w:rPr>
      </w:pPr>
    </w:p>
  </w:footnote>
  <w:footnote w:id="3">
    <w:p w14:paraId="2DAC025A" w14:textId="4FF41E51" w:rsidR="002A23AD" w:rsidRPr="000070B7" w:rsidRDefault="002A23AD">
      <w:pPr>
        <w:pStyle w:val="FootnoteText"/>
        <w:rPr>
          <w:sz w:val="16"/>
          <w:szCs w:val="16"/>
        </w:rPr>
      </w:pPr>
      <w:r w:rsidRPr="000070B7">
        <w:rPr>
          <w:rStyle w:val="FootnoteReference"/>
          <w:sz w:val="16"/>
          <w:szCs w:val="16"/>
        </w:rPr>
        <w:footnoteRef/>
      </w:r>
      <w:r w:rsidRPr="000070B7">
        <w:rPr>
          <w:sz w:val="16"/>
          <w:szCs w:val="16"/>
        </w:rPr>
        <w:t xml:space="preserve"> </w:t>
      </w:r>
      <w:hyperlink r:id="rId4" w:history="1">
        <w:r w:rsidRPr="000070B7">
          <w:rPr>
            <w:rStyle w:val="Hyperlink"/>
            <w:sz w:val="16"/>
            <w:szCs w:val="16"/>
          </w:rPr>
          <w:t>https://www.parliament.nsw.gov.au/lcdocs/other/16111/TRANSPORT_TENDER_002.pdf</w:t>
        </w:r>
      </w:hyperlink>
      <w:r w:rsidR="007D3A16" w:rsidRPr="000070B7">
        <w:rPr>
          <w:sz w:val="16"/>
          <w:szCs w:val="16"/>
        </w:rPr>
        <w:t xml:space="preserve">  para 5.12</w:t>
      </w:r>
      <w:r w:rsidR="00476709" w:rsidRPr="000070B7">
        <w:rPr>
          <w:sz w:val="16"/>
          <w:szCs w:val="16"/>
        </w:rPr>
        <w:t>;</w:t>
      </w:r>
    </w:p>
    <w:p w14:paraId="6571620C" w14:textId="685F56C2" w:rsidR="00476709" w:rsidRPr="000070B7" w:rsidRDefault="00476709">
      <w:pPr>
        <w:pStyle w:val="FootnoteText"/>
        <w:rPr>
          <w:sz w:val="16"/>
          <w:szCs w:val="16"/>
        </w:rPr>
      </w:pPr>
      <w:r w:rsidRPr="000070B7">
        <w:rPr>
          <w:sz w:val="16"/>
          <w:szCs w:val="16"/>
        </w:rPr>
        <w:t xml:space="preserve"> </w:t>
      </w:r>
      <w:hyperlink r:id="rId5" w:history="1">
        <w:r w:rsidRPr="000070B7">
          <w:rPr>
            <w:rStyle w:val="Hyperlink"/>
            <w:sz w:val="16"/>
            <w:szCs w:val="16"/>
          </w:rPr>
          <w:t>https://www.parliament.nsw.gov.au/lcdocs/transcripts/2784/Transcript%20-%20Uncorrected%20-%2016%20December%202021.pdf</w:t>
        </w:r>
      </w:hyperlink>
      <w:r w:rsidRPr="000070B7">
        <w:rPr>
          <w:sz w:val="16"/>
          <w:szCs w:val="16"/>
        </w:rPr>
        <w:t xml:space="preserve"> at p.5.</w:t>
      </w:r>
    </w:p>
    <w:p w14:paraId="67A2F3EB" w14:textId="77777777" w:rsidR="002A23AD" w:rsidRPr="000070B7" w:rsidRDefault="002A23AD">
      <w:pPr>
        <w:pStyle w:val="FootnoteText"/>
        <w:rPr>
          <w:sz w:val="16"/>
          <w:szCs w:val="16"/>
        </w:rPr>
      </w:pPr>
    </w:p>
  </w:footnote>
  <w:footnote w:id="4">
    <w:p w14:paraId="334C79FD" w14:textId="526E30A8" w:rsidR="005A5CE0" w:rsidRPr="000070B7" w:rsidRDefault="005A5CE0">
      <w:pPr>
        <w:pStyle w:val="FootnoteText"/>
        <w:rPr>
          <w:sz w:val="16"/>
          <w:szCs w:val="16"/>
        </w:rPr>
      </w:pPr>
      <w:r w:rsidRPr="000070B7">
        <w:rPr>
          <w:rStyle w:val="FootnoteReference"/>
          <w:sz w:val="16"/>
          <w:szCs w:val="16"/>
        </w:rPr>
        <w:footnoteRef/>
      </w:r>
      <w:r w:rsidRPr="000070B7">
        <w:rPr>
          <w:sz w:val="16"/>
          <w:szCs w:val="16"/>
        </w:rPr>
        <w:t xml:space="preserve"> </w:t>
      </w:r>
      <w:hyperlink r:id="rId6" w:history="1">
        <w:r w:rsidRPr="000070B7">
          <w:rPr>
            <w:rStyle w:val="Hyperlink"/>
            <w:sz w:val="16"/>
            <w:szCs w:val="16"/>
          </w:rPr>
          <w:t>https://www.parliament.nsw.gov.au/tp/files/42517/GlenbrookInterim2[1].pdf</w:t>
        </w:r>
      </w:hyperlink>
    </w:p>
  </w:footnote>
  <w:footnote w:id="5">
    <w:p w14:paraId="1E2222B2" w14:textId="4190287E" w:rsidR="004B425C" w:rsidRPr="000070B7" w:rsidRDefault="004B425C" w:rsidP="004B425C">
      <w:pPr>
        <w:pStyle w:val="FootnoteText"/>
        <w:rPr>
          <w:sz w:val="16"/>
          <w:szCs w:val="16"/>
        </w:rPr>
      </w:pPr>
      <w:r w:rsidRPr="000070B7">
        <w:rPr>
          <w:rStyle w:val="FootnoteReference"/>
          <w:sz w:val="16"/>
          <w:szCs w:val="16"/>
        </w:rPr>
        <w:footnoteRef/>
      </w:r>
      <w:r w:rsidRPr="000070B7">
        <w:rPr>
          <w:sz w:val="16"/>
          <w:szCs w:val="16"/>
        </w:rPr>
        <w:t xml:space="preserve">  </w:t>
      </w:r>
      <w:hyperlink r:id="rId7" w:history="1">
        <w:r w:rsidRPr="000070B7">
          <w:rPr>
            <w:rStyle w:val="Hyperlink"/>
            <w:sz w:val="16"/>
            <w:szCs w:val="16"/>
          </w:rPr>
          <w:t>https://www.parliament.nsw.gov.au/lcdocs/transcripts/2784/Transcript%20-%20Uncorrected%20-%2016%20December%202021.pdf</w:t>
        </w:r>
      </w:hyperlink>
      <w:r w:rsidRPr="000070B7">
        <w:rPr>
          <w:sz w:val="16"/>
          <w:szCs w:val="16"/>
        </w:rPr>
        <w:t xml:space="preserve"> p.5.</w:t>
      </w:r>
    </w:p>
    <w:p w14:paraId="1E99D5B7" w14:textId="77777777" w:rsidR="004B425C" w:rsidRPr="000070B7" w:rsidRDefault="004B425C" w:rsidP="004B425C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0CA"/>
    <w:multiLevelType w:val="hybridMultilevel"/>
    <w:tmpl w:val="BBF8BB6E"/>
    <w:lvl w:ilvl="0" w:tplc="05223B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44C"/>
    <w:multiLevelType w:val="hybridMultilevel"/>
    <w:tmpl w:val="05BEA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249"/>
    <w:multiLevelType w:val="hybridMultilevel"/>
    <w:tmpl w:val="5FEA031E"/>
    <w:lvl w:ilvl="0" w:tplc="B89CBCE0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42424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C1191"/>
    <w:multiLevelType w:val="hybridMultilevel"/>
    <w:tmpl w:val="5316C914"/>
    <w:lvl w:ilvl="0" w:tplc="0100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6E"/>
    <w:rsid w:val="000070B7"/>
    <w:rsid w:val="00032A09"/>
    <w:rsid w:val="0004536E"/>
    <w:rsid w:val="000612DE"/>
    <w:rsid w:val="00074509"/>
    <w:rsid w:val="000E0BCA"/>
    <w:rsid w:val="001A2850"/>
    <w:rsid w:val="001A3EAD"/>
    <w:rsid w:val="001E7F0A"/>
    <w:rsid w:val="002619F9"/>
    <w:rsid w:val="002667A4"/>
    <w:rsid w:val="0028741D"/>
    <w:rsid w:val="00297481"/>
    <w:rsid w:val="002A23AD"/>
    <w:rsid w:val="002D697B"/>
    <w:rsid w:val="003945B0"/>
    <w:rsid w:val="00397980"/>
    <w:rsid w:val="004407B3"/>
    <w:rsid w:val="00462A4F"/>
    <w:rsid w:val="00476709"/>
    <w:rsid w:val="004B425C"/>
    <w:rsid w:val="004B5B55"/>
    <w:rsid w:val="005250E7"/>
    <w:rsid w:val="0059088E"/>
    <w:rsid w:val="005A5CE0"/>
    <w:rsid w:val="0065563A"/>
    <w:rsid w:val="006D0DCC"/>
    <w:rsid w:val="00706FAD"/>
    <w:rsid w:val="00712C1C"/>
    <w:rsid w:val="0072006E"/>
    <w:rsid w:val="00794E94"/>
    <w:rsid w:val="007D3A16"/>
    <w:rsid w:val="007E4877"/>
    <w:rsid w:val="007E5E49"/>
    <w:rsid w:val="007E778F"/>
    <w:rsid w:val="00831EBE"/>
    <w:rsid w:val="008A2140"/>
    <w:rsid w:val="00903D70"/>
    <w:rsid w:val="009046AC"/>
    <w:rsid w:val="00935C53"/>
    <w:rsid w:val="00A115B9"/>
    <w:rsid w:val="00A23260"/>
    <w:rsid w:val="00A307EA"/>
    <w:rsid w:val="00AB5258"/>
    <w:rsid w:val="00AD6397"/>
    <w:rsid w:val="00B50EF7"/>
    <w:rsid w:val="00B739DA"/>
    <w:rsid w:val="00BC0532"/>
    <w:rsid w:val="00C0158D"/>
    <w:rsid w:val="00CA2839"/>
    <w:rsid w:val="00DE0555"/>
    <w:rsid w:val="00E2194D"/>
    <w:rsid w:val="00E560D5"/>
    <w:rsid w:val="00E93F03"/>
    <w:rsid w:val="00F20006"/>
    <w:rsid w:val="00F42E78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D36C"/>
  <w15:chartTrackingRefBased/>
  <w15:docId w15:val="{B2A66C38-97F3-4566-B4D1-BBC1311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45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5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CE0"/>
    <w:pPr>
      <w:ind w:left="720"/>
      <w:contextualSpacing/>
    </w:pPr>
  </w:style>
  <w:style w:type="table" w:styleId="TableGrid">
    <w:name w:val="Table Grid"/>
    <w:basedOn w:val="TableNormal"/>
    <w:uiPriority w:val="39"/>
    <w:rsid w:val="008A214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jadebeagle.com/policy-spad-update.html" TargetMode="External"/><Relationship Id="rId7" Type="http://schemas.openxmlformats.org/officeDocument/2006/relationships/hyperlink" Target="https://www.parliament.nsw.gov.au/lcdocs/transcripts/2784/Transcript%20-%20Uncorrected%20-%2016%20December%202021.pdf" TargetMode="External"/><Relationship Id="rId2" Type="http://schemas.openxmlformats.org/officeDocument/2006/relationships/hyperlink" Target="https://johnmenadue.com/policy-wreck-were-being-told-two-contradictory-stories-about-nsw-trains/" TargetMode="External"/><Relationship Id="rId1" Type="http://schemas.openxmlformats.org/officeDocument/2006/relationships/hyperlink" Target="https://www.parliament.nsw.gov.au/lcdocs/submissions/76366/0002%20John%20Austen.pdf" TargetMode="External"/><Relationship Id="rId6" Type="http://schemas.openxmlformats.org/officeDocument/2006/relationships/hyperlink" Target="https://www.parliament.nsw.gov.au/tp/files/42517/GlenbrookInterim2%5b1%5d.pdf" TargetMode="External"/><Relationship Id="rId5" Type="http://schemas.openxmlformats.org/officeDocument/2006/relationships/hyperlink" Target="https://www.parliament.nsw.gov.au/lcdocs/transcripts/2784/Transcript%20-%20Uncorrected%20-%2016%20December%202021.pdf" TargetMode="External"/><Relationship Id="rId4" Type="http://schemas.openxmlformats.org/officeDocument/2006/relationships/hyperlink" Target="https://www.parliament.nsw.gov.au/lcdocs/other/16111/TRANSPORT_TENDER_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29BD-869E-4AA1-91E0-76B57190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20</cp:revision>
  <dcterms:created xsi:type="dcterms:W3CDTF">2021-12-17T04:22:00Z</dcterms:created>
  <dcterms:modified xsi:type="dcterms:W3CDTF">2021-12-19T08:10:00Z</dcterms:modified>
</cp:coreProperties>
</file>