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ED8F0" w14:textId="77777777" w:rsidR="00D132E6" w:rsidRDefault="00D132E6" w:rsidP="00A04090">
      <w:pPr>
        <w:pStyle w:val="Heading1"/>
        <w:spacing w:before="0" w:line="240" w:lineRule="auto"/>
      </w:pPr>
      <w:bookmarkStart w:id="0" w:name="_Toc123473916"/>
      <w:r>
        <w:t>Scandalous? – multiple Ministerial appointments</w:t>
      </w:r>
      <w:bookmarkEnd w:id="0"/>
    </w:p>
    <w:sdt>
      <w:sdtPr>
        <w:id w:val="-1353726733"/>
        <w:docPartObj>
          <w:docPartGallery w:val="Table of Contents"/>
          <w:docPartUnique/>
        </w:docPartObj>
      </w:sdtPr>
      <w:sdtEndPr>
        <w:rPr>
          <w:rFonts w:asciiTheme="minorHAnsi" w:eastAsiaTheme="minorHAnsi" w:hAnsiTheme="minorHAnsi" w:cstheme="minorBidi"/>
          <w:b/>
          <w:bCs/>
          <w:noProof/>
          <w:color w:val="auto"/>
          <w:sz w:val="22"/>
          <w:szCs w:val="22"/>
          <w:lang w:val="en-AU"/>
        </w:rPr>
      </w:sdtEndPr>
      <w:sdtContent>
        <w:p w14:paraId="4A3512D5" w14:textId="43BA2847" w:rsidR="0051219D" w:rsidRDefault="0051219D" w:rsidP="00A04090">
          <w:pPr>
            <w:pStyle w:val="TOCHeading"/>
            <w:spacing w:before="0" w:line="240" w:lineRule="auto"/>
          </w:pPr>
          <w:r>
            <w:t>Contents</w:t>
          </w:r>
        </w:p>
        <w:p w14:paraId="40A65998" w14:textId="704A6A35" w:rsidR="005D02F2" w:rsidRDefault="0051219D">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123473916" w:history="1">
            <w:r w:rsidR="005D02F2" w:rsidRPr="001270D6">
              <w:rPr>
                <w:rStyle w:val="Hyperlink"/>
                <w:noProof/>
              </w:rPr>
              <w:t>Scandalous? – multiple Ministerial appointments</w:t>
            </w:r>
            <w:r w:rsidR="005D02F2">
              <w:rPr>
                <w:noProof/>
                <w:webHidden/>
              </w:rPr>
              <w:tab/>
            </w:r>
            <w:r w:rsidR="005D02F2">
              <w:rPr>
                <w:noProof/>
                <w:webHidden/>
              </w:rPr>
              <w:fldChar w:fldCharType="begin"/>
            </w:r>
            <w:r w:rsidR="005D02F2">
              <w:rPr>
                <w:noProof/>
                <w:webHidden/>
              </w:rPr>
              <w:instrText xml:space="preserve"> PAGEREF _Toc123473916 \h </w:instrText>
            </w:r>
            <w:r w:rsidR="005D02F2">
              <w:rPr>
                <w:noProof/>
                <w:webHidden/>
              </w:rPr>
            </w:r>
            <w:r w:rsidR="005D02F2">
              <w:rPr>
                <w:noProof/>
                <w:webHidden/>
              </w:rPr>
              <w:fldChar w:fldCharType="separate"/>
            </w:r>
            <w:r w:rsidR="005D02F2">
              <w:rPr>
                <w:noProof/>
                <w:webHidden/>
              </w:rPr>
              <w:t>1</w:t>
            </w:r>
            <w:r w:rsidR="005D02F2">
              <w:rPr>
                <w:noProof/>
                <w:webHidden/>
              </w:rPr>
              <w:fldChar w:fldCharType="end"/>
            </w:r>
          </w:hyperlink>
        </w:p>
        <w:p w14:paraId="48C7F981" w14:textId="6EA155C7" w:rsidR="005D02F2" w:rsidRDefault="005D02F2">
          <w:pPr>
            <w:pStyle w:val="TOC2"/>
            <w:tabs>
              <w:tab w:val="left" w:pos="660"/>
              <w:tab w:val="right" w:leader="dot" w:pos="9016"/>
            </w:tabs>
            <w:rPr>
              <w:rFonts w:eastAsiaTheme="minorEastAsia"/>
              <w:noProof/>
              <w:lang w:eastAsia="en-AU"/>
            </w:rPr>
          </w:pPr>
          <w:hyperlink w:anchor="_Toc123473917" w:history="1">
            <w:r w:rsidRPr="001270D6">
              <w:rPr>
                <w:rStyle w:val="Hyperlink"/>
                <w:noProof/>
              </w:rPr>
              <w:t>1.</w:t>
            </w:r>
            <w:r>
              <w:rPr>
                <w:rFonts w:eastAsiaTheme="minorEastAsia"/>
                <w:noProof/>
                <w:lang w:eastAsia="en-AU"/>
              </w:rPr>
              <w:tab/>
            </w:r>
            <w:r w:rsidRPr="001270D6">
              <w:rPr>
                <w:rStyle w:val="Hyperlink"/>
                <w:noProof/>
              </w:rPr>
              <w:t>Introduction</w:t>
            </w:r>
            <w:r>
              <w:rPr>
                <w:noProof/>
                <w:webHidden/>
              </w:rPr>
              <w:tab/>
            </w:r>
            <w:r>
              <w:rPr>
                <w:noProof/>
                <w:webHidden/>
              </w:rPr>
              <w:fldChar w:fldCharType="begin"/>
            </w:r>
            <w:r>
              <w:rPr>
                <w:noProof/>
                <w:webHidden/>
              </w:rPr>
              <w:instrText xml:space="preserve"> PAGEREF _Toc123473917 \h </w:instrText>
            </w:r>
            <w:r>
              <w:rPr>
                <w:noProof/>
                <w:webHidden/>
              </w:rPr>
            </w:r>
            <w:r>
              <w:rPr>
                <w:noProof/>
                <w:webHidden/>
              </w:rPr>
              <w:fldChar w:fldCharType="separate"/>
            </w:r>
            <w:r>
              <w:rPr>
                <w:noProof/>
                <w:webHidden/>
              </w:rPr>
              <w:t>2</w:t>
            </w:r>
            <w:r>
              <w:rPr>
                <w:noProof/>
                <w:webHidden/>
              </w:rPr>
              <w:fldChar w:fldCharType="end"/>
            </w:r>
          </w:hyperlink>
        </w:p>
        <w:p w14:paraId="3ABBA92C" w14:textId="48186F4D" w:rsidR="005D02F2" w:rsidRDefault="005D02F2">
          <w:pPr>
            <w:pStyle w:val="TOC2"/>
            <w:tabs>
              <w:tab w:val="left" w:pos="660"/>
              <w:tab w:val="right" w:leader="dot" w:pos="9016"/>
            </w:tabs>
            <w:rPr>
              <w:rFonts w:eastAsiaTheme="minorEastAsia"/>
              <w:noProof/>
              <w:lang w:eastAsia="en-AU"/>
            </w:rPr>
          </w:pPr>
          <w:hyperlink w:anchor="_Toc123473918" w:history="1">
            <w:r w:rsidRPr="001270D6">
              <w:rPr>
                <w:rStyle w:val="Hyperlink"/>
                <w:noProof/>
              </w:rPr>
              <w:t>2.</w:t>
            </w:r>
            <w:r>
              <w:rPr>
                <w:rFonts w:eastAsiaTheme="minorEastAsia"/>
                <w:noProof/>
                <w:lang w:eastAsia="en-AU"/>
              </w:rPr>
              <w:tab/>
            </w:r>
            <w:r w:rsidRPr="001270D6">
              <w:rPr>
                <w:rStyle w:val="Hyperlink"/>
                <w:noProof/>
              </w:rPr>
              <w:t>The Inquiry and report</w:t>
            </w:r>
            <w:r>
              <w:rPr>
                <w:noProof/>
                <w:webHidden/>
              </w:rPr>
              <w:tab/>
            </w:r>
            <w:r>
              <w:rPr>
                <w:noProof/>
                <w:webHidden/>
              </w:rPr>
              <w:fldChar w:fldCharType="begin"/>
            </w:r>
            <w:r>
              <w:rPr>
                <w:noProof/>
                <w:webHidden/>
              </w:rPr>
              <w:instrText xml:space="preserve"> PAGEREF _Toc123473918 \h </w:instrText>
            </w:r>
            <w:r>
              <w:rPr>
                <w:noProof/>
                <w:webHidden/>
              </w:rPr>
            </w:r>
            <w:r>
              <w:rPr>
                <w:noProof/>
                <w:webHidden/>
              </w:rPr>
              <w:fldChar w:fldCharType="separate"/>
            </w:r>
            <w:r>
              <w:rPr>
                <w:noProof/>
                <w:webHidden/>
              </w:rPr>
              <w:t>2</w:t>
            </w:r>
            <w:r>
              <w:rPr>
                <w:noProof/>
                <w:webHidden/>
              </w:rPr>
              <w:fldChar w:fldCharType="end"/>
            </w:r>
          </w:hyperlink>
        </w:p>
        <w:p w14:paraId="4C55D89F" w14:textId="3BFE5E16" w:rsidR="005D02F2" w:rsidRDefault="005D02F2">
          <w:pPr>
            <w:pStyle w:val="TOC2"/>
            <w:tabs>
              <w:tab w:val="left" w:pos="660"/>
              <w:tab w:val="right" w:leader="dot" w:pos="9016"/>
            </w:tabs>
            <w:rPr>
              <w:rFonts w:eastAsiaTheme="minorEastAsia"/>
              <w:noProof/>
              <w:lang w:eastAsia="en-AU"/>
            </w:rPr>
          </w:pPr>
          <w:hyperlink w:anchor="_Toc123473919" w:history="1">
            <w:r w:rsidRPr="001270D6">
              <w:rPr>
                <w:rStyle w:val="Hyperlink"/>
                <w:noProof/>
              </w:rPr>
              <w:t>3.</w:t>
            </w:r>
            <w:r>
              <w:rPr>
                <w:rFonts w:eastAsiaTheme="minorEastAsia"/>
                <w:noProof/>
                <w:lang w:eastAsia="en-AU"/>
              </w:rPr>
              <w:tab/>
            </w:r>
            <w:r w:rsidRPr="001270D6">
              <w:rPr>
                <w:rStyle w:val="Hyperlink"/>
                <w:noProof/>
              </w:rPr>
              <w:t>Comments</w:t>
            </w:r>
            <w:r>
              <w:rPr>
                <w:noProof/>
                <w:webHidden/>
              </w:rPr>
              <w:tab/>
            </w:r>
            <w:r>
              <w:rPr>
                <w:noProof/>
                <w:webHidden/>
              </w:rPr>
              <w:fldChar w:fldCharType="begin"/>
            </w:r>
            <w:r>
              <w:rPr>
                <w:noProof/>
                <w:webHidden/>
              </w:rPr>
              <w:instrText xml:space="preserve"> PAGEREF _Toc123473919 \h </w:instrText>
            </w:r>
            <w:r>
              <w:rPr>
                <w:noProof/>
                <w:webHidden/>
              </w:rPr>
            </w:r>
            <w:r>
              <w:rPr>
                <w:noProof/>
                <w:webHidden/>
              </w:rPr>
              <w:fldChar w:fldCharType="separate"/>
            </w:r>
            <w:r>
              <w:rPr>
                <w:noProof/>
                <w:webHidden/>
              </w:rPr>
              <w:t>3</w:t>
            </w:r>
            <w:r>
              <w:rPr>
                <w:noProof/>
                <w:webHidden/>
              </w:rPr>
              <w:fldChar w:fldCharType="end"/>
            </w:r>
          </w:hyperlink>
        </w:p>
        <w:p w14:paraId="14642B39" w14:textId="1A7C6299" w:rsidR="005D02F2" w:rsidRDefault="005D02F2">
          <w:pPr>
            <w:pStyle w:val="TOC3"/>
            <w:tabs>
              <w:tab w:val="left" w:pos="1100"/>
              <w:tab w:val="right" w:leader="dot" w:pos="9016"/>
            </w:tabs>
            <w:rPr>
              <w:rFonts w:eastAsiaTheme="minorEastAsia"/>
              <w:noProof/>
              <w:lang w:eastAsia="en-AU"/>
            </w:rPr>
          </w:pPr>
          <w:hyperlink w:anchor="_Toc123473920" w:history="1">
            <w:r w:rsidRPr="001270D6">
              <w:rPr>
                <w:rStyle w:val="Hyperlink"/>
                <w:noProof/>
              </w:rPr>
              <w:t>3.1</w:t>
            </w:r>
            <w:r>
              <w:rPr>
                <w:rFonts w:eastAsiaTheme="minorEastAsia"/>
                <w:noProof/>
                <w:lang w:eastAsia="en-AU"/>
              </w:rPr>
              <w:tab/>
            </w:r>
            <w:r w:rsidRPr="001270D6">
              <w:rPr>
                <w:rStyle w:val="Hyperlink"/>
                <w:noProof/>
              </w:rPr>
              <w:t>Overview</w:t>
            </w:r>
            <w:r>
              <w:rPr>
                <w:noProof/>
                <w:webHidden/>
              </w:rPr>
              <w:tab/>
            </w:r>
            <w:r>
              <w:rPr>
                <w:noProof/>
                <w:webHidden/>
              </w:rPr>
              <w:fldChar w:fldCharType="begin"/>
            </w:r>
            <w:r>
              <w:rPr>
                <w:noProof/>
                <w:webHidden/>
              </w:rPr>
              <w:instrText xml:space="preserve"> PAGEREF _Toc123473920 \h </w:instrText>
            </w:r>
            <w:r>
              <w:rPr>
                <w:noProof/>
                <w:webHidden/>
              </w:rPr>
            </w:r>
            <w:r>
              <w:rPr>
                <w:noProof/>
                <w:webHidden/>
              </w:rPr>
              <w:fldChar w:fldCharType="separate"/>
            </w:r>
            <w:r>
              <w:rPr>
                <w:noProof/>
                <w:webHidden/>
              </w:rPr>
              <w:t>3</w:t>
            </w:r>
            <w:r>
              <w:rPr>
                <w:noProof/>
                <w:webHidden/>
              </w:rPr>
              <w:fldChar w:fldCharType="end"/>
            </w:r>
          </w:hyperlink>
        </w:p>
        <w:p w14:paraId="61DAECEA" w14:textId="58B3DE08" w:rsidR="005D02F2" w:rsidRDefault="005D02F2">
          <w:pPr>
            <w:pStyle w:val="TOC3"/>
            <w:tabs>
              <w:tab w:val="left" w:pos="1100"/>
              <w:tab w:val="right" w:leader="dot" w:pos="9016"/>
            </w:tabs>
            <w:rPr>
              <w:rFonts w:eastAsiaTheme="minorEastAsia"/>
              <w:noProof/>
              <w:lang w:eastAsia="en-AU"/>
            </w:rPr>
          </w:pPr>
          <w:hyperlink w:anchor="_Toc123473921" w:history="1">
            <w:r w:rsidRPr="001270D6">
              <w:rPr>
                <w:rStyle w:val="Hyperlink"/>
                <w:noProof/>
              </w:rPr>
              <w:t>3.2</w:t>
            </w:r>
            <w:r>
              <w:rPr>
                <w:rFonts w:eastAsiaTheme="minorEastAsia"/>
                <w:noProof/>
                <w:lang w:eastAsia="en-AU"/>
              </w:rPr>
              <w:tab/>
            </w:r>
            <w:r w:rsidRPr="001270D6">
              <w:rPr>
                <w:rStyle w:val="Hyperlink"/>
                <w:noProof/>
              </w:rPr>
              <w:t>Secrecy</w:t>
            </w:r>
            <w:r>
              <w:rPr>
                <w:noProof/>
                <w:webHidden/>
              </w:rPr>
              <w:tab/>
            </w:r>
            <w:r>
              <w:rPr>
                <w:noProof/>
                <w:webHidden/>
              </w:rPr>
              <w:fldChar w:fldCharType="begin"/>
            </w:r>
            <w:r>
              <w:rPr>
                <w:noProof/>
                <w:webHidden/>
              </w:rPr>
              <w:instrText xml:space="preserve"> PAGEREF _Toc123473921 \h </w:instrText>
            </w:r>
            <w:r>
              <w:rPr>
                <w:noProof/>
                <w:webHidden/>
              </w:rPr>
            </w:r>
            <w:r>
              <w:rPr>
                <w:noProof/>
                <w:webHidden/>
              </w:rPr>
              <w:fldChar w:fldCharType="separate"/>
            </w:r>
            <w:r>
              <w:rPr>
                <w:noProof/>
                <w:webHidden/>
              </w:rPr>
              <w:t>4</w:t>
            </w:r>
            <w:r>
              <w:rPr>
                <w:noProof/>
                <w:webHidden/>
              </w:rPr>
              <w:fldChar w:fldCharType="end"/>
            </w:r>
          </w:hyperlink>
        </w:p>
        <w:p w14:paraId="26BFCA97" w14:textId="7D062BE1" w:rsidR="005D02F2" w:rsidRDefault="005D02F2">
          <w:pPr>
            <w:pStyle w:val="TOC3"/>
            <w:tabs>
              <w:tab w:val="left" w:pos="1100"/>
              <w:tab w:val="right" w:leader="dot" w:pos="9016"/>
            </w:tabs>
            <w:rPr>
              <w:rFonts w:eastAsiaTheme="minorEastAsia"/>
              <w:noProof/>
              <w:lang w:eastAsia="en-AU"/>
            </w:rPr>
          </w:pPr>
          <w:hyperlink w:anchor="_Toc123473922" w:history="1">
            <w:r w:rsidRPr="001270D6">
              <w:rPr>
                <w:rStyle w:val="Hyperlink"/>
                <w:noProof/>
              </w:rPr>
              <w:t>3.3</w:t>
            </w:r>
            <w:r>
              <w:rPr>
                <w:rFonts w:eastAsiaTheme="minorEastAsia"/>
                <w:noProof/>
                <w:lang w:eastAsia="en-AU"/>
              </w:rPr>
              <w:tab/>
            </w:r>
            <w:r w:rsidRPr="001270D6">
              <w:rPr>
                <w:rStyle w:val="Hyperlink"/>
                <w:noProof/>
              </w:rPr>
              <w:t>Responsible government (a) – Parliament</w:t>
            </w:r>
            <w:r>
              <w:rPr>
                <w:noProof/>
                <w:webHidden/>
              </w:rPr>
              <w:tab/>
            </w:r>
            <w:r>
              <w:rPr>
                <w:noProof/>
                <w:webHidden/>
              </w:rPr>
              <w:fldChar w:fldCharType="begin"/>
            </w:r>
            <w:r>
              <w:rPr>
                <w:noProof/>
                <w:webHidden/>
              </w:rPr>
              <w:instrText xml:space="preserve"> PAGEREF _Toc123473922 \h </w:instrText>
            </w:r>
            <w:r>
              <w:rPr>
                <w:noProof/>
                <w:webHidden/>
              </w:rPr>
            </w:r>
            <w:r>
              <w:rPr>
                <w:noProof/>
                <w:webHidden/>
              </w:rPr>
              <w:fldChar w:fldCharType="separate"/>
            </w:r>
            <w:r>
              <w:rPr>
                <w:noProof/>
                <w:webHidden/>
              </w:rPr>
              <w:t>4</w:t>
            </w:r>
            <w:r>
              <w:rPr>
                <w:noProof/>
                <w:webHidden/>
              </w:rPr>
              <w:fldChar w:fldCharType="end"/>
            </w:r>
          </w:hyperlink>
        </w:p>
        <w:p w14:paraId="26CBC6D1" w14:textId="4AC97966" w:rsidR="005D02F2" w:rsidRDefault="005D02F2">
          <w:pPr>
            <w:pStyle w:val="TOC3"/>
            <w:tabs>
              <w:tab w:val="left" w:pos="1100"/>
              <w:tab w:val="right" w:leader="dot" w:pos="9016"/>
            </w:tabs>
            <w:rPr>
              <w:rFonts w:eastAsiaTheme="minorEastAsia"/>
              <w:noProof/>
              <w:lang w:eastAsia="en-AU"/>
            </w:rPr>
          </w:pPr>
          <w:hyperlink w:anchor="_Toc123473923" w:history="1">
            <w:r w:rsidRPr="001270D6">
              <w:rPr>
                <w:rStyle w:val="Hyperlink"/>
                <w:noProof/>
              </w:rPr>
              <w:t>3.4</w:t>
            </w:r>
            <w:r>
              <w:rPr>
                <w:rFonts w:eastAsiaTheme="minorEastAsia"/>
                <w:noProof/>
                <w:lang w:eastAsia="en-AU"/>
              </w:rPr>
              <w:tab/>
            </w:r>
            <w:r w:rsidRPr="001270D6">
              <w:rPr>
                <w:rStyle w:val="Hyperlink"/>
                <w:noProof/>
              </w:rPr>
              <w:t>Responsible Government (b) – breach?</w:t>
            </w:r>
            <w:r>
              <w:rPr>
                <w:noProof/>
                <w:webHidden/>
              </w:rPr>
              <w:tab/>
            </w:r>
            <w:r>
              <w:rPr>
                <w:noProof/>
                <w:webHidden/>
              </w:rPr>
              <w:fldChar w:fldCharType="begin"/>
            </w:r>
            <w:r>
              <w:rPr>
                <w:noProof/>
                <w:webHidden/>
              </w:rPr>
              <w:instrText xml:space="preserve"> PAGEREF _Toc123473923 \h </w:instrText>
            </w:r>
            <w:r>
              <w:rPr>
                <w:noProof/>
                <w:webHidden/>
              </w:rPr>
            </w:r>
            <w:r>
              <w:rPr>
                <w:noProof/>
                <w:webHidden/>
              </w:rPr>
              <w:fldChar w:fldCharType="separate"/>
            </w:r>
            <w:r>
              <w:rPr>
                <w:noProof/>
                <w:webHidden/>
              </w:rPr>
              <w:t>5</w:t>
            </w:r>
            <w:r>
              <w:rPr>
                <w:noProof/>
                <w:webHidden/>
              </w:rPr>
              <w:fldChar w:fldCharType="end"/>
            </w:r>
          </w:hyperlink>
        </w:p>
        <w:p w14:paraId="72971019" w14:textId="485829EB" w:rsidR="005D02F2" w:rsidRDefault="005D02F2">
          <w:pPr>
            <w:pStyle w:val="TOC3"/>
            <w:tabs>
              <w:tab w:val="left" w:pos="1100"/>
              <w:tab w:val="right" w:leader="dot" w:pos="9016"/>
            </w:tabs>
            <w:rPr>
              <w:rFonts w:eastAsiaTheme="minorEastAsia"/>
              <w:noProof/>
              <w:lang w:eastAsia="en-AU"/>
            </w:rPr>
          </w:pPr>
          <w:hyperlink w:anchor="_Toc123473924" w:history="1">
            <w:r w:rsidRPr="001270D6">
              <w:rPr>
                <w:rStyle w:val="Hyperlink"/>
                <w:noProof/>
              </w:rPr>
              <w:t>3.5</w:t>
            </w:r>
            <w:r>
              <w:rPr>
                <w:rFonts w:eastAsiaTheme="minorEastAsia"/>
                <w:noProof/>
                <w:lang w:eastAsia="en-AU"/>
              </w:rPr>
              <w:tab/>
            </w:r>
            <w:r w:rsidRPr="001270D6">
              <w:rPr>
                <w:rStyle w:val="Hyperlink"/>
                <w:noProof/>
              </w:rPr>
              <w:t>Responsible government (c) - Constitution</w:t>
            </w:r>
            <w:r>
              <w:rPr>
                <w:noProof/>
                <w:webHidden/>
              </w:rPr>
              <w:tab/>
            </w:r>
            <w:r>
              <w:rPr>
                <w:noProof/>
                <w:webHidden/>
              </w:rPr>
              <w:fldChar w:fldCharType="begin"/>
            </w:r>
            <w:r>
              <w:rPr>
                <w:noProof/>
                <w:webHidden/>
              </w:rPr>
              <w:instrText xml:space="preserve"> PAGEREF _Toc123473924 \h </w:instrText>
            </w:r>
            <w:r>
              <w:rPr>
                <w:noProof/>
                <w:webHidden/>
              </w:rPr>
            </w:r>
            <w:r>
              <w:rPr>
                <w:noProof/>
                <w:webHidden/>
              </w:rPr>
              <w:fldChar w:fldCharType="separate"/>
            </w:r>
            <w:r>
              <w:rPr>
                <w:noProof/>
                <w:webHidden/>
              </w:rPr>
              <w:t>6</w:t>
            </w:r>
            <w:r>
              <w:rPr>
                <w:noProof/>
                <w:webHidden/>
              </w:rPr>
              <w:fldChar w:fldCharType="end"/>
            </w:r>
          </w:hyperlink>
        </w:p>
        <w:p w14:paraId="2851768F" w14:textId="3AB9FC8E" w:rsidR="005D02F2" w:rsidRDefault="005D02F2">
          <w:pPr>
            <w:pStyle w:val="TOC3"/>
            <w:tabs>
              <w:tab w:val="left" w:pos="1100"/>
              <w:tab w:val="right" w:leader="dot" w:pos="9016"/>
            </w:tabs>
            <w:rPr>
              <w:rFonts w:eastAsiaTheme="minorEastAsia"/>
              <w:noProof/>
              <w:lang w:eastAsia="en-AU"/>
            </w:rPr>
          </w:pPr>
          <w:hyperlink w:anchor="_Toc123473925" w:history="1">
            <w:r w:rsidRPr="001270D6">
              <w:rPr>
                <w:rStyle w:val="Hyperlink"/>
                <w:noProof/>
              </w:rPr>
              <w:t>3.6</w:t>
            </w:r>
            <w:r>
              <w:rPr>
                <w:rFonts w:eastAsiaTheme="minorEastAsia"/>
                <w:noProof/>
                <w:lang w:eastAsia="en-AU"/>
              </w:rPr>
              <w:tab/>
            </w:r>
            <w:r w:rsidRPr="001270D6">
              <w:rPr>
                <w:rStyle w:val="Hyperlink"/>
                <w:noProof/>
              </w:rPr>
              <w:t>Responsible government (d) – whole of government</w:t>
            </w:r>
            <w:r>
              <w:rPr>
                <w:noProof/>
                <w:webHidden/>
              </w:rPr>
              <w:tab/>
            </w:r>
            <w:r>
              <w:rPr>
                <w:noProof/>
                <w:webHidden/>
              </w:rPr>
              <w:fldChar w:fldCharType="begin"/>
            </w:r>
            <w:r>
              <w:rPr>
                <w:noProof/>
                <w:webHidden/>
              </w:rPr>
              <w:instrText xml:space="preserve"> PAGEREF _Toc123473925 \h </w:instrText>
            </w:r>
            <w:r>
              <w:rPr>
                <w:noProof/>
                <w:webHidden/>
              </w:rPr>
            </w:r>
            <w:r>
              <w:rPr>
                <w:noProof/>
                <w:webHidden/>
              </w:rPr>
              <w:fldChar w:fldCharType="separate"/>
            </w:r>
            <w:r>
              <w:rPr>
                <w:noProof/>
                <w:webHidden/>
              </w:rPr>
              <w:t>6</w:t>
            </w:r>
            <w:r>
              <w:rPr>
                <w:noProof/>
                <w:webHidden/>
              </w:rPr>
              <w:fldChar w:fldCharType="end"/>
            </w:r>
          </w:hyperlink>
        </w:p>
        <w:p w14:paraId="583E1FF1" w14:textId="3A0BB8AE" w:rsidR="005D02F2" w:rsidRDefault="005D02F2">
          <w:pPr>
            <w:pStyle w:val="TOC2"/>
            <w:tabs>
              <w:tab w:val="left" w:pos="660"/>
              <w:tab w:val="right" w:leader="dot" w:pos="9016"/>
            </w:tabs>
            <w:rPr>
              <w:rFonts w:eastAsiaTheme="minorEastAsia"/>
              <w:noProof/>
              <w:lang w:eastAsia="en-AU"/>
            </w:rPr>
          </w:pPr>
          <w:hyperlink w:anchor="_Toc123473926" w:history="1">
            <w:r w:rsidRPr="001270D6">
              <w:rPr>
                <w:rStyle w:val="Hyperlink"/>
                <w:noProof/>
              </w:rPr>
              <w:t>4.</w:t>
            </w:r>
            <w:r>
              <w:rPr>
                <w:rFonts w:eastAsiaTheme="minorEastAsia"/>
                <w:noProof/>
                <w:lang w:eastAsia="en-AU"/>
              </w:rPr>
              <w:tab/>
            </w:r>
            <w:r w:rsidRPr="001270D6">
              <w:rPr>
                <w:rStyle w:val="Hyperlink"/>
                <w:noProof/>
              </w:rPr>
              <w:t>Conclusion</w:t>
            </w:r>
            <w:r>
              <w:rPr>
                <w:noProof/>
                <w:webHidden/>
              </w:rPr>
              <w:tab/>
            </w:r>
            <w:r>
              <w:rPr>
                <w:noProof/>
                <w:webHidden/>
              </w:rPr>
              <w:fldChar w:fldCharType="begin"/>
            </w:r>
            <w:r>
              <w:rPr>
                <w:noProof/>
                <w:webHidden/>
              </w:rPr>
              <w:instrText xml:space="preserve"> PAGEREF _Toc123473926 \h </w:instrText>
            </w:r>
            <w:r>
              <w:rPr>
                <w:noProof/>
                <w:webHidden/>
              </w:rPr>
            </w:r>
            <w:r>
              <w:rPr>
                <w:noProof/>
                <w:webHidden/>
              </w:rPr>
              <w:fldChar w:fldCharType="separate"/>
            </w:r>
            <w:r>
              <w:rPr>
                <w:noProof/>
                <w:webHidden/>
              </w:rPr>
              <w:t>8</w:t>
            </w:r>
            <w:r>
              <w:rPr>
                <w:noProof/>
                <w:webHidden/>
              </w:rPr>
              <w:fldChar w:fldCharType="end"/>
            </w:r>
          </w:hyperlink>
        </w:p>
        <w:p w14:paraId="625C5224" w14:textId="3178C15A" w:rsidR="005D02F2" w:rsidRDefault="005D02F2">
          <w:pPr>
            <w:pStyle w:val="TOC3"/>
            <w:tabs>
              <w:tab w:val="left" w:pos="1100"/>
              <w:tab w:val="right" w:leader="dot" w:pos="9016"/>
            </w:tabs>
            <w:rPr>
              <w:rFonts w:eastAsiaTheme="minorEastAsia"/>
              <w:noProof/>
              <w:lang w:eastAsia="en-AU"/>
            </w:rPr>
          </w:pPr>
          <w:hyperlink w:anchor="_Toc123473927" w:history="1">
            <w:r w:rsidRPr="001270D6">
              <w:rPr>
                <w:rStyle w:val="Hyperlink"/>
                <w:noProof/>
              </w:rPr>
              <w:t>4.1</w:t>
            </w:r>
            <w:r>
              <w:rPr>
                <w:rFonts w:eastAsiaTheme="minorEastAsia"/>
                <w:noProof/>
                <w:lang w:eastAsia="en-AU"/>
              </w:rPr>
              <w:tab/>
            </w:r>
            <w:r w:rsidRPr="001270D6">
              <w:rPr>
                <w:rStyle w:val="Hyperlink"/>
                <w:noProof/>
              </w:rPr>
              <w:t>The Inquiry etc.</w:t>
            </w:r>
            <w:r>
              <w:rPr>
                <w:noProof/>
                <w:webHidden/>
              </w:rPr>
              <w:tab/>
            </w:r>
            <w:r>
              <w:rPr>
                <w:noProof/>
                <w:webHidden/>
              </w:rPr>
              <w:fldChar w:fldCharType="begin"/>
            </w:r>
            <w:r>
              <w:rPr>
                <w:noProof/>
                <w:webHidden/>
              </w:rPr>
              <w:instrText xml:space="preserve"> PAGEREF _Toc123473927 \h </w:instrText>
            </w:r>
            <w:r>
              <w:rPr>
                <w:noProof/>
                <w:webHidden/>
              </w:rPr>
            </w:r>
            <w:r>
              <w:rPr>
                <w:noProof/>
                <w:webHidden/>
              </w:rPr>
              <w:fldChar w:fldCharType="separate"/>
            </w:r>
            <w:r>
              <w:rPr>
                <w:noProof/>
                <w:webHidden/>
              </w:rPr>
              <w:t>8</w:t>
            </w:r>
            <w:r>
              <w:rPr>
                <w:noProof/>
                <w:webHidden/>
              </w:rPr>
              <w:fldChar w:fldCharType="end"/>
            </w:r>
          </w:hyperlink>
        </w:p>
        <w:p w14:paraId="0AC81702" w14:textId="480E77A9" w:rsidR="005D02F2" w:rsidRDefault="005D02F2">
          <w:pPr>
            <w:pStyle w:val="TOC3"/>
            <w:tabs>
              <w:tab w:val="left" w:pos="1100"/>
              <w:tab w:val="right" w:leader="dot" w:pos="9016"/>
            </w:tabs>
            <w:rPr>
              <w:rFonts w:eastAsiaTheme="minorEastAsia"/>
              <w:noProof/>
              <w:lang w:eastAsia="en-AU"/>
            </w:rPr>
          </w:pPr>
          <w:hyperlink w:anchor="_Toc123473928" w:history="1">
            <w:r w:rsidRPr="001270D6">
              <w:rPr>
                <w:rStyle w:val="Hyperlink"/>
                <w:noProof/>
              </w:rPr>
              <w:t>4.2</w:t>
            </w:r>
            <w:r>
              <w:rPr>
                <w:rFonts w:eastAsiaTheme="minorEastAsia"/>
                <w:noProof/>
                <w:lang w:eastAsia="en-AU"/>
              </w:rPr>
              <w:tab/>
            </w:r>
            <w:r w:rsidRPr="001270D6">
              <w:rPr>
                <w:rStyle w:val="Hyperlink"/>
                <w:noProof/>
              </w:rPr>
              <w:t>Scandalous?</w:t>
            </w:r>
            <w:r>
              <w:rPr>
                <w:noProof/>
                <w:webHidden/>
              </w:rPr>
              <w:tab/>
            </w:r>
            <w:r>
              <w:rPr>
                <w:noProof/>
                <w:webHidden/>
              </w:rPr>
              <w:fldChar w:fldCharType="begin"/>
            </w:r>
            <w:r>
              <w:rPr>
                <w:noProof/>
                <w:webHidden/>
              </w:rPr>
              <w:instrText xml:space="preserve"> PAGEREF _Toc123473928 \h </w:instrText>
            </w:r>
            <w:r>
              <w:rPr>
                <w:noProof/>
                <w:webHidden/>
              </w:rPr>
            </w:r>
            <w:r>
              <w:rPr>
                <w:noProof/>
                <w:webHidden/>
              </w:rPr>
              <w:fldChar w:fldCharType="separate"/>
            </w:r>
            <w:r>
              <w:rPr>
                <w:noProof/>
                <w:webHidden/>
              </w:rPr>
              <w:t>9</w:t>
            </w:r>
            <w:r>
              <w:rPr>
                <w:noProof/>
                <w:webHidden/>
              </w:rPr>
              <w:fldChar w:fldCharType="end"/>
            </w:r>
          </w:hyperlink>
        </w:p>
        <w:p w14:paraId="712062C6" w14:textId="392758BB" w:rsidR="0051219D" w:rsidRDefault="0051219D" w:rsidP="008336A4">
          <w:pPr>
            <w:spacing w:after="100" w:line="276" w:lineRule="auto"/>
          </w:pPr>
          <w:r>
            <w:rPr>
              <w:b/>
              <w:bCs/>
              <w:noProof/>
            </w:rPr>
            <w:fldChar w:fldCharType="end"/>
          </w:r>
        </w:p>
      </w:sdtContent>
    </w:sdt>
    <w:p w14:paraId="4C452942" w14:textId="36970D17" w:rsidR="0051219D" w:rsidRDefault="0051219D" w:rsidP="008336A4">
      <w:pPr>
        <w:spacing w:after="100" w:line="276" w:lineRule="auto"/>
        <w:rPr>
          <w:rFonts w:asciiTheme="majorHAnsi" w:eastAsiaTheme="majorEastAsia" w:hAnsiTheme="majorHAnsi" w:cstheme="majorBidi"/>
          <w:color w:val="2F5496" w:themeColor="accent1" w:themeShade="BF"/>
          <w:sz w:val="26"/>
          <w:szCs w:val="26"/>
        </w:rPr>
      </w:pPr>
      <w:r>
        <w:br w:type="page"/>
      </w:r>
    </w:p>
    <w:p w14:paraId="144C9A0D" w14:textId="77777777" w:rsidR="00D132E6" w:rsidRDefault="00D132E6" w:rsidP="00A04090">
      <w:pPr>
        <w:pStyle w:val="Heading2"/>
        <w:spacing w:before="0" w:line="240" w:lineRule="auto"/>
      </w:pPr>
      <w:bookmarkStart w:id="1" w:name="_Toc123473917"/>
      <w:r w:rsidRPr="00050ADC">
        <w:lastRenderedPageBreak/>
        <w:t>1.</w:t>
      </w:r>
      <w:r>
        <w:tab/>
        <w:t>Introduction</w:t>
      </w:r>
      <w:bookmarkEnd w:id="1"/>
    </w:p>
    <w:p w14:paraId="56D6D6C0" w14:textId="002BA09F" w:rsidR="00617B24" w:rsidRDefault="00D132E6" w:rsidP="00A04090">
      <w:pPr>
        <w:spacing w:after="0" w:line="240" w:lineRule="auto"/>
      </w:pPr>
      <w:r>
        <w:t xml:space="preserve">This article concerns the report from </w:t>
      </w:r>
      <w:r w:rsidR="00617B24">
        <w:t xml:space="preserve">an Inquiry by </w:t>
      </w:r>
      <w:r>
        <w:t>the Hon</w:t>
      </w:r>
      <w:r w:rsidR="00617B24">
        <w:t>.</w:t>
      </w:r>
      <w:r>
        <w:t xml:space="preserve"> Virginia Bell AC into </w:t>
      </w:r>
      <w:r w:rsidR="005E0153">
        <w:t xml:space="preserve">secret </w:t>
      </w:r>
      <w:r>
        <w:t>appointments of Mr Morrison to administer various Departments when he was Prime Minister and leader of the Liberal party</w:t>
      </w:r>
      <w:proofErr w:type="gramStart"/>
      <w:r>
        <w:t xml:space="preserve">.  </w:t>
      </w:r>
      <w:proofErr w:type="gramEnd"/>
      <w:r>
        <w:t>It follows a previous article on the issue.</w:t>
      </w:r>
      <w:r w:rsidR="00617B24">
        <w:rPr>
          <w:rStyle w:val="FootnoteReference"/>
        </w:rPr>
        <w:footnoteReference w:id="1"/>
      </w:r>
      <w:r w:rsidR="00617B24">
        <w:t xml:space="preserve">  </w:t>
      </w:r>
    </w:p>
    <w:p w14:paraId="24BDB4A7" w14:textId="1CC829B0" w:rsidR="004835DA" w:rsidRDefault="004835DA" w:rsidP="00A04090">
      <w:pPr>
        <w:spacing w:after="0" w:line="240" w:lineRule="auto"/>
      </w:pPr>
    </w:p>
    <w:p w14:paraId="45F3FD95" w14:textId="1F8A49DE" w:rsidR="004835DA" w:rsidRDefault="004835DA" w:rsidP="00A04090">
      <w:pPr>
        <w:spacing w:after="0" w:line="240" w:lineRule="auto"/>
      </w:pPr>
      <w:r>
        <w:t>As ever</w:t>
      </w:r>
      <w:r w:rsidR="00B3286A">
        <w:t>,</w:t>
      </w:r>
      <w:r>
        <w:t xml:space="preserve"> comments and corrections are welcome.</w:t>
      </w:r>
    </w:p>
    <w:p w14:paraId="56404BDE" w14:textId="77777777" w:rsidR="004835DA" w:rsidRDefault="004835DA" w:rsidP="00A04090">
      <w:pPr>
        <w:spacing w:after="0" w:line="240" w:lineRule="auto"/>
      </w:pPr>
    </w:p>
    <w:p w14:paraId="77A73C28" w14:textId="77777777" w:rsidR="004835DA" w:rsidRDefault="004835DA" w:rsidP="00A04090">
      <w:pPr>
        <w:pStyle w:val="Heading2"/>
        <w:spacing w:before="0" w:line="240" w:lineRule="auto"/>
      </w:pPr>
      <w:bookmarkStart w:id="2" w:name="_Toc123473918"/>
      <w:r>
        <w:t>2.</w:t>
      </w:r>
      <w:r>
        <w:tab/>
        <w:t>The Inquiry and report</w:t>
      </w:r>
      <w:bookmarkEnd w:id="2"/>
    </w:p>
    <w:p w14:paraId="3419488D" w14:textId="368C8CC0" w:rsidR="005E0153" w:rsidRDefault="00617B24" w:rsidP="00A04090">
      <w:pPr>
        <w:spacing w:after="0" w:line="240" w:lineRule="auto"/>
      </w:pPr>
      <w:proofErr w:type="gramStart"/>
      <w:r>
        <w:t>The Inquiry was commissioned by Prime Minister Albanese after the Solicitor General</w:t>
      </w:r>
      <w:proofErr w:type="gramEnd"/>
      <w:r>
        <w:t xml:space="preserve"> provided an opinion </w:t>
      </w:r>
      <w:r w:rsidR="005E0153">
        <w:t>the appointments were Constitutionally valid yet undermined responsible government</w:t>
      </w:r>
      <w:r>
        <w:t xml:space="preserve">.  </w:t>
      </w:r>
    </w:p>
    <w:p w14:paraId="4C34E847" w14:textId="77777777" w:rsidR="005E0153" w:rsidRDefault="005E0153" w:rsidP="00A04090">
      <w:pPr>
        <w:spacing w:after="0" w:line="240" w:lineRule="auto"/>
      </w:pPr>
    </w:p>
    <w:p w14:paraId="109020C4" w14:textId="77308BAE" w:rsidR="00902B40" w:rsidRDefault="00D132E6" w:rsidP="00A04090">
      <w:pPr>
        <w:spacing w:after="0" w:line="240" w:lineRule="auto"/>
      </w:pPr>
      <w:r>
        <w:t>Terms of reference for the Inquiry were to establish factual circumstances of the situation and to provide recommendations</w:t>
      </w:r>
      <w:proofErr w:type="gramStart"/>
      <w:r>
        <w:t xml:space="preserve">.  </w:t>
      </w:r>
      <w:proofErr w:type="gramEnd"/>
      <w:r w:rsidR="00B13A3A">
        <w:t>The Inquiry</w:t>
      </w:r>
      <w:r>
        <w:t xml:space="preserve"> sought information from relevant Ministers</w:t>
      </w:r>
      <w:r w:rsidR="00617B24">
        <w:t xml:space="preserve">, </w:t>
      </w:r>
      <w:proofErr w:type="gramStart"/>
      <w:r w:rsidR="00617B24">
        <w:t>officials</w:t>
      </w:r>
      <w:proofErr w:type="gramEnd"/>
      <w:r w:rsidR="00617B24">
        <w:t xml:space="preserve"> and the public</w:t>
      </w:r>
      <w:r>
        <w:t>.</w:t>
      </w:r>
      <w:r w:rsidR="004835DA">
        <w:t xml:space="preserve">  </w:t>
      </w:r>
      <w:r w:rsidR="00902B40">
        <w:t>The author provided a submission.</w:t>
      </w:r>
      <w:r w:rsidR="00096DE9">
        <w:rPr>
          <w:rStyle w:val="FootnoteReference"/>
        </w:rPr>
        <w:footnoteReference w:id="2"/>
      </w:r>
    </w:p>
    <w:p w14:paraId="7FA29D5D" w14:textId="77777777" w:rsidR="00902B40" w:rsidRDefault="00902B40" w:rsidP="00A04090">
      <w:pPr>
        <w:spacing w:after="0" w:line="240" w:lineRule="auto"/>
      </w:pPr>
    </w:p>
    <w:p w14:paraId="5E47CD03" w14:textId="714F3B72" w:rsidR="00D132E6" w:rsidRDefault="00902B40" w:rsidP="00A04090">
      <w:pPr>
        <w:spacing w:after="0" w:line="240" w:lineRule="auto"/>
      </w:pPr>
      <w:r>
        <w:t xml:space="preserve">The Inquiry </w:t>
      </w:r>
      <w:r w:rsidR="00096DE9">
        <w:t>forwarded its</w:t>
      </w:r>
      <w:r w:rsidR="004835DA">
        <w:t xml:space="preserve"> report </w:t>
      </w:r>
      <w:r w:rsidR="00096DE9">
        <w:t xml:space="preserve">to the Prime Minister </w:t>
      </w:r>
      <w:r w:rsidR="004835DA">
        <w:t>on 25 November 2022.</w:t>
      </w:r>
      <w:r w:rsidR="00617B24">
        <w:rPr>
          <w:rStyle w:val="FootnoteReference"/>
        </w:rPr>
        <w:footnoteReference w:id="3"/>
      </w:r>
      <w:r w:rsidR="00D132E6">
        <w:t xml:space="preserve">  </w:t>
      </w:r>
    </w:p>
    <w:p w14:paraId="3442BEC0" w14:textId="77777777" w:rsidR="00617B24" w:rsidRDefault="00617B24" w:rsidP="00A04090">
      <w:pPr>
        <w:spacing w:after="0" w:line="240" w:lineRule="auto"/>
      </w:pPr>
    </w:p>
    <w:p w14:paraId="35086524" w14:textId="70665E13" w:rsidR="00B13A3A" w:rsidRDefault="00D132E6" w:rsidP="00A04090">
      <w:pPr>
        <w:spacing w:after="0" w:line="240" w:lineRule="auto"/>
      </w:pPr>
      <w:r>
        <w:t>The report took the Solicitor General’s opinion as given</w:t>
      </w:r>
      <w:proofErr w:type="gramStart"/>
      <w:r>
        <w:t xml:space="preserve">.  </w:t>
      </w:r>
      <w:proofErr w:type="gramEnd"/>
      <w:r>
        <w:t>It provided a chronology of events</w:t>
      </w:r>
      <w:r w:rsidR="0051219D">
        <w:t xml:space="preserve"> </w:t>
      </w:r>
      <w:r w:rsidR="007E64AA">
        <w:t>- from</w:t>
      </w:r>
      <w:r w:rsidR="005E0153">
        <w:t xml:space="preserve"> </w:t>
      </w:r>
      <w:r>
        <w:t xml:space="preserve">the early days of the </w:t>
      </w:r>
      <w:r w:rsidR="005E0153">
        <w:t xml:space="preserve">Covid </w:t>
      </w:r>
      <w:r>
        <w:t xml:space="preserve">pandemic in 2020 </w:t>
      </w:r>
      <w:r w:rsidR="005E0153">
        <w:t>to</w:t>
      </w:r>
      <w:r>
        <w:t xml:space="preserve"> mid-2022. </w:t>
      </w:r>
      <w:r w:rsidR="00B13A3A">
        <w:t>I</w:t>
      </w:r>
      <w:r>
        <w:t>t claimed initial motivation</w:t>
      </w:r>
      <w:r w:rsidR="005E0153">
        <w:t>s</w:t>
      </w:r>
      <w:r>
        <w:t xml:space="preserve"> </w:t>
      </w:r>
      <w:r w:rsidR="005E0153">
        <w:t>related to the pandemic</w:t>
      </w:r>
      <w:proofErr w:type="gramStart"/>
      <w:r w:rsidR="005E0153">
        <w:t xml:space="preserve">.  </w:t>
      </w:r>
      <w:proofErr w:type="gramEnd"/>
    </w:p>
    <w:p w14:paraId="5327CA57" w14:textId="77777777" w:rsidR="00B13A3A" w:rsidRDefault="00B13A3A" w:rsidP="00A04090">
      <w:pPr>
        <w:spacing w:after="0" w:line="240" w:lineRule="auto"/>
      </w:pPr>
    </w:p>
    <w:p w14:paraId="31F4B90E" w14:textId="053CDEF9" w:rsidR="00D132E6" w:rsidRDefault="00B13A3A" w:rsidP="00A04090">
      <w:pPr>
        <w:spacing w:after="0" w:line="240" w:lineRule="auto"/>
      </w:pPr>
      <w:r>
        <w:t xml:space="preserve">In 2015, </w:t>
      </w:r>
      <w:r w:rsidR="007C28D6">
        <w:t xml:space="preserve">Parliament had </w:t>
      </w:r>
      <w:r>
        <w:t xml:space="preserve">passed legislation </w:t>
      </w:r>
      <w:r w:rsidR="007C28D6">
        <w:t>conferr</w:t>
      </w:r>
      <w:r>
        <w:t>ing</w:t>
      </w:r>
      <w:r w:rsidR="007C28D6">
        <w:t xml:space="preserve"> e</w:t>
      </w:r>
      <w:r w:rsidR="00D132E6">
        <w:t xml:space="preserve">normous powers </w:t>
      </w:r>
      <w:r w:rsidR="006C1F05">
        <w:t>– ‘</w:t>
      </w:r>
      <w:r w:rsidR="00C35776">
        <w:t>g</w:t>
      </w:r>
      <w:r w:rsidR="006C1F05">
        <w:t xml:space="preserve">od-like powers’ - </w:t>
      </w:r>
      <w:r w:rsidR="00D132E6">
        <w:t xml:space="preserve">on the </w:t>
      </w:r>
      <w:r w:rsidR="007C28D6">
        <w:t xml:space="preserve">Health </w:t>
      </w:r>
      <w:r w:rsidR="00D132E6">
        <w:t xml:space="preserve">Minister for responses to </w:t>
      </w:r>
      <w:r w:rsidR="007C28D6">
        <w:t xml:space="preserve">bio-security </w:t>
      </w:r>
      <w:r w:rsidR="00D132E6">
        <w:t>emergencies</w:t>
      </w:r>
      <w:proofErr w:type="gramStart"/>
      <w:r>
        <w:t xml:space="preserve">.  </w:t>
      </w:r>
      <w:proofErr w:type="gramEnd"/>
      <w:r>
        <w:t xml:space="preserve">The </w:t>
      </w:r>
      <w:r w:rsidR="00A43123">
        <w:t xml:space="preserve">start of the </w:t>
      </w:r>
      <w:r>
        <w:t>pandemic in 2020 was such an emergency</w:t>
      </w:r>
      <w:proofErr w:type="gramStart"/>
      <w:r>
        <w:t xml:space="preserve">.  </w:t>
      </w:r>
      <w:proofErr w:type="gramEnd"/>
      <w:r w:rsidR="00D132E6">
        <w:t>The report suggested Mr Morrison and Attorney General Mr Porter took a view that some wider Government oversight of those powers would be desirabl</w:t>
      </w:r>
      <w:r w:rsidR="007C28D6">
        <w:t>e</w:t>
      </w:r>
      <w:proofErr w:type="gramStart"/>
      <w:r w:rsidR="00D132E6">
        <w:t>.</w:t>
      </w:r>
      <w:r w:rsidR="007C28D6">
        <w:t xml:space="preserve">  </w:t>
      </w:r>
      <w:proofErr w:type="gramEnd"/>
      <w:r w:rsidR="003B422D">
        <w:t>T</w:t>
      </w:r>
      <w:r w:rsidR="007C28D6">
        <w:t>here was a</w:t>
      </w:r>
      <w:r w:rsidR="003B422D">
        <w:t>nother</w:t>
      </w:r>
      <w:r w:rsidR="007C28D6">
        <w:t xml:space="preserve"> concern </w:t>
      </w:r>
      <w:r w:rsidR="003B422D">
        <w:t>- if</w:t>
      </w:r>
      <w:r w:rsidR="007C28D6">
        <w:t xml:space="preserve"> the </w:t>
      </w:r>
      <w:r>
        <w:t xml:space="preserve">Health </w:t>
      </w:r>
      <w:r w:rsidR="007C28D6">
        <w:t>Minister</w:t>
      </w:r>
      <w:r>
        <w:t xml:space="preserve"> </w:t>
      </w:r>
      <w:r w:rsidR="007C28D6">
        <w:t>bec</w:t>
      </w:r>
      <w:r w:rsidR="003B422D">
        <w:t>am</w:t>
      </w:r>
      <w:r w:rsidR="007C28D6">
        <w:t>e incapacitated through infection a junior Minister might have responsibility for the powers.</w:t>
      </w:r>
      <w:r w:rsidR="00D132E6">
        <w:rPr>
          <w:rStyle w:val="FootnoteReference"/>
        </w:rPr>
        <w:footnoteReference w:id="4"/>
      </w:r>
      <w:r w:rsidR="00D132E6">
        <w:t xml:space="preserve"> </w:t>
      </w:r>
    </w:p>
    <w:p w14:paraId="146C1A11" w14:textId="77777777" w:rsidR="00D132E6" w:rsidRDefault="00D132E6" w:rsidP="00A04090">
      <w:pPr>
        <w:pStyle w:val="Heading3"/>
        <w:spacing w:before="0" w:line="240" w:lineRule="auto"/>
      </w:pPr>
    </w:p>
    <w:p w14:paraId="07A39F40" w14:textId="2C1D7411" w:rsidR="00D132E6" w:rsidRDefault="00D132E6" w:rsidP="00A04090">
      <w:pPr>
        <w:spacing w:after="0" w:line="240" w:lineRule="auto"/>
      </w:pPr>
      <w:r>
        <w:t xml:space="preserve">On the morning of 9 March 2020, an official from the Prime Minister’s Department suggested to the Attorney General’s </w:t>
      </w:r>
      <w:r w:rsidR="00B13A3A">
        <w:t xml:space="preserve">Secretary that </w:t>
      </w:r>
      <w:r>
        <w:t xml:space="preserve">appointment </w:t>
      </w:r>
      <w:r w:rsidR="00A43123">
        <w:t xml:space="preserve">to the Health Department </w:t>
      </w:r>
      <w:r>
        <w:t xml:space="preserve">would be the easiest way for the </w:t>
      </w:r>
      <w:r w:rsidR="00B13A3A">
        <w:t xml:space="preserve">Prime Minister to exercise the </w:t>
      </w:r>
      <w:r>
        <w:t xml:space="preserve">emergency health powers </w:t>
      </w:r>
      <w:r w:rsidR="00A43123">
        <w:t>if</w:t>
      </w:r>
      <w:r>
        <w:t xml:space="preserve"> the Health Minister </w:t>
      </w:r>
      <w:proofErr w:type="gramStart"/>
      <w:r w:rsidR="00A43123">
        <w:t>was</w:t>
      </w:r>
      <w:proofErr w:type="gramEnd"/>
      <w:r w:rsidR="00A43123">
        <w:t xml:space="preserve"> </w:t>
      </w:r>
      <w:r>
        <w:t>incapacitated.</w:t>
      </w:r>
      <w:r w:rsidR="007C28D6">
        <w:t xml:space="preserve">  Despite doubts of Attorney General’s officials, that afternoon t</w:t>
      </w:r>
      <w:r>
        <w:t xml:space="preserve">he Prime Minister’s </w:t>
      </w:r>
      <w:r w:rsidR="00B13A3A">
        <w:t>Depart</w:t>
      </w:r>
      <w:r>
        <w:t xml:space="preserve">ment </w:t>
      </w:r>
      <w:proofErr w:type="gramStart"/>
      <w:r w:rsidR="00B13A3A">
        <w:t>was asked</w:t>
      </w:r>
      <w:proofErr w:type="gramEnd"/>
      <w:r w:rsidR="00B13A3A">
        <w:t xml:space="preserve"> </w:t>
      </w:r>
      <w:r>
        <w:t>to draft a relevant instrument</w:t>
      </w:r>
      <w:r w:rsidR="00B13A3A">
        <w:t xml:space="preserve"> - </w:t>
      </w:r>
      <w:r>
        <w:t>which was executed on 14 March.</w:t>
      </w:r>
    </w:p>
    <w:p w14:paraId="2B210A5B" w14:textId="1297C9AC" w:rsidR="00D132E6" w:rsidRDefault="00D132E6" w:rsidP="00A04090">
      <w:pPr>
        <w:spacing w:after="0" w:line="240" w:lineRule="auto"/>
      </w:pPr>
    </w:p>
    <w:p w14:paraId="3424A9AA" w14:textId="77777777" w:rsidR="004835DA" w:rsidRDefault="00533F24" w:rsidP="00A04090">
      <w:pPr>
        <w:spacing w:after="0" w:line="240" w:lineRule="auto"/>
      </w:pPr>
      <w:r>
        <w:t>F</w:t>
      </w:r>
      <w:r w:rsidR="00D132E6">
        <w:t>rom then and through 2020-21, the Prime Minister, his office and Department became increasingly enthusiastic about his being appointed to other portfolios</w:t>
      </w:r>
      <w:proofErr w:type="gramStart"/>
      <w:r w:rsidR="00D132E6">
        <w:t>.</w:t>
      </w:r>
      <w:r w:rsidR="004835DA">
        <w:t xml:space="preserve">  </w:t>
      </w:r>
      <w:proofErr w:type="gramEnd"/>
    </w:p>
    <w:p w14:paraId="746FB71B" w14:textId="4F51067A" w:rsidR="00D132E6" w:rsidRDefault="002953A1" w:rsidP="00A04090">
      <w:pPr>
        <w:spacing w:after="0" w:line="240" w:lineRule="auto"/>
      </w:pPr>
      <w:r>
        <w:lastRenderedPageBreak/>
        <w:t>R</w:t>
      </w:r>
      <w:r w:rsidR="00D132E6">
        <w:t>easons were no longer confined to the pandemic</w:t>
      </w:r>
      <w:proofErr w:type="gramStart"/>
      <w:r w:rsidR="00D132E6">
        <w:t xml:space="preserve">.  </w:t>
      </w:r>
      <w:proofErr w:type="gramEnd"/>
      <w:r w:rsidR="007C28D6">
        <w:t xml:space="preserve">The </w:t>
      </w:r>
      <w:r w:rsidR="009E56D1">
        <w:t xml:space="preserve">Inquiry </w:t>
      </w:r>
      <w:r w:rsidR="007C28D6">
        <w:t xml:space="preserve">report could not find sense in the reasons offered except for </w:t>
      </w:r>
      <w:r w:rsidR="009E56D1">
        <w:t xml:space="preserve">the </w:t>
      </w:r>
      <w:r w:rsidR="00D132E6">
        <w:t xml:space="preserve">appointment to the Industry </w:t>
      </w:r>
      <w:proofErr w:type="gramStart"/>
      <w:r w:rsidR="00D132E6">
        <w:t>etc.</w:t>
      </w:r>
      <w:proofErr w:type="gramEnd"/>
      <w:r w:rsidR="00D132E6">
        <w:t xml:space="preserve"> Department</w:t>
      </w:r>
      <w:proofErr w:type="gramStart"/>
      <w:r w:rsidR="009E56D1">
        <w:t>.</w:t>
      </w:r>
      <w:r w:rsidR="00096DE9">
        <w:t xml:space="preserve">  </w:t>
      </w:r>
      <w:proofErr w:type="gramEnd"/>
      <w:r w:rsidR="009E56D1">
        <w:t xml:space="preserve">That appointment </w:t>
      </w:r>
      <w:r w:rsidR="007C28D6">
        <w:t xml:space="preserve">would </w:t>
      </w:r>
      <w:r w:rsidR="009E56D1">
        <w:t xml:space="preserve">seem to </w:t>
      </w:r>
      <w:r w:rsidR="00D132E6">
        <w:t xml:space="preserve">allow the Prime Minister to overrule the Minister on </w:t>
      </w:r>
      <w:r w:rsidR="009E56D1">
        <w:t xml:space="preserve">whether to </w:t>
      </w:r>
      <w:r w:rsidR="0080792C">
        <w:t>refuse/</w:t>
      </w:r>
      <w:r w:rsidR="009E56D1">
        <w:t xml:space="preserve">grant </w:t>
      </w:r>
      <w:r w:rsidR="00D132E6">
        <w:t>a permit for gas exploration off the NSW central coast.</w:t>
      </w:r>
      <w:r w:rsidR="009E56D1">
        <w:rPr>
          <w:rStyle w:val="FootnoteReference"/>
        </w:rPr>
        <w:footnoteReference w:id="5"/>
      </w:r>
      <w:r w:rsidR="00D132E6">
        <w:t xml:space="preserve"> </w:t>
      </w:r>
    </w:p>
    <w:p w14:paraId="7CD07DF1" w14:textId="77777777" w:rsidR="00D132E6" w:rsidRDefault="00D132E6" w:rsidP="00A04090">
      <w:pPr>
        <w:spacing w:after="0" w:line="240" w:lineRule="auto"/>
      </w:pPr>
    </w:p>
    <w:p w14:paraId="3EBB9513" w14:textId="221A9B6F" w:rsidR="00533F24" w:rsidRDefault="00533F24" w:rsidP="00A04090">
      <w:pPr>
        <w:spacing w:after="0" w:line="240" w:lineRule="auto"/>
      </w:pPr>
      <w:r>
        <w:t xml:space="preserve">The report </w:t>
      </w:r>
      <w:r>
        <w:t>acknowledged the legality of a Minister being appointed to several Departments at one time</w:t>
      </w:r>
      <w:proofErr w:type="gramStart"/>
      <w:r>
        <w:t xml:space="preserve">.  </w:t>
      </w:r>
      <w:proofErr w:type="gramEnd"/>
      <w:r>
        <w:t>It also acknowledged the legality of a Department being administered by several Ministers</w:t>
      </w:r>
      <w:proofErr w:type="gramStart"/>
      <w:r>
        <w:t>.</w:t>
      </w:r>
      <w:r>
        <w:t xml:space="preserve">  </w:t>
      </w:r>
      <w:proofErr w:type="gramEnd"/>
      <w:r>
        <w:t>It</w:t>
      </w:r>
      <w:r>
        <w:t xml:space="preserve"> said the appointments </w:t>
      </w:r>
      <w:r>
        <w:t xml:space="preserve">were </w:t>
      </w:r>
      <w:r>
        <w:t>unnecessary</w:t>
      </w:r>
      <w:r>
        <w:t xml:space="preserve"> but, </w:t>
      </w:r>
      <w:r>
        <w:t>except</w:t>
      </w:r>
      <w:r w:rsidR="009E56D1">
        <w:t xml:space="preserve"> for</w:t>
      </w:r>
      <w:r>
        <w:t xml:space="preserve"> the </w:t>
      </w:r>
      <w:r w:rsidR="009E56D1">
        <w:t>permit for</w:t>
      </w:r>
      <w:r>
        <w:t xml:space="preserve"> gas exploration, had no practical effect.</w:t>
      </w:r>
      <w:r>
        <w:rPr>
          <w:rStyle w:val="FootnoteReference"/>
        </w:rPr>
        <w:footnoteReference w:id="6"/>
      </w:r>
      <w:r>
        <w:t xml:space="preserve">  </w:t>
      </w:r>
    </w:p>
    <w:p w14:paraId="37F4D5A7" w14:textId="77777777" w:rsidR="00D132E6" w:rsidRDefault="00D132E6" w:rsidP="00A04090">
      <w:pPr>
        <w:pStyle w:val="Heading3"/>
        <w:spacing w:before="0" w:line="240" w:lineRule="auto"/>
      </w:pPr>
    </w:p>
    <w:p w14:paraId="3273CBD7" w14:textId="4EB52778" w:rsidR="00D132E6" w:rsidRDefault="00F65B8C" w:rsidP="00A04090">
      <w:pPr>
        <w:spacing w:after="0" w:line="240" w:lineRule="auto"/>
      </w:pPr>
      <w:r>
        <w:t>According to the report, the main problem with the appointments was their secrecy</w:t>
      </w:r>
      <w:proofErr w:type="gramStart"/>
      <w:r>
        <w:t xml:space="preserve">.  </w:t>
      </w:r>
      <w:proofErr w:type="gramEnd"/>
      <w:r w:rsidR="00D132E6">
        <w:t xml:space="preserve">It considered </w:t>
      </w:r>
      <w:r w:rsidR="00533F24">
        <w:t xml:space="preserve">secrecy </w:t>
      </w:r>
      <w:r>
        <w:t>self</w:t>
      </w:r>
      <w:r w:rsidR="00533F24">
        <w:t>-</w:t>
      </w:r>
      <w:r>
        <w:t>evident</w:t>
      </w:r>
      <w:r w:rsidR="00533F24">
        <w:t>ly</w:t>
      </w:r>
      <w:r>
        <w:t xml:space="preserve"> </w:t>
      </w:r>
      <w:r w:rsidR="00D132E6">
        <w:t>prevent</w:t>
      </w:r>
      <w:r w:rsidR="00533F24">
        <w:t>ed</w:t>
      </w:r>
      <w:r w:rsidR="00D132E6">
        <w:t xml:space="preserve"> Parliament from holding the Prime Minister to account</w:t>
      </w:r>
      <w:proofErr w:type="gramStart"/>
      <w:r w:rsidR="00D132E6">
        <w:t xml:space="preserve">.  </w:t>
      </w:r>
      <w:proofErr w:type="gramEnd"/>
      <w:r>
        <w:t>As responsible government requires Parliament to hold Ministers to account, secrecy about the appointments undermined responsible government</w:t>
      </w:r>
      <w:proofErr w:type="gramStart"/>
      <w:r w:rsidR="00533F24">
        <w:t>.</w:t>
      </w:r>
      <w:r w:rsidR="00BE2990">
        <w:t xml:space="preserve"> </w:t>
      </w:r>
      <w:r w:rsidR="009E56D1">
        <w:t xml:space="preserve"> </w:t>
      </w:r>
      <w:proofErr w:type="gramEnd"/>
      <w:r w:rsidR="009E56D1">
        <w:t>Despite this, l</w:t>
      </w:r>
      <w:r w:rsidR="00BE2990">
        <w:t xml:space="preserve">ike the Solicitor General, it </w:t>
      </w:r>
      <w:r w:rsidR="00533F24">
        <w:t>said the appointments were valid</w:t>
      </w:r>
      <w:r w:rsidR="00BE2990">
        <w:t>.</w:t>
      </w:r>
      <w:r w:rsidR="00213E07">
        <w:rPr>
          <w:rStyle w:val="FootnoteReference"/>
        </w:rPr>
        <w:footnoteReference w:id="7"/>
      </w:r>
    </w:p>
    <w:p w14:paraId="66ED7F87" w14:textId="77777777" w:rsidR="00D132E6" w:rsidRDefault="00D132E6" w:rsidP="00A04090">
      <w:pPr>
        <w:spacing w:after="0" w:line="240" w:lineRule="auto"/>
      </w:pPr>
    </w:p>
    <w:p w14:paraId="40424D16" w14:textId="7B9F89C3" w:rsidR="00D132E6" w:rsidRDefault="00D132E6" w:rsidP="00A04090">
      <w:pPr>
        <w:spacing w:after="0" w:line="240" w:lineRule="auto"/>
      </w:pPr>
      <w:r>
        <w:t xml:space="preserve">The report made six recommendations, including legislation, to </w:t>
      </w:r>
      <w:r w:rsidR="00533F24">
        <w:t>avoid</w:t>
      </w:r>
      <w:r>
        <w:t xml:space="preserve"> such secrecy </w:t>
      </w:r>
      <w:r w:rsidR="00533F24">
        <w:t>in the future.</w:t>
      </w:r>
      <w:r>
        <w:t xml:space="preserve"> </w:t>
      </w:r>
    </w:p>
    <w:p w14:paraId="3A9517D0" w14:textId="77777777" w:rsidR="004835DA" w:rsidRDefault="004835DA" w:rsidP="00A04090">
      <w:pPr>
        <w:spacing w:after="0" w:line="240" w:lineRule="auto"/>
      </w:pPr>
    </w:p>
    <w:p w14:paraId="5424EB27" w14:textId="737405BA" w:rsidR="004835DA" w:rsidRDefault="004835DA" w:rsidP="00A04090">
      <w:pPr>
        <w:spacing w:after="0" w:line="240" w:lineRule="auto"/>
      </w:pPr>
      <w:r>
        <w:t xml:space="preserve">Following publication of the report, </w:t>
      </w:r>
      <w:r>
        <w:t xml:space="preserve">in late November </w:t>
      </w:r>
      <w:r w:rsidR="009E56D1">
        <w:t xml:space="preserve">the </w:t>
      </w:r>
      <w:r>
        <w:t xml:space="preserve">Labor </w:t>
      </w:r>
      <w:r w:rsidR="009E56D1">
        <w:t xml:space="preserve">Government </w:t>
      </w:r>
      <w:r>
        <w:t>moved to censure Mr Morrison in the House of Representatives</w:t>
      </w:r>
      <w:proofErr w:type="gramStart"/>
      <w:r w:rsidR="00B3286A">
        <w:t xml:space="preserve">.  </w:t>
      </w:r>
      <w:proofErr w:type="gramEnd"/>
      <w:r w:rsidR="00B3286A">
        <w:t>A</w:t>
      </w:r>
      <w:r>
        <w:t>fter Mr Morrison defended his actions as a product of the pandemic</w:t>
      </w:r>
      <w:r w:rsidR="00B3286A">
        <w:t>, t</w:t>
      </w:r>
      <w:r w:rsidR="00B3286A">
        <w:t xml:space="preserve">he motion was passed </w:t>
      </w:r>
      <w:proofErr w:type="gramStart"/>
      <w:r w:rsidR="00B3286A">
        <w:t>largely along</w:t>
      </w:r>
      <w:proofErr w:type="gramEnd"/>
      <w:r w:rsidR="00B3286A">
        <w:t xml:space="preserve"> party lines</w:t>
      </w:r>
      <w:r>
        <w:t>.</w:t>
      </w:r>
      <w:r>
        <w:rPr>
          <w:rStyle w:val="FootnoteReference"/>
        </w:rPr>
        <w:footnoteReference w:id="8"/>
      </w:r>
    </w:p>
    <w:p w14:paraId="4A94262D" w14:textId="77777777" w:rsidR="00D132E6" w:rsidRDefault="00D132E6" w:rsidP="00A04090">
      <w:pPr>
        <w:pStyle w:val="Heading2"/>
        <w:spacing w:before="0" w:line="240" w:lineRule="auto"/>
      </w:pPr>
    </w:p>
    <w:p w14:paraId="30895661" w14:textId="2FEABD5C" w:rsidR="00D132E6" w:rsidRDefault="00BF30CF" w:rsidP="00A04090">
      <w:pPr>
        <w:pStyle w:val="Heading2"/>
        <w:spacing w:before="0" w:line="240" w:lineRule="auto"/>
      </w:pPr>
      <w:bookmarkStart w:id="3" w:name="_Toc123473919"/>
      <w:r>
        <w:t>3</w:t>
      </w:r>
      <w:r w:rsidR="00D132E6">
        <w:t>.</w:t>
      </w:r>
      <w:r w:rsidR="00D132E6">
        <w:tab/>
        <w:t>Comments</w:t>
      </w:r>
      <w:bookmarkEnd w:id="3"/>
    </w:p>
    <w:p w14:paraId="6D3A82C0" w14:textId="54C27B0F" w:rsidR="001A1ECF" w:rsidRDefault="00BF30CF" w:rsidP="00A04090">
      <w:pPr>
        <w:pStyle w:val="Heading3"/>
        <w:spacing w:before="0" w:line="240" w:lineRule="auto"/>
      </w:pPr>
      <w:bookmarkStart w:id="4" w:name="_Toc123473920"/>
      <w:r>
        <w:t>3</w:t>
      </w:r>
      <w:r w:rsidR="001A1ECF">
        <w:t>.1</w:t>
      </w:r>
      <w:r w:rsidR="001A1ECF">
        <w:tab/>
        <w:t>Overview</w:t>
      </w:r>
      <w:bookmarkEnd w:id="4"/>
    </w:p>
    <w:p w14:paraId="5E522116" w14:textId="77777777" w:rsidR="00096DE9" w:rsidRDefault="00096DE9" w:rsidP="00A04090">
      <w:pPr>
        <w:spacing w:after="0" w:line="240" w:lineRule="auto"/>
      </w:pPr>
      <w:r>
        <w:t>The report identified the contribution to the fiasco of the Prime Minister’s Department</w:t>
      </w:r>
      <w:proofErr w:type="gramStart"/>
      <w:r>
        <w:t xml:space="preserve">.  </w:t>
      </w:r>
      <w:proofErr w:type="gramEnd"/>
      <w:r>
        <w:t>Apart from that it revealed few new facts.</w:t>
      </w:r>
    </w:p>
    <w:p w14:paraId="2735A1F9" w14:textId="77777777" w:rsidR="00096DE9" w:rsidRDefault="00096DE9" w:rsidP="00A04090">
      <w:pPr>
        <w:spacing w:after="0" w:line="240" w:lineRule="auto"/>
      </w:pPr>
    </w:p>
    <w:p w14:paraId="424DAADB" w14:textId="67ED5470" w:rsidR="001A1ECF" w:rsidRDefault="00D132E6" w:rsidP="00A04090">
      <w:pPr>
        <w:spacing w:after="0" w:line="240" w:lineRule="auto"/>
      </w:pPr>
      <w:r>
        <w:t xml:space="preserve">The report’s recommendations </w:t>
      </w:r>
      <w:r w:rsidR="0080792C">
        <w:t>we</w:t>
      </w:r>
      <w:r>
        <w:t>re sensible</w:t>
      </w:r>
      <w:r w:rsidR="00096DE9">
        <w:t xml:space="preserve"> but unduly limited</w:t>
      </w:r>
      <w:proofErr w:type="gramStart"/>
      <w:r w:rsidR="00096DE9">
        <w:t xml:space="preserve">.  </w:t>
      </w:r>
      <w:proofErr w:type="gramEnd"/>
      <w:r w:rsidR="00096DE9">
        <w:t>They d</w:t>
      </w:r>
      <w:r w:rsidR="0080792C">
        <w:t>id</w:t>
      </w:r>
      <w:r w:rsidR="00096DE9">
        <w:t xml:space="preserve"> not address </w:t>
      </w:r>
      <w:proofErr w:type="gramStart"/>
      <w:r w:rsidR="00096DE9">
        <w:t>some</w:t>
      </w:r>
      <w:proofErr w:type="gramEnd"/>
      <w:r w:rsidR="00096DE9">
        <w:t xml:space="preserve"> major problems exposed by the affair</w:t>
      </w:r>
      <w:r>
        <w:t>.</w:t>
      </w:r>
    </w:p>
    <w:p w14:paraId="7AA65559" w14:textId="77777777" w:rsidR="001A1ECF" w:rsidRDefault="001A1ECF" w:rsidP="00A04090">
      <w:pPr>
        <w:spacing w:after="0" w:line="240" w:lineRule="auto"/>
      </w:pPr>
    </w:p>
    <w:p w14:paraId="4631360A" w14:textId="028F2E26" w:rsidR="00802864" w:rsidRDefault="00096DE9" w:rsidP="00A04090">
      <w:pPr>
        <w:spacing w:after="0" w:line="240" w:lineRule="auto"/>
      </w:pPr>
      <w:r>
        <w:t>The report</w:t>
      </w:r>
      <w:r w:rsidR="001A1ECF">
        <w:t xml:space="preserve"> did not address the </w:t>
      </w:r>
      <w:proofErr w:type="gramStart"/>
      <w:r w:rsidR="0080792C">
        <w:t xml:space="preserve">main </w:t>
      </w:r>
      <w:r w:rsidR="001A1ECF">
        <w:t>issues</w:t>
      </w:r>
      <w:proofErr w:type="gramEnd"/>
      <w:r w:rsidR="001A1ECF">
        <w:t xml:space="preserve"> raised in my submission.  Hence</w:t>
      </w:r>
      <w:r w:rsidR="00B3286A">
        <w:t>,</w:t>
      </w:r>
      <w:r w:rsidR="001A1ECF">
        <w:t xml:space="preserve"> </w:t>
      </w:r>
      <w:r w:rsidR="00B3286A">
        <w:t xml:space="preserve">until corrected, </w:t>
      </w:r>
      <w:r w:rsidR="00802864">
        <w:t xml:space="preserve">my </w:t>
      </w:r>
      <w:r w:rsidR="006B7882">
        <w:t xml:space="preserve">prior comments about </w:t>
      </w:r>
      <w:r w:rsidR="00802864">
        <w:t xml:space="preserve">the situation </w:t>
      </w:r>
      <w:r w:rsidR="009E56D1">
        <w:t xml:space="preserve">stand as </w:t>
      </w:r>
      <w:r w:rsidR="00802864">
        <w:t>conclusions</w:t>
      </w:r>
      <w:r w:rsidR="009E56D1">
        <w:t xml:space="preserve"> and</w:t>
      </w:r>
      <w:r w:rsidR="00802864">
        <w:t>:</w:t>
      </w:r>
    </w:p>
    <w:p w14:paraId="0AA1BAB1" w14:textId="30D6FA50" w:rsidR="00802864" w:rsidRDefault="00802864" w:rsidP="00A04090">
      <w:pPr>
        <w:spacing w:after="0" w:line="240" w:lineRule="auto"/>
      </w:pPr>
      <w:r>
        <w:t>i.</w:t>
      </w:r>
      <w:r>
        <w:tab/>
        <w:t>the Solicitor General’s opinion was wrong, and the report was wrong to adopt it;</w:t>
      </w:r>
    </w:p>
    <w:p w14:paraId="7482B0E4" w14:textId="2C3BB00A" w:rsidR="00802864" w:rsidRDefault="00802864" w:rsidP="00A04090">
      <w:pPr>
        <w:spacing w:after="0" w:line="240" w:lineRule="auto"/>
        <w:ind w:left="720" w:hanging="720"/>
      </w:pPr>
      <w:r>
        <w:t>ii.</w:t>
      </w:r>
      <w:r>
        <w:tab/>
        <w:t xml:space="preserve">the </w:t>
      </w:r>
      <w:r w:rsidR="001E2701">
        <w:t xml:space="preserve">secret Ministries </w:t>
      </w:r>
      <w:r>
        <w:t xml:space="preserve">situation </w:t>
      </w:r>
      <w:r w:rsidR="009E56D1">
        <w:t>wa</w:t>
      </w:r>
      <w:r>
        <w:t xml:space="preserve">s not the main threat to responsible government arising from uncertainty about Ministerial </w:t>
      </w:r>
      <w:proofErr w:type="gramStart"/>
      <w:r>
        <w:t>etc.</w:t>
      </w:r>
      <w:proofErr w:type="gramEnd"/>
      <w:r>
        <w:t xml:space="preserve"> powers</w:t>
      </w:r>
      <w:r w:rsidR="009E56D1">
        <w:t xml:space="preserve"> during Mr Morrison’s administration</w:t>
      </w:r>
      <w:r>
        <w:t>.</w:t>
      </w:r>
      <w:r>
        <w:rPr>
          <w:rStyle w:val="FootnoteReference"/>
        </w:rPr>
        <w:footnoteReference w:id="9"/>
      </w:r>
    </w:p>
    <w:p w14:paraId="41E83609" w14:textId="77777777" w:rsidR="00802864" w:rsidRDefault="00802864" w:rsidP="00A04090">
      <w:pPr>
        <w:spacing w:after="0" w:line="240" w:lineRule="auto"/>
      </w:pPr>
    </w:p>
    <w:p w14:paraId="2BEDF1A2" w14:textId="45F08823" w:rsidR="00D132E6" w:rsidRDefault="001A1ECF" w:rsidP="00A04090">
      <w:pPr>
        <w:spacing w:after="0" w:line="240" w:lineRule="auto"/>
      </w:pPr>
      <w:r>
        <w:lastRenderedPageBreak/>
        <w:t>In my view</w:t>
      </w:r>
      <w:r w:rsidR="009E56D1">
        <w:t>,</w:t>
      </w:r>
      <w:r>
        <w:t xml:space="preserve"> </w:t>
      </w:r>
      <w:r w:rsidR="006B7882">
        <w:t>the Inquiry failed to take a critical</w:t>
      </w:r>
      <w:r>
        <w:t xml:space="preserve"> opportunity to ask Parliament and the Government to come to grips with threats to responsible government</w:t>
      </w:r>
      <w:r w:rsidR="009E56D1">
        <w:t xml:space="preserve"> that </w:t>
      </w:r>
      <w:proofErr w:type="gramStart"/>
      <w:r w:rsidR="009E56D1">
        <w:t>greatly expanded</w:t>
      </w:r>
      <w:proofErr w:type="gramEnd"/>
      <w:r w:rsidR="009E56D1">
        <w:t xml:space="preserve"> while Mr Morrison was Prime Minister</w:t>
      </w:r>
      <w:r w:rsidR="00D132E6">
        <w:t>.</w:t>
      </w:r>
      <w:r>
        <w:t xml:space="preserve">  In part this was due to weak analysis.</w:t>
      </w:r>
    </w:p>
    <w:p w14:paraId="10AAFBED" w14:textId="77777777" w:rsidR="00BA4BB7" w:rsidRDefault="00BA4BB7" w:rsidP="00A04090">
      <w:pPr>
        <w:spacing w:after="0" w:line="240" w:lineRule="auto"/>
      </w:pPr>
    </w:p>
    <w:p w14:paraId="711AA26A" w14:textId="7B7C8965" w:rsidR="00D132E6" w:rsidRDefault="00BF30CF" w:rsidP="00A04090">
      <w:pPr>
        <w:pStyle w:val="Heading3"/>
        <w:spacing w:before="0" w:line="240" w:lineRule="auto"/>
      </w:pPr>
      <w:bookmarkStart w:id="5" w:name="_Toc123473921"/>
      <w:r>
        <w:t>3</w:t>
      </w:r>
      <w:r w:rsidR="00D132E6">
        <w:t>.2</w:t>
      </w:r>
      <w:r w:rsidR="00D132E6">
        <w:tab/>
      </w:r>
      <w:r w:rsidR="00474708">
        <w:t>Secrecy</w:t>
      </w:r>
      <w:bookmarkEnd w:id="5"/>
      <w:r w:rsidR="00474708">
        <w:t xml:space="preserve"> </w:t>
      </w:r>
    </w:p>
    <w:p w14:paraId="6BDA19E0" w14:textId="0F742729" w:rsidR="001A1ECF" w:rsidRDefault="001A1ECF" w:rsidP="00A04090">
      <w:pPr>
        <w:spacing w:after="0" w:line="240" w:lineRule="auto"/>
      </w:pPr>
      <w:r>
        <w:t>The report’s analysis of the effect of s</w:t>
      </w:r>
      <w:r w:rsidR="00D132E6">
        <w:t>ecre</w:t>
      </w:r>
      <w:r>
        <w:t>t Ministerial appointments was weak.</w:t>
      </w:r>
    </w:p>
    <w:p w14:paraId="7EB08BAC" w14:textId="77777777" w:rsidR="007E1646" w:rsidRDefault="007E1646" w:rsidP="00A04090">
      <w:pPr>
        <w:spacing w:after="0" w:line="240" w:lineRule="auto"/>
      </w:pPr>
    </w:p>
    <w:p w14:paraId="0CBBCCC9" w14:textId="3C25F9C8" w:rsidR="00A46EC4" w:rsidRDefault="007E1646" w:rsidP="00A04090">
      <w:pPr>
        <w:spacing w:after="0" w:line="240" w:lineRule="auto"/>
      </w:pPr>
      <w:r>
        <w:t>A</w:t>
      </w:r>
      <w:r w:rsidR="00D132E6">
        <w:t xml:space="preserve">dverse effects of official secrecy – uncertainty about democratic authority - </w:t>
      </w:r>
      <w:r>
        <w:t>arise</w:t>
      </w:r>
      <w:r w:rsidR="00D132E6">
        <w:t xml:space="preserve"> if those who do not know the true </w:t>
      </w:r>
      <w:proofErr w:type="gramStart"/>
      <w:r w:rsidR="00D132E6">
        <w:t>state of affairs</w:t>
      </w:r>
      <w:proofErr w:type="gramEnd"/>
      <w:r w:rsidR="00D132E6">
        <w:t xml:space="preserve"> do what they otherwise would not.  </w:t>
      </w:r>
      <w:r w:rsidR="00A46EC4">
        <w:t xml:space="preserve">That occurs if </w:t>
      </w:r>
      <w:r w:rsidR="00D132E6">
        <w:t xml:space="preserve">those in a position of public trust </w:t>
      </w:r>
      <w:r w:rsidR="00D132E6" w:rsidRPr="00FD0F6E">
        <w:rPr>
          <w:i/>
          <w:iCs/>
        </w:rPr>
        <w:t xml:space="preserve">exceed </w:t>
      </w:r>
      <w:r w:rsidR="00D132E6" w:rsidRPr="009C7758">
        <w:t>– rather than underutilis</w:t>
      </w:r>
      <w:r w:rsidR="00A46EC4">
        <w:t>e</w:t>
      </w:r>
      <w:r w:rsidR="00D132E6">
        <w:rPr>
          <w:i/>
          <w:iCs/>
        </w:rPr>
        <w:t xml:space="preserve"> - </w:t>
      </w:r>
      <w:r w:rsidR="00D132E6">
        <w:t>their authority</w:t>
      </w:r>
      <w:proofErr w:type="gramStart"/>
      <w:r w:rsidR="00D132E6">
        <w:t xml:space="preserve">.  </w:t>
      </w:r>
      <w:proofErr w:type="gramEnd"/>
    </w:p>
    <w:p w14:paraId="2E4B0B6A" w14:textId="77777777" w:rsidR="00A46EC4" w:rsidRDefault="00A46EC4" w:rsidP="00A04090">
      <w:pPr>
        <w:spacing w:after="0" w:line="240" w:lineRule="auto"/>
      </w:pPr>
    </w:p>
    <w:p w14:paraId="219EDF36" w14:textId="2384D14F" w:rsidR="00BA4BB7" w:rsidRDefault="00D132E6" w:rsidP="00A04090">
      <w:pPr>
        <w:spacing w:after="0" w:line="240" w:lineRule="auto"/>
      </w:pPr>
      <w:r>
        <w:t xml:space="preserve">The </w:t>
      </w:r>
      <w:r w:rsidR="00BA4BB7">
        <w:t xml:space="preserve">secret that is a direct threat to responsible government – and democracy - is the one in which </w:t>
      </w:r>
      <w:r w:rsidR="00A46EC4">
        <w:t xml:space="preserve">those in a position of public trust </w:t>
      </w:r>
      <w:r w:rsidR="00BA4BB7">
        <w:t xml:space="preserve">disguise the </w:t>
      </w:r>
      <w:r>
        <w:t>limits of the</w:t>
      </w:r>
      <w:r w:rsidR="00BA4BB7">
        <w:t>ir</w:t>
      </w:r>
      <w:r>
        <w:t xml:space="preserve"> </w:t>
      </w:r>
      <w:r w:rsidR="00BA4BB7">
        <w:t xml:space="preserve">legal </w:t>
      </w:r>
      <w:r>
        <w:t>powers</w:t>
      </w:r>
      <w:proofErr w:type="gramStart"/>
      <w:r w:rsidR="00BA4BB7">
        <w:t>.</w:t>
      </w:r>
      <w:r>
        <w:t xml:space="preserve"> </w:t>
      </w:r>
      <w:r w:rsidR="00BA4BB7">
        <w:t xml:space="preserve"> </w:t>
      </w:r>
      <w:proofErr w:type="gramEnd"/>
      <w:r w:rsidR="00BA4BB7">
        <w:t>Or pretend there are few if any limits</w:t>
      </w:r>
      <w:proofErr w:type="gramStart"/>
      <w:r>
        <w:t xml:space="preserve">.  </w:t>
      </w:r>
      <w:proofErr w:type="gramEnd"/>
      <w:r w:rsidR="00BA4BB7">
        <w:t>And issue orders or make determinations they know are beyond their legal authority, with an expectation</w:t>
      </w:r>
      <w:r w:rsidR="00BF1DCC">
        <w:t xml:space="preserve"> of not being challenged – </w:t>
      </w:r>
      <w:r w:rsidR="007E64AA">
        <w:t>i.e.,</w:t>
      </w:r>
      <w:r w:rsidR="00BF1DCC">
        <w:t xml:space="preserve"> bluff</w:t>
      </w:r>
      <w:proofErr w:type="gramStart"/>
      <w:r w:rsidR="00BF1DCC">
        <w:t xml:space="preserve">.  </w:t>
      </w:r>
      <w:proofErr w:type="gramEnd"/>
      <w:r w:rsidR="00BF1DCC">
        <w:t>Professor Twomey called this ‘</w:t>
      </w:r>
      <w:r w:rsidR="00BF1DCC" w:rsidRPr="00A76EE8">
        <w:rPr>
          <w:i/>
          <w:iCs/>
        </w:rPr>
        <w:t>democratic decay</w:t>
      </w:r>
      <w:r w:rsidR="00BF1DCC">
        <w:t>’ using the example of Commonwealth Government spending not authorised by the Constitution.</w:t>
      </w:r>
      <w:r w:rsidR="00BF1DCC">
        <w:rPr>
          <w:rStyle w:val="FootnoteReference"/>
        </w:rPr>
        <w:footnoteReference w:id="10"/>
      </w:r>
      <w:r w:rsidR="00BA4BB7">
        <w:t xml:space="preserve"> </w:t>
      </w:r>
    </w:p>
    <w:p w14:paraId="1D61AF61" w14:textId="77777777" w:rsidR="00BA4BB7" w:rsidRDefault="00BA4BB7" w:rsidP="00A04090">
      <w:pPr>
        <w:spacing w:after="0" w:line="240" w:lineRule="auto"/>
      </w:pPr>
    </w:p>
    <w:p w14:paraId="114945A9" w14:textId="6C52E21B" w:rsidR="00D132E6" w:rsidRDefault="007E1646" w:rsidP="00A04090">
      <w:pPr>
        <w:spacing w:after="0" w:line="240" w:lineRule="auto"/>
      </w:pPr>
      <w:r>
        <w:t xml:space="preserve">That was not the </w:t>
      </w:r>
      <w:r w:rsidR="00BF1DCC">
        <w:t>type of secret held by</w:t>
      </w:r>
      <w:r>
        <w:t xml:space="preserve"> Mr Morrison</w:t>
      </w:r>
      <w:r w:rsidR="00BF1DCC">
        <w:t xml:space="preserve"> in this affair</w:t>
      </w:r>
      <w:proofErr w:type="gramStart"/>
      <w:r w:rsidR="00BF1DCC">
        <w:t xml:space="preserve">.  </w:t>
      </w:r>
      <w:proofErr w:type="gramEnd"/>
      <w:r w:rsidR="00BF1DCC">
        <w:t>Hence,</w:t>
      </w:r>
      <w:r>
        <w:t xml:space="preserve"> the secret appointments had no practical </w:t>
      </w:r>
      <w:r w:rsidR="00474708">
        <w:t xml:space="preserve">– </w:t>
      </w:r>
      <w:r w:rsidR="00BF1DCC">
        <w:t xml:space="preserve">direct, </w:t>
      </w:r>
      <w:proofErr w:type="gramStart"/>
      <w:r w:rsidR="00474708">
        <w:t>immediate</w:t>
      </w:r>
      <w:proofErr w:type="gramEnd"/>
      <w:r w:rsidR="00474708">
        <w:t xml:space="preserve"> and visible - </w:t>
      </w:r>
      <w:r>
        <w:t>effect.</w:t>
      </w:r>
      <w:r w:rsidR="00D132E6">
        <w:rPr>
          <w:rStyle w:val="FootnoteReference"/>
        </w:rPr>
        <w:footnoteReference w:id="11"/>
      </w:r>
    </w:p>
    <w:p w14:paraId="071F5E80" w14:textId="77777777" w:rsidR="007E1646" w:rsidRDefault="007E1646" w:rsidP="00A04090">
      <w:pPr>
        <w:spacing w:after="0" w:line="240" w:lineRule="auto"/>
      </w:pPr>
    </w:p>
    <w:p w14:paraId="2A60D207" w14:textId="42D4D08E" w:rsidR="00D132E6" w:rsidRDefault="007E1646" w:rsidP="00A04090">
      <w:pPr>
        <w:spacing w:after="0" w:line="240" w:lineRule="auto"/>
      </w:pPr>
      <w:r>
        <w:t xml:space="preserve">The </w:t>
      </w:r>
      <w:r w:rsidR="00D132E6">
        <w:t>report</w:t>
      </w:r>
      <w:r>
        <w:t>, however,</w:t>
      </w:r>
      <w:r w:rsidR="00D132E6">
        <w:t xml:space="preserve"> </w:t>
      </w:r>
      <w:r w:rsidR="00BF1DCC">
        <w:t>ascribed</w:t>
      </w:r>
      <w:r w:rsidR="00D132E6">
        <w:t xml:space="preserve"> the </w:t>
      </w:r>
      <w:r>
        <w:t xml:space="preserve">lack of practical effect to </w:t>
      </w:r>
      <w:r w:rsidR="00D132E6">
        <w:t xml:space="preserve">Mr Morrison </w:t>
      </w:r>
      <w:r>
        <w:t>(</w:t>
      </w:r>
      <w:r w:rsidR="00D132E6">
        <w:t>largely</w:t>
      </w:r>
      <w:r>
        <w:t>)</w:t>
      </w:r>
      <w:r w:rsidR="00D132E6">
        <w:t xml:space="preserve"> not exercising any secret power</w:t>
      </w:r>
      <w:proofErr w:type="gramStart"/>
      <w:r w:rsidR="00D132E6">
        <w:t xml:space="preserve">.  </w:t>
      </w:r>
      <w:proofErr w:type="gramEnd"/>
      <w:r>
        <w:t xml:space="preserve">That observation was trite – if he exercised a </w:t>
      </w:r>
      <w:r w:rsidR="007E64AA">
        <w:t>power,</w:t>
      </w:r>
      <w:r>
        <w:t xml:space="preserve"> it would no longer be secret</w:t>
      </w:r>
      <w:proofErr w:type="gramStart"/>
      <w:r w:rsidR="00474708">
        <w:t xml:space="preserve">.  </w:t>
      </w:r>
      <w:proofErr w:type="gramEnd"/>
      <w:r w:rsidR="00BF1DCC">
        <w:t xml:space="preserve">Yet it </w:t>
      </w:r>
      <w:r w:rsidR="0080792C">
        <w:t>was</w:t>
      </w:r>
      <w:r w:rsidR="00BF1DCC">
        <w:t xml:space="preserve"> significant as misleading</w:t>
      </w:r>
      <w:r w:rsidR="00D132E6">
        <w:t xml:space="preserve"> away from the </w:t>
      </w:r>
      <w:proofErr w:type="gramStart"/>
      <w:r w:rsidR="00D132E6">
        <w:t>important point</w:t>
      </w:r>
      <w:proofErr w:type="gramEnd"/>
      <w:r w:rsidR="00BF1DCC">
        <w:t>:</w:t>
      </w:r>
      <w:r w:rsidR="00474708">
        <w:t xml:space="preserve"> the adverse effect</w:t>
      </w:r>
      <w:r w:rsidR="00BF1DCC">
        <w:t>s</w:t>
      </w:r>
      <w:r w:rsidR="00474708">
        <w:t xml:space="preserve"> </w:t>
      </w:r>
      <w:r w:rsidR="00A46EC4">
        <w:t xml:space="preserve">of </w:t>
      </w:r>
      <w:r w:rsidR="00BF1DCC">
        <w:t>this affair</w:t>
      </w:r>
      <w:r w:rsidR="00A46EC4">
        <w:t xml:space="preserve"> are</w:t>
      </w:r>
      <w:r w:rsidR="00474708">
        <w:t xml:space="preserve"> </w:t>
      </w:r>
      <w:r w:rsidR="00BF1DCC">
        <w:t xml:space="preserve">indirect - </w:t>
      </w:r>
      <w:r w:rsidR="00474708">
        <w:t xml:space="preserve">not immediate </w:t>
      </w:r>
      <w:r w:rsidR="00BF1DCC">
        <w:t>or</w:t>
      </w:r>
      <w:r w:rsidR="00474708">
        <w:t xml:space="preserve"> visible.</w:t>
      </w:r>
      <w:r w:rsidR="00D132E6">
        <w:rPr>
          <w:rStyle w:val="FootnoteReference"/>
        </w:rPr>
        <w:footnoteReference w:id="12"/>
      </w:r>
    </w:p>
    <w:p w14:paraId="5F663241" w14:textId="77777777" w:rsidR="00D132E6" w:rsidRDefault="00D132E6" w:rsidP="00A04090">
      <w:pPr>
        <w:spacing w:after="0" w:line="240" w:lineRule="auto"/>
      </w:pPr>
    </w:p>
    <w:p w14:paraId="6EA2CE0A" w14:textId="6D8C9284" w:rsidR="00D132E6" w:rsidRDefault="00474708" w:rsidP="00A04090">
      <w:pPr>
        <w:spacing w:after="0" w:line="240" w:lineRule="auto"/>
      </w:pPr>
      <w:r>
        <w:t>Th</w:t>
      </w:r>
      <w:r w:rsidR="00BF1DCC">
        <w:t>os</w:t>
      </w:r>
      <w:r>
        <w:t xml:space="preserve">e </w:t>
      </w:r>
      <w:r w:rsidR="00A46EC4">
        <w:t>adverse effect</w:t>
      </w:r>
      <w:r w:rsidR="00BF1DCC">
        <w:t>s are the</w:t>
      </w:r>
      <w:r w:rsidR="00A46EC4">
        <w:t xml:space="preserve"> adding to</w:t>
      </w:r>
      <w:r>
        <w:t xml:space="preserve"> </w:t>
      </w:r>
      <w:r w:rsidR="00BF1DCC">
        <w:t xml:space="preserve">an </w:t>
      </w:r>
      <w:r>
        <w:t xml:space="preserve">environment of uncertainty </w:t>
      </w:r>
      <w:r w:rsidR="00A46EC4">
        <w:t>about who holds legitimate power</w:t>
      </w:r>
      <w:proofErr w:type="gramStart"/>
      <w:r w:rsidR="00A46EC4">
        <w:t xml:space="preserve">.  </w:t>
      </w:r>
      <w:proofErr w:type="gramEnd"/>
      <w:r w:rsidR="00A46EC4">
        <w:t>It creates</w:t>
      </w:r>
      <w:r>
        <w:t xml:space="preserve"> </w:t>
      </w:r>
      <w:r w:rsidR="00D132E6">
        <w:t>new possibilities for others</w:t>
      </w:r>
      <w:r>
        <w:t xml:space="preserve"> to</w:t>
      </w:r>
      <w:r w:rsidR="00D132E6">
        <w:t xml:space="preserve"> </w:t>
      </w:r>
      <w:r w:rsidR="00A46EC4">
        <w:t>exaggerat</w:t>
      </w:r>
      <w:r w:rsidR="00BF1DCC">
        <w:t>e</w:t>
      </w:r>
      <w:r w:rsidR="00D132E6">
        <w:t xml:space="preserve"> the extent of the</w:t>
      </w:r>
      <w:r w:rsidR="00BF1DCC">
        <w:t>ir powers</w:t>
      </w:r>
      <w:proofErr w:type="gramStart"/>
      <w:r w:rsidR="00D132E6">
        <w:t xml:space="preserve">.  </w:t>
      </w:r>
      <w:proofErr w:type="gramEnd"/>
    </w:p>
    <w:p w14:paraId="76C73B15" w14:textId="77777777" w:rsidR="00D132E6" w:rsidRDefault="00D132E6" w:rsidP="00A04090">
      <w:pPr>
        <w:spacing w:after="0" w:line="240" w:lineRule="auto"/>
      </w:pPr>
    </w:p>
    <w:p w14:paraId="543292BB" w14:textId="1B1F43DA" w:rsidR="00D132E6" w:rsidRDefault="0096289E" w:rsidP="00A04090">
      <w:pPr>
        <w:spacing w:after="0" w:line="240" w:lineRule="auto"/>
      </w:pPr>
      <w:r>
        <w:t>S</w:t>
      </w:r>
      <w:r w:rsidR="00D132E6">
        <w:t xml:space="preserve">ome such </w:t>
      </w:r>
      <w:r w:rsidR="00A46EC4">
        <w:t>exaggerations</w:t>
      </w:r>
      <w:r w:rsidR="00D132E6">
        <w:t xml:space="preserve"> were made in responses to the pandemic, especially at State level</w:t>
      </w:r>
      <w:r>
        <w:t>, for which there has been no accounting</w:t>
      </w:r>
      <w:proofErr w:type="gramStart"/>
      <w:r w:rsidR="00D132E6">
        <w:t xml:space="preserve">.  </w:t>
      </w:r>
      <w:proofErr w:type="gramEnd"/>
      <w:r w:rsidR="00D132E6">
        <w:t>That is among the reasons a Royal Commission into pandemic responses is needed</w:t>
      </w:r>
      <w:proofErr w:type="gramStart"/>
      <w:r w:rsidR="00D132E6">
        <w:t xml:space="preserve">.  </w:t>
      </w:r>
      <w:proofErr w:type="gramEnd"/>
      <w:r w:rsidR="00D132E6">
        <w:t xml:space="preserve">In the absence of such an inquiry, suspicions about abuse of power will fester – in </w:t>
      </w:r>
      <w:proofErr w:type="gramStart"/>
      <w:r w:rsidR="00D132E6">
        <w:t>some</w:t>
      </w:r>
      <w:proofErr w:type="gramEnd"/>
      <w:r w:rsidR="00D132E6">
        <w:t xml:space="preserve"> individuals well beyond what is </w:t>
      </w:r>
      <w:r w:rsidR="00027AC7">
        <w:t>justified</w:t>
      </w:r>
      <w:r w:rsidR="00D132E6">
        <w:t xml:space="preserve"> into paranoid anti-authority sentiment.</w:t>
      </w:r>
      <w:r w:rsidR="00D132E6">
        <w:rPr>
          <w:rStyle w:val="FootnoteReference"/>
        </w:rPr>
        <w:footnoteReference w:id="13"/>
      </w:r>
      <w:r w:rsidR="00D132E6">
        <w:t xml:space="preserve">  </w:t>
      </w:r>
    </w:p>
    <w:p w14:paraId="38ED2FF9" w14:textId="77777777" w:rsidR="00D132E6" w:rsidRDefault="00D132E6" w:rsidP="00A04090">
      <w:pPr>
        <w:spacing w:after="0" w:line="240" w:lineRule="auto"/>
      </w:pPr>
    </w:p>
    <w:p w14:paraId="7E564589" w14:textId="3F7F8102" w:rsidR="00D132E6" w:rsidRDefault="00BF30CF" w:rsidP="00A04090">
      <w:pPr>
        <w:pStyle w:val="Heading3"/>
        <w:spacing w:before="0" w:line="240" w:lineRule="auto"/>
      </w:pPr>
      <w:bookmarkStart w:id="6" w:name="_Toc123473922"/>
      <w:r>
        <w:t>3</w:t>
      </w:r>
      <w:r w:rsidR="00D132E6">
        <w:t>.3</w:t>
      </w:r>
      <w:r w:rsidR="00D132E6">
        <w:tab/>
        <w:t>Responsible government</w:t>
      </w:r>
      <w:r w:rsidR="00404D29">
        <w:t xml:space="preserve"> (a) – Parliament</w:t>
      </w:r>
      <w:bookmarkEnd w:id="6"/>
      <w:r w:rsidR="00404D29">
        <w:t xml:space="preserve"> </w:t>
      </w:r>
    </w:p>
    <w:p w14:paraId="0248E8F6" w14:textId="0B8D3DF7" w:rsidR="00474708" w:rsidRDefault="00D132E6" w:rsidP="00A04090">
      <w:pPr>
        <w:spacing w:after="0" w:line="240" w:lineRule="auto"/>
      </w:pPr>
      <w:r>
        <w:t>The report</w:t>
      </w:r>
      <w:r w:rsidR="00474708">
        <w:t>’s analysis of the effect of secrecy on responsible government was also weak.</w:t>
      </w:r>
    </w:p>
    <w:p w14:paraId="68DA00D0" w14:textId="77777777" w:rsidR="00EA72A8" w:rsidRDefault="00EA72A8" w:rsidP="00A04090">
      <w:pPr>
        <w:spacing w:after="0" w:line="240" w:lineRule="auto"/>
      </w:pPr>
    </w:p>
    <w:p w14:paraId="602E0FC5" w14:textId="16CD2B7A" w:rsidR="0096289E" w:rsidRDefault="00EA72A8" w:rsidP="00A04090">
      <w:pPr>
        <w:spacing w:after="0" w:line="240" w:lineRule="auto"/>
      </w:pPr>
      <w:r>
        <w:t>It</w:t>
      </w:r>
      <w:r w:rsidR="00D132E6">
        <w:t xml:space="preserve"> said responsible government was undermined because Parliament was unable to hold Mr Morrison to account </w:t>
      </w:r>
      <w:r w:rsidR="007A0DF3">
        <w:t xml:space="preserve">– by questioning etc. - </w:t>
      </w:r>
      <w:r w:rsidR="00D132E6">
        <w:t xml:space="preserve">about </w:t>
      </w:r>
      <w:r w:rsidR="007A0DF3">
        <w:t xml:space="preserve">secret </w:t>
      </w:r>
      <w:r w:rsidR="00D132E6">
        <w:t>responsibilities</w:t>
      </w:r>
      <w:proofErr w:type="gramStart"/>
      <w:r w:rsidR="00D132E6">
        <w:t xml:space="preserve">.  </w:t>
      </w:r>
      <w:proofErr w:type="gramEnd"/>
      <w:r w:rsidR="007A0DF3">
        <w:t>T</w:t>
      </w:r>
      <w:r w:rsidR="00D132E6">
        <w:t>h</w:t>
      </w:r>
      <w:r w:rsidR="00A824A6">
        <w:t xml:space="preserve">at inability </w:t>
      </w:r>
      <w:proofErr w:type="gramStart"/>
      <w:r w:rsidR="00D132E6">
        <w:t xml:space="preserve">was </w:t>
      </w:r>
      <w:r w:rsidR="007A0DF3">
        <w:t>seen</w:t>
      </w:r>
      <w:proofErr w:type="gramEnd"/>
      <w:r w:rsidR="007A0DF3">
        <w:t xml:space="preserve"> to be </w:t>
      </w:r>
      <w:r w:rsidR="00D132E6">
        <w:t xml:space="preserve">‘self-evident’ </w:t>
      </w:r>
      <w:r w:rsidR="007A0DF3">
        <w:t>as</w:t>
      </w:r>
      <w:r w:rsidR="00D132E6">
        <w:t xml:space="preserve"> Parliament did not know the extent of his responsibilities.</w:t>
      </w:r>
      <w:r w:rsidR="007A0DF3">
        <w:t xml:space="preserve"> </w:t>
      </w:r>
    </w:p>
    <w:p w14:paraId="4EB6900E" w14:textId="621FD5ED" w:rsidR="00D132E6" w:rsidRDefault="007A0DF3" w:rsidP="00A04090">
      <w:pPr>
        <w:spacing w:after="0" w:line="240" w:lineRule="auto"/>
      </w:pPr>
      <w:r>
        <w:lastRenderedPageBreak/>
        <w:t>That conclusion was wrong</w:t>
      </w:r>
      <w:r w:rsidR="00A46EC4">
        <w:t xml:space="preserve"> and distracted from the </w:t>
      </w:r>
      <w:proofErr w:type="gramStart"/>
      <w:r w:rsidR="00A46EC4">
        <w:t>important point</w:t>
      </w:r>
      <w:proofErr w:type="gramEnd"/>
      <w:r>
        <w:t>.</w:t>
      </w:r>
      <w:r w:rsidR="00D132E6">
        <w:rPr>
          <w:rStyle w:val="FootnoteReference"/>
        </w:rPr>
        <w:footnoteReference w:id="14"/>
      </w:r>
    </w:p>
    <w:p w14:paraId="0E06C240" w14:textId="77777777" w:rsidR="00A46EC4" w:rsidRDefault="00A46EC4" w:rsidP="00A04090">
      <w:pPr>
        <w:spacing w:after="0" w:line="240" w:lineRule="auto"/>
      </w:pPr>
    </w:p>
    <w:p w14:paraId="21562EFC" w14:textId="5222779D" w:rsidR="00D132E6" w:rsidRDefault="00A46EC4" w:rsidP="00A04090">
      <w:pPr>
        <w:spacing w:after="0" w:line="240" w:lineRule="auto"/>
      </w:pPr>
      <w:r>
        <w:t xml:space="preserve">It </w:t>
      </w:r>
      <w:proofErr w:type="gramStart"/>
      <w:r>
        <w:t xml:space="preserve">was wrong because </w:t>
      </w:r>
      <w:r w:rsidR="00D132E6">
        <w:t>at all times</w:t>
      </w:r>
      <w:proofErr w:type="gramEnd"/>
      <w:r w:rsidR="00D132E6">
        <w:t xml:space="preserve"> </w:t>
      </w:r>
      <w:r w:rsidR="00D370B2">
        <w:t xml:space="preserve">Parliament </w:t>
      </w:r>
      <w:r w:rsidR="00D132E6">
        <w:t xml:space="preserve">knew the identity of a Minister responsible for the administration of each Department.  There was never a diminution of the Government’s accountability to Parliament – </w:t>
      </w:r>
      <w:r w:rsidR="0096289E">
        <w:t>via</w:t>
      </w:r>
      <w:r w:rsidR="00D132E6">
        <w:t xml:space="preserve"> the legislature’s ability to watch the Government.</w:t>
      </w:r>
    </w:p>
    <w:p w14:paraId="02553F16" w14:textId="77777777" w:rsidR="00D132E6" w:rsidRDefault="00D132E6" w:rsidP="00A04090">
      <w:pPr>
        <w:spacing w:after="0" w:line="240" w:lineRule="auto"/>
      </w:pPr>
    </w:p>
    <w:p w14:paraId="1B61D1B0" w14:textId="6C187DEB" w:rsidR="00D132E6" w:rsidRDefault="003150B3" w:rsidP="00A04090">
      <w:pPr>
        <w:spacing w:after="0" w:line="240" w:lineRule="auto"/>
      </w:pPr>
      <w:r>
        <w:t>Further</w:t>
      </w:r>
      <w:r w:rsidR="00D370B2">
        <w:t xml:space="preserve">, </w:t>
      </w:r>
      <w:r w:rsidR="00FA648C">
        <w:t xml:space="preserve">Mr Morrison </w:t>
      </w:r>
      <w:r w:rsidR="00FA648C" w:rsidRPr="00FA648C">
        <w:rPr>
          <w:i/>
          <w:iCs/>
        </w:rPr>
        <w:t xml:space="preserve">was </w:t>
      </w:r>
      <w:r w:rsidR="00D132E6" w:rsidRPr="007A0DF3">
        <w:rPr>
          <w:i/>
          <w:iCs/>
        </w:rPr>
        <w:t>question</w:t>
      </w:r>
      <w:r w:rsidR="00FA648C">
        <w:rPr>
          <w:i/>
          <w:iCs/>
        </w:rPr>
        <w:t>ed</w:t>
      </w:r>
      <w:r w:rsidR="00D132E6" w:rsidRPr="007A0DF3">
        <w:rPr>
          <w:i/>
          <w:iCs/>
        </w:rPr>
        <w:t xml:space="preserve"> and challenge</w:t>
      </w:r>
      <w:r w:rsidR="00FA648C">
        <w:rPr>
          <w:i/>
          <w:iCs/>
        </w:rPr>
        <w:t>d in Parliament</w:t>
      </w:r>
      <w:r w:rsidR="007A0DF3">
        <w:t xml:space="preserve"> </w:t>
      </w:r>
      <w:r w:rsidR="00D132E6">
        <w:t>about matters outside the Prime Minister’s portfolio</w:t>
      </w:r>
      <w:proofErr w:type="gramStart"/>
      <w:r w:rsidR="00D132E6">
        <w:t xml:space="preserve">.  </w:t>
      </w:r>
      <w:proofErr w:type="gramEnd"/>
      <w:r w:rsidR="00027AC7">
        <w:t>Including about pandemic responses on multiple occasions, ‘without notice’ b</w:t>
      </w:r>
      <w:r w:rsidR="00027AC7">
        <w:t xml:space="preserve">y </w:t>
      </w:r>
      <w:r w:rsidR="00027AC7">
        <w:t xml:space="preserve">the </w:t>
      </w:r>
      <w:r w:rsidR="00027AC7">
        <w:t xml:space="preserve">Opposition </w:t>
      </w:r>
      <w:r w:rsidR="00FA648C">
        <w:t xml:space="preserve">including its </w:t>
      </w:r>
      <w:r w:rsidR="00027AC7">
        <w:t>leader Mr Albanese</w:t>
      </w:r>
      <w:proofErr w:type="gramStart"/>
      <w:r w:rsidR="00027AC7">
        <w:t xml:space="preserve">.  </w:t>
      </w:r>
      <w:proofErr w:type="gramEnd"/>
      <w:r w:rsidR="007A0DF3">
        <w:t xml:space="preserve">So much for </w:t>
      </w:r>
      <w:r w:rsidR="00FA648C">
        <w:t>the</w:t>
      </w:r>
      <w:r w:rsidR="007A0DF3">
        <w:t xml:space="preserve"> ‘self-evident’ inability </w:t>
      </w:r>
      <w:r w:rsidR="00FA648C">
        <w:t xml:space="preserve">of them </w:t>
      </w:r>
      <w:r w:rsidR="007A0DF3">
        <w:t>to do so</w:t>
      </w:r>
      <w:r w:rsidR="00D132E6">
        <w:t>.</w:t>
      </w:r>
      <w:r w:rsidR="00027AC7">
        <w:rPr>
          <w:rStyle w:val="FootnoteReference"/>
        </w:rPr>
        <w:footnoteReference w:id="15"/>
      </w:r>
      <w:r w:rsidR="00D132E6">
        <w:t xml:space="preserve">  </w:t>
      </w:r>
    </w:p>
    <w:p w14:paraId="12B6043D" w14:textId="77777777" w:rsidR="00D132E6" w:rsidRDefault="00D132E6" w:rsidP="00A04090">
      <w:pPr>
        <w:spacing w:after="0" w:line="240" w:lineRule="auto"/>
      </w:pPr>
    </w:p>
    <w:p w14:paraId="57BC338A" w14:textId="5FEABEA8" w:rsidR="00D132E6" w:rsidRDefault="003150B3" w:rsidP="00A04090">
      <w:pPr>
        <w:spacing w:after="0" w:line="240" w:lineRule="auto"/>
      </w:pPr>
      <w:r>
        <w:t>S</w:t>
      </w:r>
      <w:r w:rsidR="00FA648C">
        <w:t xml:space="preserve">ome </w:t>
      </w:r>
      <w:r w:rsidR="007A0DF3">
        <w:t xml:space="preserve">Parliamentarians engaged in such questioning </w:t>
      </w:r>
      <w:r w:rsidR="00A824A6">
        <w:t>etc.</w:t>
      </w:r>
      <w:r w:rsidR="007A0DF3">
        <w:t xml:space="preserve"> </w:t>
      </w:r>
      <w:r w:rsidR="00A824A6">
        <w:t xml:space="preserve">publicly portrayed </w:t>
      </w:r>
      <w:r w:rsidR="00D132E6">
        <w:t xml:space="preserve">Mr Morrison </w:t>
      </w:r>
      <w:r w:rsidR="00A824A6">
        <w:t xml:space="preserve">as </w:t>
      </w:r>
      <w:r w:rsidR="00D132E6">
        <w:t xml:space="preserve">responsible for every </w:t>
      </w:r>
      <w:r w:rsidR="007A0DF3">
        <w:t>aspect of G</w:t>
      </w:r>
      <w:r w:rsidR="00D132E6">
        <w:t>overnment</w:t>
      </w:r>
      <w:proofErr w:type="gramStart"/>
      <w:r w:rsidR="00D132E6">
        <w:t xml:space="preserve">.  </w:t>
      </w:r>
      <w:proofErr w:type="gramEnd"/>
      <w:r w:rsidR="00D132E6">
        <w:t>The p</w:t>
      </w:r>
      <w:r w:rsidR="00A824A6">
        <w:t xml:space="preserve">ortrayal extended to </w:t>
      </w:r>
      <w:r w:rsidR="00D132E6">
        <w:t xml:space="preserve">matters </w:t>
      </w:r>
      <w:r w:rsidR="00A824A6">
        <w:t>outside Commonwealth powers</w:t>
      </w:r>
      <w:proofErr w:type="gramStart"/>
      <w:r w:rsidR="00D132E6">
        <w:t>.</w:t>
      </w:r>
      <w:r w:rsidR="00A824A6">
        <w:t xml:space="preserve"> </w:t>
      </w:r>
      <w:r w:rsidR="00D132E6">
        <w:t xml:space="preserve"> </w:t>
      </w:r>
      <w:proofErr w:type="gramEnd"/>
      <w:r w:rsidR="00A824A6">
        <w:t>It was part of a campaign of pu</w:t>
      </w:r>
      <w:r w:rsidR="00D132E6">
        <w:t>blic attacks on Mr Morrison</w:t>
      </w:r>
      <w:r w:rsidR="00404D29">
        <w:t xml:space="preserve"> stimulated by his </w:t>
      </w:r>
      <w:r w:rsidR="0096289E">
        <w:t>claim to lack</w:t>
      </w:r>
      <w:r w:rsidR="00404D29">
        <w:t xml:space="preserve"> powers to</w:t>
      </w:r>
      <w:r w:rsidR="00A824A6">
        <w:t xml:space="preserve"> deal with </w:t>
      </w:r>
      <w:proofErr w:type="gramStart"/>
      <w:r w:rsidR="00D132E6">
        <w:t>some</w:t>
      </w:r>
      <w:proofErr w:type="gramEnd"/>
      <w:r w:rsidR="00D132E6">
        <w:t xml:space="preserve"> matters</w:t>
      </w:r>
      <w:r w:rsidR="00A824A6">
        <w:t xml:space="preserve"> – such as bushfire suppression</w:t>
      </w:r>
      <w:r w:rsidR="00D132E6">
        <w:t>.</w:t>
      </w:r>
      <w:r w:rsidR="00D132E6">
        <w:rPr>
          <w:rStyle w:val="FootnoteReference"/>
        </w:rPr>
        <w:footnoteReference w:id="16"/>
      </w:r>
    </w:p>
    <w:p w14:paraId="6A1206F4" w14:textId="77777777" w:rsidR="00D132E6" w:rsidRDefault="00D132E6" w:rsidP="00A04090">
      <w:pPr>
        <w:spacing w:after="0" w:line="240" w:lineRule="auto"/>
      </w:pPr>
    </w:p>
    <w:p w14:paraId="268F88C5" w14:textId="71BC993E" w:rsidR="00D132E6" w:rsidRDefault="008F6321" w:rsidP="00A04090">
      <w:pPr>
        <w:spacing w:after="0" w:line="240" w:lineRule="auto"/>
      </w:pPr>
      <w:r>
        <w:t>T</w:t>
      </w:r>
      <w:r w:rsidR="00A824A6">
        <w:t xml:space="preserve">he campaign to assign </w:t>
      </w:r>
      <w:r w:rsidR="00404D29">
        <w:t xml:space="preserve">political </w:t>
      </w:r>
      <w:r w:rsidR="00D132E6">
        <w:t xml:space="preserve">accountability </w:t>
      </w:r>
      <w:r w:rsidR="00404D29">
        <w:t xml:space="preserve">to Mr Morrison </w:t>
      </w:r>
      <w:r w:rsidR="00D132E6">
        <w:t xml:space="preserve">for </w:t>
      </w:r>
      <w:proofErr w:type="gramStart"/>
      <w:r w:rsidR="00D132E6">
        <w:t>almost every</w:t>
      </w:r>
      <w:proofErr w:type="gramEnd"/>
      <w:r w:rsidR="00D132E6">
        <w:t xml:space="preserve"> issue </w:t>
      </w:r>
      <w:r w:rsidR="00A824A6">
        <w:t xml:space="preserve">– Commonwealth and State </w:t>
      </w:r>
      <w:r>
        <w:t>–</w:t>
      </w:r>
      <w:r w:rsidR="00A824A6">
        <w:t xml:space="preserve"> </w:t>
      </w:r>
      <w:r>
        <w:t xml:space="preserve">likely </w:t>
      </w:r>
      <w:r w:rsidR="00D132E6">
        <w:t xml:space="preserve">motivated his wish for </w:t>
      </w:r>
      <w:r w:rsidR="00404D29">
        <w:t xml:space="preserve">the </w:t>
      </w:r>
      <w:r w:rsidR="00D132E6">
        <w:t xml:space="preserve">appointments </w:t>
      </w:r>
      <w:r w:rsidR="00404D29">
        <w:t>in question</w:t>
      </w:r>
      <w:r w:rsidR="00D132E6">
        <w:t xml:space="preserve">. </w:t>
      </w:r>
      <w:r w:rsidR="00A824A6">
        <w:t xml:space="preserve">  It also led to </w:t>
      </w:r>
      <w:r w:rsidR="00D132E6">
        <w:t xml:space="preserve">Parliament handing </w:t>
      </w:r>
      <w:r w:rsidR="00A824A6">
        <w:t xml:space="preserve">him uncontrolled </w:t>
      </w:r>
      <w:r w:rsidR="00D132E6">
        <w:t>powers to deal with national emergencies.</w:t>
      </w:r>
      <w:r w:rsidR="00D132E6">
        <w:rPr>
          <w:rStyle w:val="FootnoteReference"/>
        </w:rPr>
        <w:footnoteReference w:id="17"/>
      </w:r>
    </w:p>
    <w:p w14:paraId="6B7EB280" w14:textId="77777777" w:rsidR="00D132E6" w:rsidRDefault="00D132E6" w:rsidP="00A04090">
      <w:pPr>
        <w:spacing w:after="0" w:line="240" w:lineRule="auto"/>
      </w:pPr>
    </w:p>
    <w:p w14:paraId="6BA0A7A2" w14:textId="3C5439C3" w:rsidR="00404D29" w:rsidRDefault="00D132E6" w:rsidP="00A04090">
      <w:pPr>
        <w:spacing w:after="0" w:line="240" w:lineRule="auto"/>
      </w:pPr>
      <w:r>
        <w:t>A better analysis of the appointments situation</w:t>
      </w:r>
      <w:r w:rsidR="00404D29">
        <w:t xml:space="preserve"> would have led to observations about the paradox that emerged: some Parliamentarians were so keen to have Mr Morrison seen to be ‘accountable</w:t>
      </w:r>
      <w:r w:rsidR="00FA648C">
        <w:t>’ via their questioning of</w:t>
      </w:r>
      <w:r w:rsidR="00404D29">
        <w:t xml:space="preserve"> everything, they failed their </w:t>
      </w:r>
      <w:r w:rsidR="0096289E">
        <w:t>main</w:t>
      </w:r>
      <w:r w:rsidR="00404D29">
        <w:t xml:space="preserve"> duty</w:t>
      </w:r>
      <w:r w:rsidR="00D370B2">
        <w:t>:</w:t>
      </w:r>
      <w:r w:rsidR="0096289E">
        <w:t xml:space="preserve"> </w:t>
      </w:r>
      <w:r w:rsidR="00404D29">
        <w:t>to control the Government</w:t>
      </w:r>
      <w:r w:rsidR="0096289E">
        <w:t xml:space="preserve"> – outlined in section </w:t>
      </w:r>
      <w:r w:rsidR="00113B6B">
        <w:t>3.6</w:t>
      </w:r>
      <w:r w:rsidR="0096289E">
        <w:t xml:space="preserve"> below</w:t>
      </w:r>
      <w:proofErr w:type="gramStart"/>
      <w:r w:rsidR="00404D29">
        <w:t>.</w:t>
      </w:r>
      <w:r w:rsidR="0096289E">
        <w:t xml:space="preserve">  </w:t>
      </w:r>
      <w:proofErr w:type="gramEnd"/>
      <w:r w:rsidR="00404D29">
        <w:t xml:space="preserve">  </w:t>
      </w:r>
    </w:p>
    <w:p w14:paraId="0A2F5665" w14:textId="77777777" w:rsidR="00113B6B" w:rsidRDefault="00113B6B" w:rsidP="00A04090">
      <w:pPr>
        <w:spacing w:after="0" w:line="240" w:lineRule="auto"/>
      </w:pPr>
    </w:p>
    <w:p w14:paraId="584EF212" w14:textId="6835BA2F" w:rsidR="00A46EC4" w:rsidRDefault="008F6321" w:rsidP="00A04090">
      <w:pPr>
        <w:spacing w:after="0" w:line="240" w:lineRule="auto"/>
      </w:pPr>
      <w:r>
        <w:t xml:space="preserve">The </w:t>
      </w:r>
      <w:r w:rsidR="0096289E">
        <w:t xml:space="preserve">Inquiry </w:t>
      </w:r>
      <w:r>
        <w:t xml:space="preserve">report distracted from the </w:t>
      </w:r>
      <w:proofErr w:type="gramStart"/>
      <w:r>
        <w:t>important point</w:t>
      </w:r>
      <w:proofErr w:type="gramEnd"/>
      <w:r>
        <w:t xml:space="preserve">: responsible government and accountability is based on Parliamentary </w:t>
      </w:r>
      <w:r w:rsidRPr="008F6321">
        <w:rPr>
          <w:i/>
          <w:iCs/>
        </w:rPr>
        <w:t>control</w:t>
      </w:r>
      <w:r>
        <w:t xml:space="preserve"> of the Government</w:t>
      </w:r>
      <w:r w:rsidR="0096289E">
        <w:t>.  This is</w:t>
      </w:r>
      <w:r>
        <w:t xml:space="preserve"> despite </w:t>
      </w:r>
      <w:r w:rsidR="0096289E">
        <w:t xml:space="preserve">the report </w:t>
      </w:r>
      <w:r>
        <w:t>citing with approval:</w:t>
      </w:r>
      <w:r w:rsidR="00A46EC4">
        <w:t xml:space="preserve"> </w:t>
      </w:r>
    </w:p>
    <w:p w14:paraId="67A98177" w14:textId="77777777" w:rsidR="00A46EC4" w:rsidRDefault="00A46EC4" w:rsidP="00A04090">
      <w:pPr>
        <w:spacing w:after="0" w:line="240" w:lineRule="auto"/>
        <w:ind w:left="720"/>
      </w:pPr>
      <w:r w:rsidRPr="00A0081A">
        <w:rPr>
          <w:i/>
          <w:iCs/>
        </w:rPr>
        <w:t xml:space="preserve">‘The point </w:t>
      </w:r>
      <w:proofErr w:type="gramStart"/>
      <w:r w:rsidRPr="00A0081A">
        <w:rPr>
          <w:i/>
          <w:iCs/>
        </w:rPr>
        <w:t>was made</w:t>
      </w:r>
      <w:proofErr w:type="gramEnd"/>
      <w:r w:rsidRPr="00A0081A">
        <w:rPr>
          <w:i/>
          <w:iCs/>
        </w:rPr>
        <w:t xml:space="preserve"> by Mill, writing in 1861, who spoke of the task of the legislature “to watch and control the government: to throw the light of publicity on its acts”.’</w:t>
      </w:r>
      <w:r>
        <w:rPr>
          <w:rStyle w:val="FootnoteReference"/>
        </w:rPr>
        <w:footnoteReference w:id="18"/>
      </w:r>
    </w:p>
    <w:p w14:paraId="49C4661D" w14:textId="77777777" w:rsidR="008F6321" w:rsidRDefault="008F6321" w:rsidP="00A04090">
      <w:pPr>
        <w:spacing w:after="0" w:line="240" w:lineRule="auto"/>
      </w:pPr>
    </w:p>
    <w:p w14:paraId="13D9399A" w14:textId="1B9F491D" w:rsidR="00404D29" w:rsidRDefault="00BF30CF" w:rsidP="00A04090">
      <w:pPr>
        <w:pStyle w:val="Heading3"/>
        <w:spacing w:before="0" w:line="240" w:lineRule="auto"/>
      </w:pPr>
      <w:bookmarkStart w:id="7" w:name="_Toc123473923"/>
      <w:r>
        <w:t>3</w:t>
      </w:r>
      <w:r w:rsidR="00337371">
        <w:t>.4</w:t>
      </w:r>
      <w:r w:rsidR="00404D29">
        <w:tab/>
        <w:t xml:space="preserve">Responsible Government (b) – </w:t>
      </w:r>
      <w:r w:rsidR="008F6321">
        <w:t>breach?</w:t>
      </w:r>
      <w:bookmarkEnd w:id="7"/>
    </w:p>
    <w:p w14:paraId="7B9ABDB8" w14:textId="21476531" w:rsidR="00D370B2" w:rsidRDefault="008F6321" w:rsidP="00A04090">
      <w:pPr>
        <w:spacing w:after="0" w:line="240" w:lineRule="auto"/>
      </w:pPr>
      <w:r>
        <w:t xml:space="preserve">That is not to </w:t>
      </w:r>
      <w:r w:rsidR="0037257E">
        <w:t>deny</w:t>
      </w:r>
      <w:r>
        <w:t xml:space="preserve"> the </w:t>
      </w:r>
      <w:r w:rsidR="00FA648C">
        <w:t xml:space="preserve">secret appointments </w:t>
      </w:r>
      <w:r>
        <w:t>fiasco undermine</w:t>
      </w:r>
      <w:r w:rsidR="0037257E">
        <w:t>d</w:t>
      </w:r>
      <w:r>
        <w:t xml:space="preserve"> responsible government or </w:t>
      </w:r>
      <w:r w:rsidR="003150B3">
        <w:t xml:space="preserve">to say </w:t>
      </w:r>
      <w:r>
        <w:t>the above explanation is any excuse for Mr Morrison</w:t>
      </w:r>
      <w:r w:rsidR="00FA648C">
        <w:t>’s behaviour</w:t>
      </w:r>
      <w:proofErr w:type="gramStart"/>
      <w:r>
        <w:t xml:space="preserve">.  </w:t>
      </w:r>
      <w:proofErr w:type="gramEnd"/>
    </w:p>
    <w:p w14:paraId="533FA64D" w14:textId="77777777" w:rsidR="003B61E1" w:rsidRDefault="003B61E1" w:rsidP="00A04090">
      <w:pPr>
        <w:spacing w:after="0" w:line="240" w:lineRule="auto"/>
      </w:pPr>
    </w:p>
    <w:p w14:paraId="7E91EEA0" w14:textId="490E7BFD" w:rsidR="008F6321" w:rsidRDefault="008F6321" w:rsidP="00A04090">
      <w:pPr>
        <w:spacing w:after="0" w:line="240" w:lineRule="auto"/>
      </w:pPr>
      <w:r>
        <w:lastRenderedPageBreak/>
        <w:t>He did things he should not have done even if goaded into doing them</w:t>
      </w:r>
      <w:proofErr w:type="gramStart"/>
      <w:r>
        <w:t>.</w:t>
      </w:r>
      <w:r>
        <w:t xml:space="preserve">  </w:t>
      </w:r>
      <w:proofErr w:type="gramEnd"/>
      <w:r>
        <w:t xml:space="preserve">He did not properly administer his Department which failed to ensure </w:t>
      </w:r>
      <w:r w:rsidR="00AF439F">
        <w:t>the public was aware of his – and most other Ministers</w:t>
      </w:r>
      <w:proofErr w:type="gramStart"/>
      <w:r w:rsidR="00AF439F">
        <w:t>’</w:t>
      </w:r>
      <w:r w:rsidR="00283FF8">
        <w:t>,</w:t>
      </w:r>
      <w:proofErr w:type="gramEnd"/>
      <w:r w:rsidR="00283FF8">
        <w:t xml:space="preserve"> including </w:t>
      </w:r>
      <w:r w:rsidR="0037257E">
        <w:t>those of</w:t>
      </w:r>
      <w:r w:rsidR="00283FF8">
        <w:t xml:space="preserve"> prior Governments</w:t>
      </w:r>
      <w:r w:rsidR="00AF439F">
        <w:t xml:space="preserve"> - powers.</w:t>
      </w:r>
    </w:p>
    <w:p w14:paraId="21E2EFCD" w14:textId="77777777" w:rsidR="008F6321" w:rsidRDefault="008F6321" w:rsidP="00A04090">
      <w:pPr>
        <w:spacing w:after="0" w:line="240" w:lineRule="auto"/>
      </w:pPr>
    </w:p>
    <w:p w14:paraId="7AD727EB" w14:textId="3706E9F5" w:rsidR="00D132E6" w:rsidRDefault="00D132E6" w:rsidP="00A04090">
      <w:pPr>
        <w:spacing w:after="0" w:line="240" w:lineRule="auto"/>
      </w:pPr>
      <w:r>
        <w:t xml:space="preserve">Responsible government was undermined </w:t>
      </w:r>
      <w:r w:rsidR="0096289E">
        <w:t xml:space="preserve">by this affair </w:t>
      </w:r>
      <w:r>
        <w:t>because revelation of secrecy of the appointments added to a growing volume of behaviour that reduces public confidence</w:t>
      </w:r>
      <w:r w:rsidR="0096289E">
        <w:t xml:space="preserve"> in</w:t>
      </w:r>
      <w:r w:rsidR="008F6321">
        <w:t>:</w:t>
      </w:r>
      <w:r>
        <w:t xml:space="preserve"> </w:t>
      </w:r>
      <w:r w:rsidR="008F6321">
        <w:t>Parliament control</w:t>
      </w:r>
      <w:r w:rsidR="0096289E">
        <w:t>ling</w:t>
      </w:r>
      <w:r w:rsidR="008F6321">
        <w:t xml:space="preserve"> the </w:t>
      </w:r>
      <w:r>
        <w:t>Government</w:t>
      </w:r>
      <w:r w:rsidR="008F6321">
        <w:t xml:space="preserve">; members of the Government </w:t>
      </w:r>
      <w:r>
        <w:t>act</w:t>
      </w:r>
      <w:r w:rsidR="0096289E">
        <w:t>ing</w:t>
      </w:r>
      <w:r>
        <w:t xml:space="preserve"> within </w:t>
      </w:r>
      <w:r w:rsidR="008F6321">
        <w:t>their</w:t>
      </w:r>
      <w:r>
        <w:t xml:space="preserve"> powers</w:t>
      </w:r>
      <w:proofErr w:type="gramStart"/>
      <w:r>
        <w:t xml:space="preserve">.  </w:t>
      </w:r>
      <w:proofErr w:type="gramEnd"/>
    </w:p>
    <w:p w14:paraId="2B2355B0" w14:textId="77777777" w:rsidR="00D132E6" w:rsidRDefault="00D132E6" w:rsidP="00A04090">
      <w:pPr>
        <w:spacing w:after="0" w:line="240" w:lineRule="auto"/>
      </w:pPr>
      <w:r>
        <w:t xml:space="preserve">   </w:t>
      </w:r>
    </w:p>
    <w:p w14:paraId="059B0966" w14:textId="28947638" w:rsidR="00D132E6" w:rsidRDefault="00BF30CF" w:rsidP="00A04090">
      <w:pPr>
        <w:pStyle w:val="Heading3"/>
        <w:spacing w:before="0" w:line="240" w:lineRule="auto"/>
      </w:pPr>
      <w:bookmarkStart w:id="8" w:name="_Toc123473924"/>
      <w:r>
        <w:t>3</w:t>
      </w:r>
      <w:r w:rsidR="00D132E6">
        <w:t>.</w:t>
      </w:r>
      <w:r w:rsidR="00337371">
        <w:t>5</w:t>
      </w:r>
      <w:r w:rsidR="00337371">
        <w:tab/>
        <w:t>Responsible government (c) -</w:t>
      </w:r>
      <w:r w:rsidR="00113B6B">
        <w:t xml:space="preserve"> </w:t>
      </w:r>
      <w:r w:rsidR="00D132E6">
        <w:t>Constitution</w:t>
      </w:r>
      <w:bookmarkEnd w:id="8"/>
    </w:p>
    <w:p w14:paraId="27C433F8" w14:textId="138F2FA5" w:rsidR="00D132E6" w:rsidRDefault="00D132E6" w:rsidP="00A04090">
      <w:pPr>
        <w:spacing w:after="0" w:line="240" w:lineRule="auto"/>
      </w:pPr>
      <w:r>
        <w:t xml:space="preserve">The </w:t>
      </w:r>
      <w:r w:rsidR="0096289E">
        <w:t xml:space="preserve">Inquiry </w:t>
      </w:r>
      <w:r>
        <w:t xml:space="preserve">report </w:t>
      </w:r>
      <w:r w:rsidR="00DA3D80">
        <w:t xml:space="preserve">repeated the Solicitor General’s assertion that </w:t>
      </w:r>
      <w:r>
        <w:t xml:space="preserve">the secret appointments did not breach the Constitution </w:t>
      </w:r>
      <w:r w:rsidR="00DA3D80">
        <w:t xml:space="preserve">even though </w:t>
      </w:r>
      <w:r>
        <w:t>they undermined responsible government</w:t>
      </w:r>
      <w:proofErr w:type="gramStart"/>
      <w:r>
        <w:t xml:space="preserve">.  </w:t>
      </w:r>
      <w:proofErr w:type="gramEnd"/>
      <w:r w:rsidR="00AF439F">
        <w:t>That</w:t>
      </w:r>
      <w:r w:rsidR="005A023C">
        <w:t xml:space="preserve"> assertion</w:t>
      </w:r>
      <w:r w:rsidR="00AF439F">
        <w:t xml:space="preserve"> is</w:t>
      </w:r>
      <w:r w:rsidR="00E37653">
        <w:t xml:space="preserve"> internally inconsistent</w:t>
      </w:r>
      <w:r w:rsidR="00AF439F">
        <w:t>.</w:t>
      </w:r>
    </w:p>
    <w:p w14:paraId="7E580E8D" w14:textId="77777777" w:rsidR="00D132E6" w:rsidRDefault="00D132E6" w:rsidP="00A04090">
      <w:pPr>
        <w:spacing w:after="0" w:line="240" w:lineRule="auto"/>
      </w:pPr>
    </w:p>
    <w:p w14:paraId="4001DD31" w14:textId="187EF410" w:rsidR="00AF439F" w:rsidRDefault="00AF439F" w:rsidP="00A04090">
      <w:pPr>
        <w:spacing w:after="0" w:line="240" w:lineRule="auto"/>
      </w:pPr>
      <w:r>
        <w:t xml:space="preserve">The </w:t>
      </w:r>
      <w:r w:rsidR="00E37653">
        <w:t>contradiction:</w:t>
      </w:r>
      <w:r>
        <w:t xml:space="preserve"> </w:t>
      </w:r>
      <w:r w:rsidR="00D132E6">
        <w:t>a central purpose of the Constitution is responsible government</w:t>
      </w:r>
      <w:r>
        <w:t>; (in)actions that undermine responsible government can be Constitutionally valid.</w:t>
      </w:r>
    </w:p>
    <w:p w14:paraId="5965D6A6" w14:textId="32E895C7" w:rsidR="005A023C" w:rsidRDefault="005A023C" w:rsidP="00A04090">
      <w:pPr>
        <w:spacing w:after="0" w:line="240" w:lineRule="auto"/>
      </w:pPr>
    </w:p>
    <w:p w14:paraId="7DA7E0D7" w14:textId="799A111C" w:rsidR="00717B81" w:rsidRDefault="00AF439F" w:rsidP="00A04090">
      <w:pPr>
        <w:spacing w:after="0" w:line="240" w:lineRule="auto"/>
      </w:pPr>
      <w:r>
        <w:t>On several occasions in recent years, the High Court held legislati</w:t>
      </w:r>
      <w:r w:rsidR="00A76EE8">
        <w:t xml:space="preserve">on invalid </w:t>
      </w:r>
      <w:r w:rsidR="002953A1">
        <w:t>to the extent it</w:t>
      </w:r>
      <w:r w:rsidR="00A76EE8">
        <w:t xml:space="preserve"> </w:t>
      </w:r>
      <w:r>
        <w:t>undermin</w:t>
      </w:r>
      <w:r w:rsidR="00A76EE8">
        <w:t>ed</w:t>
      </w:r>
      <w:r w:rsidR="00113B6B">
        <w:t xml:space="preserve"> key aspects of</w:t>
      </w:r>
      <w:r>
        <w:t xml:space="preserve"> responsible government</w:t>
      </w:r>
      <w:proofErr w:type="gramStart"/>
      <w:r>
        <w:t>.</w:t>
      </w:r>
      <w:r w:rsidR="005A023C">
        <w:t xml:space="preserve">  </w:t>
      </w:r>
      <w:proofErr w:type="gramEnd"/>
      <w:r w:rsidR="005A023C">
        <w:t xml:space="preserve">Neither the decisions nor reasoning </w:t>
      </w:r>
      <w:proofErr w:type="gramStart"/>
      <w:r w:rsidR="005A023C">
        <w:t>were referred</w:t>
      </w:r>
      <w:proofErr w:type="gramEnd"/>
      <w:r w:rsidR="005A023C">
        <w:t xml:space="preserve"> to in the report.</w:t>
      </w:r>
      <w:r w:rsidR="00717B81">
        <w:rPr>
          <w:rStyle w:val="FootnoteReference"/>
        </w:rPr>
        <w:footnoteReference w:id="19"/>
      </w:r>
    </w:p>
    <w:p w14:paraId="6A441D99" w14:textId="77777777" w:rsidR="00717B81" w:rsidRDefault="00717B81" w:rsidP="00A04090">
      <w:pPr>
        <w:spacing w:after="0" w:line="240" w:lineRule="auto"/>
      </w:pPr>
    </w:p>
    <w:p w14:paraId="48104968" w14:textId="469FF45D" w:rsidR="00AF439F" w:rsidRDefault="00AF439F" w:rsidP="00A04090">
      <w:pPr>
        <w:spacing w:after="0" w:line="240" w:lineRule="auto"/>
      </w:pPr>
      <w:r>
        <w:t xml:space="preserve">If Parliament cannot </w:t>
      </w:r>
      <w:r w:rsidR="00717B81">
        <w:t>Constitutionally undermine responsible government</w:t>
      </w:r>
      <w:r>
        <w:t xml:space="preserve">, why is it assumed the Executive </w:t>
      </w:r>
      <w:r w:rsidR="00717B81">
        <w:t>- which is controllable by Parliament</w:t>
      </w:r>
      <w:r>
        <w:t xml:space="preserve"> </w:t>
      </w:r>
      <w:r w:rsidR="00717B81">
        <w:t xml:space="preserve">and </w:t>
      </w:r>
      <w:r>
        <w:t>which has the responsibility for upholding the Constitution - can?</w:t>
      </w:r>
      <w:r>
        <w:rPr>
          <w:rStyle w:val="FootnoteReference"/>
        </w:rPr>
        <w:footnoteReference w:id="20"/>
      </w:r>
    </w:p>
    <w:p w14:paraId="016E6DB4" w14:textId="047344AC" w:rsidR="005A023C" w:rsidRDefault="005A023C" w:rsidP="00A04090">
      <w:pPr>
        <w:spacing w:after="0" w:line="240" w:lineRule="auto"/>
      </w:pPr>
    </w:p>
    <w:p w14:paraId="0126BB6E" w14:textId="22326F1B" w:rsidR="005A023C" w:rsidRDefault="005A023C" w:rsidP="00A04090">
      <w:pPr>
        <w:spacing w:after="0" w:line="240" w:lineRule="auto"/>
      </w:pPr>
      <w:r>
        <w:t xml:space="preserve">The report </w:t>
      </w:r>
      <w:r>
        <w:t>said:</w:t>
      </w:r>
      <w:r>
        <w:t xml:space="preserve"> ‘</w:t>
      </w:r>
      <w:r w:rsidRPr="005A023C">
        <w:rPr>
          <w:i/>
          <w:iCs/>
        </w:rPr>
        <w:t>The public did not know something that it was entitled to know, namely the identity of persons appointed to administer departments of State.’</w:t>
      </w:r>
      <w:r>
        <w:rPr>
          <w:i/>
          <w:iCs/>
        </w:rPr>
        <w:t xml:space="preserve">  </w:t>
      </w:r>
      <w:r w:rsidRPr="005A023C">
        <w:t xml:space="preserve">That comment is inconsistent with </w:t>
      </w:r>
      <w:r w:rsidR="00BF30CF">
        <w:t>claiming</w:t>
      </w:r>
      <w:r w:rsidRPr="005A023C">
        <w:t xml:space="preserve"> the appointments</w:t>
      </w:r>
      <w:r>
        <w:t xml:space="preserve"> </w:t>
      </w:r>
      <w:r w:rsidR="00A76EE8">
        <w:t xml:space="preserve">were valid </w:t>
      </w:r>
      <w:r w:rsidR="00A911E9">
        <w:t>i.e.</w:t>
      </w:r>
      <w:r>
        <w:t xml:space="preserve">, </w:t>
      </w:r>
      <w:r w:rsidR="00A76EE8">
        <w:t xml:space="preserve">it asserts </w:t>
      </w:r>
      <w:r w:rsidR="002953A1">
        <w:t xml:space="preserve">the Executive can disregard </w:t>
      </w:r>
      <w:r w:rsidR="006C1F05">
        <w:t>rights of the public</w:t>
      </w:r>
      <w:r w:rsidR="002953A1">
        <w:t>.</w:t>
      </w:r>
      <w:r>
        <w:rPr>
          <w:rStyle w:val="FootnoteReference"/>
          <w:i/>
          <w:iCs/>
        </w:rPr>
        <w:footnoteReference w:id="21"/>
      </w:r>
      <w:r>
        <w:t xml:space="preserve"> </w:t>
      </w:r>
    </w:p>
    <w:p w14:paraId="00371FCE" w14:textId="77777777" w:rsidR="00DA3D80" w:rsidRDefault="00DA3D80" w:rsidP="00A04090">
      <w:pPr>
        <w:spacing w:after="0" w:line="240" w:lineRule="auto"/>
      </w:pPr>
    </w:p>
    <w:p w14:paraId="18B84E9C" w14:textId="16D952D9" w:rsidR="00717B81" w:rsidRDefault="00283FF8" w:rsidP="00A04090">
      <w:pPr>
        <w:spacing w:after="0" w:line="240" w:lineRule="auto"/>
      </w:pPr>
      <w:r>
        <w:t>The report did not attempt to explain the contradiction</w:t>
      </w:r>
      <w:proofErr w:type="gramStart"/>
      <w:r>
        <w:t xml:space="preserve">.  </w:t>
      </w:r>
      <w:proofErr w:type="gramEnd"/>
      <w:r>
        <w:t>As such</w:t>
      </w:r>
      <w:r w:rsidR="00717B81">
        <w:t>, it should be assumed th</w:t>
      </w:r>
      <w:r w:rsidR="00BF1267">
        <w:t>is</w:t>
      </w:r>
      <w:r w:rsidR="00717B81">
        <w:t xml:space="preserve"> assertion of the Solicitor General and the report was wrong</w:t>
      </w:r>
      <w:proofErr w:type="gramStart"/>
      <w:r w:rsidR="00717B81">
        <w:t>.</w:t>
      </w:r>
      <w:r w:rsidR="00D370B2">
        <w:t xml:space="preserve">  </w:t>
      </w:r>
      <w:proofErr w:type="gramEnd"/>
      <w:r w:rsidR="00D370B2">
        <w:t>The mistake is unfortunate because it lessens the value of upholding – the consequences for undermining - responsible government.</w:t>
      </w:r>
    </w:p>
    <w:p w14:paraId="7FAA5760" w14:textId="77777777" w:rsidR="00717B81" w:rsidRDefault="00717B81" w:rsidP="00A04090">
      <w:pPr>
        <w:spacing w:after="0" w:line="240" w:lineRule="auto"/>
      </w:pPr>
    </w:p>
    <w:p w14:paraId="48A028A3" w14:textId="1B1C5EA3" w:rsidR="00BF1267" w:rsidRDefault="00BF30CF" w:rsidP="00A04090">
      <w:pPr>
        <w:pStyle w:val="Heading3"/>
        <w:spacing w:before="0" w:line="240" w:lineRule="auto"/>
      </w:pPr>
      <w:bookmarkStart w:id="9" w:name="_Toc123473925"/>
      <w:r>
        <w:t>3</w:t>
      </w:r>
      <w:r w:rsidR="00BF1267">
        <w:t>.6</w:t>
      </w:r>
      <w:r w:rsidR="00BF1267">
        <w:tab/>
        <w:t xml:space="preserve">Responsible government </w:t>
      </w:r>
      <w:r w:rsidR="000725D3">
        <w:t xml:space="preserve">(d) </w:t>
      </w:r>
      <w:r w:rsidR="00BF1267">
        <w:t>– whole of government</w:t>
      </w:r>
      <w:bookmarkEnd w:id="9"/>
    </w:p>
    <w:p w14:paraId="346F8B08" w14:textId="77777777" w:rsidR="00A76EE8" w:rsidRDefault="00D132E6" w:rsidP="00A04090">
      <w:pPr>
        <w:spacing w:after="0" w:line="240" w:lineRule="auto"/>
      </w:pPr>
      <w:r>
        <w:t xml:space="preserve">A consequence of that </w:t>
      </w:r>
      <w:r w:rsidR="00E37653">
        <w:t xml:space="preserve">error </w:t>
      </w:r>
      <w:r w:rsidR="00717B81">
        <w:t xml:space="preserve">is </w:t>
      </w:r>
      <w:r>
        <w:t>a</w:t>
      </w:r>
      <w:r w:rsidR="00717B81">
        <w:t xml:space="preserve"> need for further examination of </w:t>
      </w:r>
      <w:r>
        <w:t>(in)actions of Mr Morrison while the appointments were secret</w:t>
      </w:r>
      <w:r w:rsidR="00E37653">
        <w:t xml:space="preserve"> and</w:t>
      </w:r>
      <w:r w:rsidR="00717B81">
        <w:t xml:space="preserve"> </w:t>
      </w:r>
      <w:r w:rsidR="00D370B2">
        <w:t xml:space="preserve">of </w:t>
      </w:r>
      <w:r w:rsidR="00717B81">
        <w:t xml:space="preserve">his </w:t>
      </w:r>
      <w:r w:rsidR="00715625">
        <w:t>explanations</w:t>
      </w:r>
      <w:r w:rsidR="00717B81">
        <w:t xml:space="preserve"> that </w:t>
      </w:r>
      <w:r w:rsidR="00E37653">
        <w:t>relate to</w:t>
      </w:r>
      <w:r w:rsidR="00717B81">
        <w:t xml:space="preserve"> Parliamentary control – as distinct from mere questioning – of the Government</w:t>
      </w:r>
      <w:proofErr w:type="gramStart"/>
      <w:r w:rsidR="00717B81">
        <w:t>.</w:t>
      </w:r>
      <w:r w:rsidR="00D31950">
        <w:t xml:space="preserve">  </w:t>
      </w:r>
      <w:proofErr w:type="gramEnd"/>
    </w:p>
    <w:p w14:paraId="3BDDB6FC" w14:textId="77777777" w:rsidR="00A76EE8" w:rsidRDefault="00A76EE8" w:rsidP="00A04090">
      <w:pPr>
        <w:spacing w:after="0" w:line="240" w:lineRule="auto"/>
      </w:pPr>
    </w:p>
    <w:p w14:paraId="7AB3DFD9" w14:textId="36357531" w:rsidR="00717B81" w:rsidRDefault="00D31950" w:rsidP="00A04090">
      <w:pPr>
        <w:spacing w:after="0" w:line="240" w:lineRule="auto"/>
      </w:pPr>
      <w:r>
        <w:t>Professor Twomey alluded to the issue of this affair being one example of a deeper problem of Government attitudes:</w:t>
      </w:r>
    </w:p>
    <w:p w14:paraId="0958F609" w14:textId="52C564CF" w:rsidR="00D31950" w:rsidRPr="00D31950" w:rsidRDefault="00D31950" w:rsidP="00A04090">
      <w:pPr>
        <w:spacing w:after="0" w:line="240" w:lineRule="auto"/>
        <w:ind w:left="720"/>
        <w:rPr>
          <w:i/>
          <w:iCs/>
        </w:rPr>
      </w:pPr>
      <w:r w:rsidRPr="00D31950">
        <w:rPr>
          <w:i/>
          <w:iCs/>
        </w:rPr>
        <w:t>‘</w:t>
      </w:r>
      <w:r w:rsidRPr="00D31950">
        <w:rPr>
          <w:i/>
          <w:iCs/>
        </w:rPr>
        <w:t>Such a lack of transparency is indicative of a lack of respect for the institutions of government and for the general public who have a right to know how power is allocated</w:t>
      </w:r>
      <w:proofErr w:type="gramStart"/>
      <w:r>
        <w:rPr>
          <w:i/>
          <w:iCs/>
        </w:rPr>
        <w:t>’.</w:t>
      </w:r>
      <w:proofErr w:type="gramEnd"/>
      <w:r>
        <w:rPr>
          <w:rStyle w:val="FootnoteReference"/>
          <w:i/>
          <w:iCs/>
        </w:rPr>
        <w:footnoteReference w:id="22"/>
      </w:r>
    </w:p>
    <w:p w14:paraId="461D8374" w14:textId="77777777" w:rsidR="003250E1" w:rsidRDefault="003250E1" w:rsidP="00A04090">
      <w:pPr>
        <w:spacing w:after="0" w:line="240" w:lineRule="auto"/>
      </w:pPr>
    </w:p>
    <w:p w14:paraId="2F379BFB" w14:textId="1315CB1B" w:rsidR="005A023C" w:rsidRDefault="00D31950" w:rsidP="00A04090">
      <w:pPr>
        <w:spacing w:after="0" w:line="240" w:lineRule="auto"/>
      </w:pPr>
      <w:r>
        <w:t xml:space="preserve">Such attitudes </w:t>
      </w:r>
      <w:proofErr w:type="gramStart"/>
      <w:r>
        <w:t>are revealed</w:t>
      </w:r>
      <w:proofErr w:type="gramEnd"/>
      <w:r>
        <w:t xml:space="preserve"> by a deeper analysis of part of Mr Morrison’s</w:t>
      </w:r>
      <w:r w:rsidR="00717B81">
        <w:t xml:space="preserve"> </w:t>
      </w:r>
      <w:r w:rsidR="00715625">
        <w:t>explanation</w:t>
      </w:r>
      <w:r w:rsidR="00E37653">
        <w:t>:</w:t>
      </w:r>
      <w:r w:rsidR="00717B81">
        <w:t xml:space="preserve"> the appointments allowed for a </w:t>
      </w:r>
      <w:r w:rsidR="005130F9">
        <w:t>‘</w:t>
      </w:r>
      <w:r w:rsidR="00717B81">
        <w:t>whole-of-government</w:t>
      </w:r>
      <w:r w:rsidR="005130F9">
        <w:t>’</w:t>
      </w:r>
      <w:r w:rsidR="00705711">
        <w:t xml:space="preserve"> or ’national interest’</w:t>
      </w:r>
      <w:r w:rsidR="00717B81">
        <w:t xml:space="preserve"> perspective to be brought to </w:t>
      </w:r>
      <w:r w:rsidR="00705711">
        <w:t xml:space="preserve">some </w:t>
      </w:r>
      <w:r w:rsidR="00717B81">
        <w:t>Ministerial decision making</w:t>
      </w:r>
      <w:r w:rsidR="00705711">
        <w:t xml:space="preserve"> – notably public health directions and </w:t>
      </w:r>
      <w:r w:rsidR="00865CE8">
        <w:t xml:space="preserve">financial </w:t>
      </w:r>
      <w:r w:rsidR="00705711">
        <w:t>payments</w:t>
      </w:r>
      <w:r w:rsidR="00717B81">
        <w:t>.</w:t>
      </w:r>
      <w:r w:rsidR="005130F9">
        <w:t xml:space="preserve"> </w:t>
      </w:r>
    </w:p>
    <w:p w14:paraId="619CA777" w14:textId="43C1C7C0" w:rsidR="00715625" w:rsidRDefault="005130F9" w:rsidP="00A04090">
      <w:pPr>
        <w:spacing w:after="0" w:line="240" w:lineRule="auto"/>
      </w:pPr>
      <w:r>
        <w:lastRenderedPageBreak/>
        <w:t>‘Whole-of-government’</w:t>
      </w:r>
      <w:r w:rsidR="00865CE8">
        <w:t xml:space="preserve"> - </w:t>
      </w:r>
      <w:r>
        <w:t>like ‘cooperation between levels of government</w:t>
      </w:r>
      <w:r w:rsidR="00715625">
        <w:t>’</w:t>
      </w:r>
      <w:r w:rsidR="00865CE8">
        <w:t xml:space="preserve"> -</w:t>
      </w:r>
      <w:r>
        <w:t xml:space="preserve"> is </w:t>
      </w:r>
      <w:r w:rsidR="00715625">
        <w:t>invariably</w:t>
      </w:r>
      <w:r>
        <w:t xml:space="preserve"> put </w:t>
      </w:r>
      <w:r w:rsidR="00865CE8">
        <w:t xml:space="preserve">and seen </w:t>
      </w:r>
      <w:r>
        <w:t xml:space="preserve">as </w:t>
      </w:r>
      <w:r w:rsidR="00715625">
        <w:t xml:space="preserve">a </w:t>
      </w:r>
      <w:r>
        <w:t xml:space="preserve">desirable </w:t>
      </w:r>
      <w:r w:rsidR="00E37653">
        <w:t>way for Governments to conduct themselves</w:t>
      </w:r>
      <w:proofErr w:type="gramStart"/>
      <w:r w:rsidR="00715625">
        <w:t xml:space="preserve">.  </w:t>
      </w:r>
      <w:proofErr w:type="gramEnd"/>
      <w:r w:rsidR="00715625">
        <w:t>It is the rationale for Cabinet.</w:t>
      </w:r>
      <w:r w:rsidR="00715625">
        <w:rPr>
          <w:rStyle w:val="FootnoteReference"/>
        </w:rPr>
        <w:footnoteReference w:id="23"/>
      </w:r>
    </w:p>
    <w:p w14:paraId="695380DF" w14:textId="77777777" w:rsidR="00715625" w:rsidRDefault="00715625" w:rsidP="00A04090">
      <w:pPr>
        <w:spacing w:after="0" w:line="240" w:lineRule="auto"/>
      </w:pPr>
    </w:p>
    <w:p w14:paraId="05F82C41" w14:textId="2AE81991" w:rsidR="00EC4BDF" w:rsidRDefault="00010212" w:rsidP="00A04090">
      <w:pPr>
        <w:spacing w:after="0" w:line="240" w:lineRule="auto"/>
      </w:pPr>
      <w:r>
        <w:t xml:space="preserve">In moving the </w:t>
      </w:r>
      <w:r w:rsidR="002953A1">
        <w:t xml:space="preserve">November 2022 </w:t>
      </w:r>
      <w:r>
        <w:t xml:space="preserve">motion to </w:t>
      </w:r>
      <w:r w:rsidR="00283FF8">
        <w:t xml:space="preserve">censure </w:t>
      </w:r>
      <w:r w:rsidR="00715625">
        <w:t>Mr Morrison</w:t>
      </w:r>
      <w:r>
        <w:t xml:space="preserve">, Leader of the House Mr Burke </w:t>
      </w:r>
      <w:r w:rsidR="00D31950">
        <w:t>claimed</w:t>
      </w:r>
      <w:r w:rsidR="00E37653">
        <w:t xml:space="preserve"> </w:t>
      </w:r>
      <w:r>
        <w:t xml:space="preserve">Cabinet was </w:t>
      </w:r>
      <w:r w:rsidR="00E37653">
        <w:t xml:space="preserve">undermined because it was </w:t>
      </w:r>
      <w:r>
        <w:t>not informed of the appointments</w:t>
      </w:r>
      <w:proofErr w:type="gramStart"/>
      <w:r w:rsidR="00E37653">
        <w:t>.</w:t>
      </w:r>
      <w:r>
        <w:t xml:space="preserve">  </w:t>
      </w:r>
      <w:proofErr w:type="gramEnd"/>
      <w:r>
        <w:t>Commentators</w:t>
      </w:r>
      <w:r w:rsidR="00705711">
        <w:t xml:space="preserve"> had</w:t>
      </w:r>
      <w:r>
        <w:t xml:space="preserve"> interpreted the appointments as signalling Mr Morrison lacked trust in Cabinet and Ministers</w:t>
      </w:r>
      <w:r w:rsidR="00865CE8">
        <w:t xml:space="preserve"> </w:t>
      </w:r>
      <w:r w:rsidR="00D370B2">
        <w:t>–</w:t>
      </w:r>
      <w:r w:rsidR="00865CE8">
        <w:t xml:space="preserve"> </w:t>
      </w:r>
      <w:r w:rsidR="00D370B2">
        <w:t xml:space="preserve">and presented this as </w:t>
      </w:r>
      <w:r w:rsidR="00EC4BDF">
        <w:t>a power grab</w:t>
      </w:r>
      <w:r>
        <w:t>.</w:t>
      </w:r>
    </w:p>
    <w:p w14:paraId="0142F4D4" w14:textId="77777777" w:rsidR="00EC4BDF" w:rsidRDefault="00EC4BDF" w:rsidP="00A04090">
      <w:pPr>
        <w:spacing w:after="0" w:line="240" w:lineRule="auto"/>
      </w:pPr>
    </w:p>
    <w:p w14:paraId="64131700" w14:textId="51830874" w:rsidR="00A76EE8" w:rsidRDefault="00705711" w:rsidP="00A04090">
      <w:pPr>
        <w:spacing w:after="0" w:line="240" w:lineRule="auto"/>
      </w:pPr>
      <w:r>
        <w:t xml:space="preserve">However, Mr Morrison </w:t>
      </w:r>
      <w:r w:rsidR="002953A1">
        <w:t>-</w:t>
      </w:r>
      <w:r>
        <w:t xml:space="preserve"> speaking to the </w:t>
      </w:r>
      <w:r w:rsidR="00070FF1">
        <w:t xml:space="preserve">censure </w:t>
      </w:r>
      <w:r>
        <w:t xml:space="preserve">motion </w:t>
      </w:r>
      <w:r w:rsidR="002953A1">
        <w:t xml:space="preserve">- </w:t>
      </w:r>
      <w:r w:rsidR="00D31950">
        <w:t>refuted such claims in saying some</w:t>
      </w:r>
      <w:r>
        <w:t xml:space="preserve"> appointments were </w:t>
      </w:r>
      <w:r w:rsidR="00E41417">
        <w:t>to deal with significant powers</w:t>
      </w:r>
      <w:r>
        <w:t xml:space="preserve"> </w:t>
      </w:r>
      <w:r w:rsidRPr="00705711">
        <w:rPr>
          <w:i/>
          <w:iCs/>
        </w:rPr>
        <w:t>‘</w:t>
      </w:r>
      <w:r>
        <w:rPr>
          <w:i/>
          <w:iCs/>
        </w:rPr>
        <w:t xml:space="preserve">that </w:t>
      </w:r>
      <w:r w:rsidRPr="00705711">
        <w:rPr>
          <w:i/>
          <w:iCs/>
        </w:rPr>
        <w:t>were beyond the oversight of Cabinet</w:t>
      </w:r>
      <w:proofErr w:type="gramStart"/>
      <w:r w:rsidRPr="00705711">
        <w:rPr>
          <w:i/>
          <w:iCs/>
        </w:rPr>
        <w:t>’</w:t>
      </w:r>
      <w:r>
        <w:rPr>
          <w:i/>
          <w:iCs/>
        </w:rPr>
        <w:t>.</w:t>
      </w:r>
      <w:proofErr w:type="gramEnd"/>
      <w:r w:rsidR="003250E1" w:rsidRPr="003250E1">
        <w:rPr>
          <w:rStyle w:val="FootnoteReference"/>
        </w:rPr>
        <w:t xml:space="preserve"> </w:t>
      </w:r>
      <w:r w:rsidR="003250E1">
        <w:rPr>
          <w:rStyle w:val="FootnoteReference"/>
        </w:rPr>
        <w:footnoteReference w:id="24"/>
      </w:r>
      <w:r w:rsidR="00865CE8" w:rsidRPr="00865CE8">
        <w:t xml:space="preserve"> </w:t>
      </w:r>
    </w:p>
    <w:p w14:paraId="2C843C94" w14:textId="77777777" w:rsidR="00A76EE8" w:rsidRDefault="00A76EE8" w:rsidP="00A04090">
      <w:pPr>
        <w:spacing w:after="0" w:line="240" w:lineRule="auto"/>
      </w:pPr>
    </w:p>
    <w:p w14:paraId="40C553FA" w14:textId="69230AC2" w:rsidR="00010212" w:rsidRDefault="00E37653" w:rsidP="00A04090">
      <w:pPr>
        <w:spacing w:after="0" w:line="240" w:lineRule="auto"/>
      </w:pPr>
      <w:r>
        <w:t>Th</w:t>
      </w:r>
      <w:r w:rsidR="00A76EE8">
        <w:t>at refutation carried an</w:t>
      </w:r>
      <w:r w:rsidR="00070FF1">
        <w:t xml:space="preserve"> implication:</w:t>
      </w:r>
      <w:r w:rsidR="00865CE8" w:rsidRPr="00865CE8">
        <w:t xml:space="preserve"> the </w:t>
      </w:r>
      <w:r w:rsidR="00D370B2">
        <w:t xml:space="preserve">intention </w:t>
      </w:r>
      <w:r w:rsidR="00A76EE8">
        <w:t xml:space="preserve">of the appointments </w:t>
      </w:r>
      <w:r w:rsidR="00D370B2">
        <w:t xml:space="preserve">was </w:t>
      </w:r>
      <w:r w:rsidR="00865CE8" w:rsidRPr="00865CE8">
        <w:t xml:space="preserve">to ensure a </w:t>
      </w:r>
      <w:r>
        <w:t>whole-of-government</w:t>
      </w:r>
      <w:r w:rsidR="00865CE8" w:rsidRPr="00865CE8">
        <w:t xml:space="preserve"> perspective </w:t>
      </w:r>
      <w:r w:rsidR="00D31950">
        <w:t>in</w:t>
      </w:r>
      <w:r w:rsidR="00865CE8" w:rsidRPr="00865CE8">
        <w:t xml:space="preserve"> decision making.</w:t>
      </w:r>
    </w:p>
    <w:p w14:paraId="686E97FD" w14:textId="77777777" w:rsidR="00010212" w:rsidRDefault="00010212" w:rsidP="00A04090">
      <w:pPr>
        <w:spacing w:after="0" w:line="240" w:lineRule="auto"/>
      </w:pPr>
    </w:p>
    <w:p w14:paraId="313ECB56" w14:textId="18D00DA5" w:rsidR="002160C9" w:rsidRDefault="00D31950" w:rsidP="00A04090">
      <w:pPr>
        <w:spacing w:after="0" w:line="240" w:lineRule="auto"/>
      </w:pPr>
      <w:r>
        <w:t>Mr Morrison’s</w:t>
      </w:r>
      <w:r w:rsidR="00865CE8">
        <w:t xml:space="preserve"> a</w:t>
      </w:r>
      <w:r w:rsidR="009123E4">
        <w:t xml:space="preserve">rgument </w:t>
      </w:r>
      <w:r w:rsidR="00A76EE8">
        <w:t xml:space="preserve">about matters being beyond Cabinet </w:t>
      </w:r>
      <w:r w:rsidR="00865CE8">
        <w:t>arises when</w:t>
      </w:r>
      <w:r w:rsidR="009123E4">
        <w:t xml:space="preserve"> legislation </w:t>
      </w:r>
      <w:r w:rsidR="00D370B2">
        <w:t>gives</w:t>
      </w:r>
      <w:r w:rsidR="009123E4">
        <w:t xml:space="preserve"> powers to a particular Minister for narrow purposes</w:t>
      </w:r>
      <w:proofErr w:type="gramStart"/>
      <w:r w:rsidR="009123E4">
        <w:t xml:space="preserve">.  </w:t>
      </w:r>
      <w:proofErr w:type="gramEnd"/>
      <w:r w:rsidR="002160C9">
        <w:t>An e</w:t>
      </w:r>
      <w:r w:rsidR="009123E4">
        <w:t xml:space="preserve">xample </w:t>
      </w:r>
      <w:r w:rsidR="002160C9">
        <w:t>is</w:t>
      </w:r>
      <w:r w:rsidR="009123E4">
        <w:t xml:space="preserve"> </w:t>
      </w:r>
      <w:r w:rsidR="002160C9">
        <w:t xml:space="preserve">the </w:t>
      </w:r>
      <w:r w:rsidR="009123E4">
        <w:t>Biosecurity Act delegation to the Minister for Health</w:t>
      </w:r>
      <w:r w:rsidR="00BF1335">
        <w:t xml:space="preserve"> </w:t>
      </w:r>
      <w:r w:rsidR="00865CE8">
        <w:t xml:space="preserve">- </w:t>
      </w:r>
      <w:r w:rsidR="00BF1335">
        <w:t xml:space="preserve">to deal with </w:t>
      </w:r>
      <w:r w:rsidR="00070FF1">
        <w:t xml:space="preserve">human biosecurity </w:t>
      </w:r>
      <w:r w:rsidR="00BF1335">
        <w:t>emergencies</w:t>
      </w:r>
      <w:proofErr w:type="gramStart"/>
      <w:r w:rsidR="00865CE8">
        <w:t xml:space="preserve">.  </w:t>
      </w:r>
      <w:proofErr w:type="gramEnd"/>
      <w:r w:rsidR="00865CE8">
        <w:t>That delegation is</w:t>
      </w:r>
      <w:r w:rsidR="002160C9">
        <w:t xml:space="preserve"> </w:t>
      </w:r>
      <w:r w:rsidR="00BE27A8">
        <w:t>to</w:t>
      </w:r>
      <w:r w:rsidR="002160C9">
        <w:t xml:space="preserve"> </w:t>
      </w:r>
      <w:proofErr w:type="gramStart"/>
      <w:r w:rsidR="002160C9">
        <w:t>be exercised</w:t>
      </w:r>
      <w:proofErr w:type="gramEnd"/>
      <w:r w:rsidR="002160C9">
        <w:t xml:space="preserve"> by the Minister personally.</w:t>
      </w:r>
      <w:r w:rsidR="00BF1335">
        <w:rPr>
          <w:rStyle w:val="FootnoteReference"/>
        </w:rPr>
        <w:footnoteReference w:id="25"/>
      </w:r>
    </w:p>
    <w:p w14:paraId="18DCBDD8" w14:textId="77777777" w:rsidR="00865CE8" w:rsidRDefault="00865CE8" w:rsidP="00A04090">
      <w:pPr>
        <w:spacing w:after="0" w:line="240" w:lineRule="auto"/>
      </w:pPr>
    </w:p>
    <w:p w14:paraId="7F26EFB0" w14:textId="582481FF" w:rsidR="00865CE8" w:rsidRDefault="00865CE8" w:rsidP="00A04090">
      <w:pPr>
        <w:spacing w:after="0" w:line="240" w:lineRule="auto"/>
      </w:pPr>
      <w:r>
        <w:t xml:space="preserve">Yet that </w:t>
      </w:r>
      <w:r w:rsidR="00070FF1">
        <w:t>shows</w:t>
      </w:r>
      <w:r>
        <w:t xml:space="preserve"> a problem with the argument</w:t>
      </w:r>
      <w:proofErr w:type="gramStart"/>
      <w:r>
        <w:t xml:space="preserve">.  </w:t>
      </w:r>
      <w:proofErr w:type="gramEnd"/>
      <w:r w:rsidR="00070FF1">
        <w:t xml:space="preserve">The </w:t>
      </w:r>
      <w:r w:rsidR="00BE27A8">
        <w:t xml:space="preserve">legislation </w:t>
      </w:r>
      <w:r w:rsidR="00070FF1">
        <w:t>limits</w:t>
      </w:r>
      <w:r w:rsidR="008321D3">
        <w:t xml:space="preserve"> factors that may be </w:t>
      </w:r>
      <w:proofErr w:type="gramStart"/>
      <w:r w:rsidR="008321D3">
        <w:t>taken into account</w:t>
      </w:r>
      <w:proofErr w:type="gramEnd"/>
      <w:r w:rsidR="008321D3">
        <w:t xml:space="preserve"> in decisions to deal with human biosecurity emergencies.  </w:t>
      </w:r>
      <w:r>
        <w:t>Parliament had taken</w:t>
      </w:r>
      <w:r w:rsidR="00BE27A8">
        <w:t xml:space="preserve"> </w:t>
      </w:r>
      <w:r w:rsidR="00580D1A">
        <w:t xml:space="preserve">Cabinet’s </w:t>
      </w:r>
      <w:r w:rsidR="00BE27A8">
        <w:t>w</w:t>
      </w:r>
      <w:r w:rsidR="00BE27A8">
        <w:t xml:space="preserve">hole-of-government considerations </w:t>
      </w:r>
      <w:r w:rsidR="00BE27A8">
        <w:t xml:space="preserve">out of </w:t>
      </w:r>
      <w:r w:rsidR="00BE27A8">
        <w:t>play</w:t>
      </w:r>
      <w:proofErr w:type="gramStart"/>
      <w:r w:rsidR="00BE27A8">
        <w:t>.</w:t>
      </w:r>
      <w:r w:rsidR="00BE27A8">
        <w:t xml:space="preserve">  </w:t>
      </w:r>
      <w:proofErr w:type="gramEnd"/>
      <w:r w:rsidR="00580D1A">
        <w:t xml:space="preserve">Introduction of Cabinet </w:t>
      </w:r>
      <w:r w:rsidR="008321D3">
        <w:t xml:space="preserve">views </w:t>
      </w:r>
      <w:r w:rsidR="00580D1A">
        <w:t>into such decision-making would be contrary to Parliament’s intent</w:t>
      </w:r>
      <w:r w:rsidR="008321D3">
        <w:t xml:space="preserve"> of how such emergencies should </w:t>
      </w:r>
      <w:proofErr w:type="gramStart"/>
      <w:r w:rsidR="008321D3">
        <w:t>be addressed</w:t>
      </w:r>
      <w:proofErr w:type="gramEnd"/>
      <w:r w:rsidR="0035446F">
        <w:t xml:space="preserve">, </w:t>
      </w:r>
      <w:r w:rsidR="00A911E9">
        <w:t xml:space="preserve">i.e., </w:t>
      </w:r>
      <w:r w:rsidR="0035446F">
        <w:t>by the Health Minister for public health purposes</w:t>
      </w:r>
      <w:r>
        <w:t>.</w:t>
      </w:r>
    </w:p>
    <w:p w14:paraId="369632F6" w14:textId="77777777" w:rsidR="00865CE8" w:rsidRDefault="00865CE8" w:rsidP="00A04090">
      <w:pPr>
        <w:spacing w:after="0" w:line="240" w:lineRule="auto"/>
      </w:pPr>
    </w:p>
    <w:p w14:paraId="01C6992A" w14:textId="4BDBC2E5" w:rsidR="0035446F" w:rsidRDefault="00865CE8" w:rsidP="00A04090">
      <w:pPr>
        <w:spacing w:after="0" w:line="240" w:lineRule="auto"/>
      </w:pPr>
      <w:r>
        <w:t>A wish to take a broader perspective is not advanced</w:t>
      </w:r>
      <w:r w:rsidR="008321D3">
        <w:t xml:space="preserve"> by making the Prime Minister (another) Health Minister</w:t>
      </w:r>
      <w:proofErr w:type="gramStart"/>
      <w:r w:rsidR="008321D3">
        <w:t xml:space="preserve">.  </w:t>
      </w:r>
      <w:proofErr w:type="gramEnd"/>
      <w:r w:rsidR="008321D3">
        <w:t>The</w:t>
      </w:r>
      <w:r w:rsidR="00E41417">
        <w:t xml:space="preserve"> Prime Minister </w:t>
      </w:r>
      <w:r w:rsidR="008321D3">
        <w:t xml:space="preserve">would be as unable as </w:t>
      </w:r>
      <w:r w:rsidR="0037257E">
        <w:t xml:space="preserve">the Health Minister or </w:t>
      </w:r>
      <w:r w:rsidR="00E41417">
        <w:t>Cabinet</w:t>
      </w:r>
      <w:r w:rsidR="008321D3">
        <w:t xml:space="preserve"> to </w:t>
      </w:r>
      <w:r w:rsidR="00070FF1">
        <w:t>take</w:t>
      </w:r>
      <w:r w:rsidR="008321D3">
        <w:t xml:space="preserve"> wider perspectives in</w:t>
      </w:r>
      <w:r w:rsidR="00070FF1">
        <w:t xml:space="preserve"> </w:t>
      </w:r>
      <w:r w:rsidR="0037257E">
        <w:t>relevant</w:t>
      </w:r>
      <w:r w:rsidR="008321D3">
        <w:t xml:space="preserve"> decision-making</w:t>
      </w:r>
      <w:proofErr w:type="gramStart"/>
      <w:r w:rsidR="00E41417">
        <w:t>.</w:t>
      </w:r>
      <w:r w:rsidR="008321D3">
        <w:t xml:space="preserve">  </w:t>
      </w:r>
      <w:proofErr w:type="gramEnd"/>
      <w:r w:rsidR="008321D3">
        <w:t xml:space="preserve">This raises a concern with Mr Morrison’s explanation: it </w:t>
      </w:r>
      <w:proofErr w:type="gramStart"/>
      <w:r w:rsidR="008321D3">
        <w:t xml:space="preserve">appears to </w:t>
      </w:r>
      <w:r w:rsidR="00070FF1">
        <w:t>suggest</w:t>
      </w:r>
      <w:proofErr w:type="gramEnd"/>
      <w:r w:rsidR="00070FF1">
        <w:t xml:space="preserve"> the </w:t>
      </w:r>
      <w:r w:rsidR="0035446F">
        <w:t xml:space="preserve">Government’s </w:t>
      </w:r>
      <w:r w:rsidR="00070FF1">
        <w:t xml:space="preserve">wish for broad perspectives </w:t>
      </w:r>
      <w:r w:rsidR="00A76EE8">
        <w:t>(in</w:t>
      </w:r>
      <w:r w:rsidR="00070FF1">
        <w:t xml:space="preserve"> determining emergency responses under the </w:t>
      </w:r>
      <w:r w:rsidR="007939AF">
        <w:t xml:space="preserve">Biosecurity </w:t>
      </w:r>
      <w:r w:rsidR="00070FF1">
        <w:t>Act</w:t>
      </w:r>
      <w:r w:rsidR="00A76EE8">
        <w:t xml:space="preserve">) </w:t>
      </w:r>
      <w:r w:rsidR="00070FF1">
        <w:t>should invalidate Parliament’s wish for a narrow perspective.</w:t>
      </w:r>
    </w:p>
    <w:p w14:paraId="284BA221" w14:textId="47B29D25" w:rsidR="00113B6B" w:rsidRDefault="00E41417" w:rsidP="00A04090">
      <w:pPr>
        <w:spacing w:after="0" w:line="240" w:lineRule="auto"/>
      </w:pPr>
      <w:r>
        <w:t xml:space="preserve"> </w:t>
      </w:r>
    </w:p>
    <w:p w14:paraId="4DE1A973" w14:textId="3452B067" w:rsidR="007939AF" w:rsidRDefault="00E41417" w:rsidP="00A04090">
      <w:pPr>
        <w:spacing w:after="0" w:line="240" w:lineRule="auto"/>
      </w:pPr>
      <w:r>
        <w:t xml:space="preserve">Only Parliament, by </w:t>
      </w:r>
      <w:r w:rsidR="00BF1267">
        <w:t>(</w:t>
      </w:r>
      <w:r>
        <w:t>changing the</w:t>
      </w:r>
      <w:r w:rsidR="00BF1267">
        <w:t>)</w:t>
      </w:r>
      <w:r>
        <w:t xml:space="preserve"> legislation, can allow introduction of what the Government considers to be national interest or whole-of-government considerations</w:t>
      </w:r>
      <w:r w:rsidR="0035446F">
        <w:t xml:space="preserve"> into decision making under the emergency provisions of the Act</w:t>
      </w:r>
      <w:proofErr w:type="gramStart"/>
      <w:r>
        <w:t>.</w:t>
      </w:r>
      <w:r w:rsidR="00EA21CB">
        <w:t xml:space="preserve">  </w:t>
      </w:r>
      <w:proofErr w:type="gramEnd"/>
      <w:r w:rsidR="00EA21CB">
        <w:t>Otherwise, Parliament would be unable to control the Government.</w:t>
      </w:r>
      <w:r w:rsidR="0035446F">
        <w:t xml:space="preserve"> </w:t>
      </w:r>
    </w:p>
    <w:p w14:paraId="3BA3CE34" w14:textId="48FF8D3A" w:rsidR="005A023C" w:rsidRDefault="0035446F" w:rsidP="00A04090">
      <w:pPr>
        <w:spacing w:after="0" w:line="240" w:lineRule="auto"/>
      </w:pPr>
      <w:r>
        <w:lastRenderedPageBreak/>
        <w:t xml:space="preserve">However, by the </w:t>
      </w:r>
      <w:r w:rsidR="007939AF">
        <w:t>Biosecurity Act</w:t>
      </w:r>
      <w:r>
        <w:t xml:space="preserve"> precluding disallowance, Parliament had </w:t>
      </w:r>
      <w:r w:rsidR="00BA7901">
        <w:t xml:space="preserve">– in 2015 - </w:t>
      </w:r>
      <w:r>
        <w:t>signalled a lack of interest i</w:t>
      </w:r>
      <w:r w:rsidR="00046D08">
        <w:t xml:space="preserve">n </w:t>
      </w:r>
      <w:r w:rsidR="006C1F05">
        <w:t xml:space="preserve">it </w:t>
      </w:r>
      <w:r>
        <w:t xml:space="preserve">controlling </w:t>
      </w:r>
      <w:r w:rsidR="006C1F05">
        <w:t>a</w:t>
      </w:r>
      <w:r w:rsidR="00046D08">
        <w:t xml:space="preserve"> Minister’s</w:t>
      </w:r>
      <w:r>
        <w:t xml:space="preserve"> </w:t>
      </w:r>
      <w:r w:rsidR="00046D08">
        <w:t>‘</w:t>
      </w:r>
      <w:r w:rsidR="00C35776">
        <w:t>g</w:t>
      </w:r>
      <w:r w:rsidR="00046D08">
        <w:t>od-like powers’</w:t>
      </w:r>
      <w:proofErr w:type="gramStart"/>
      <w:r w:rsidR="00046D08">
        <w:t>.</w:t>
      </w:r>
      <w:r w:rsidR="006C1F05">
        <w:t xml:space="preserve">  </w:t>
      </w:r>
      <w:proofErr w:type="gramEnd"/>
      <w:r w:rsidR="006C1F05">
        <w:t xml:space="preserve">It </w:t>
      </w:r>
      <w:r w:rsidR="003250E1">
        <w:t>also</w:t>
      </w:r>
      <w:r w:rsidR="006C1F05">
        <w:t xml:space="preserve"> signalled it did not want Cabinet Government to supervise </w:t>
      </w:r>
      <w:r w:rsidR="00C26EB7">
        <w:t>that individual’s use of those powers.</w:t>
      </w:r>
      <w:r w:rsidR="007939AF">
        <w:t xml:space="preserve"> </w:t>
      </w:r>
    </w:p>
    <w:p w14:paraId="73D90A74" w14:textId="77777777" w:rsidR="005A023C" w:rsidRDefault="005A023C" w:rsidP="00A04090">
      <w:pPr>
        <w:spacing w:after="0" w:line="240" w:lineRule="auto"/>
      </w:pPr>
    </w:p>
    <w:p w14:paraId="59401814" w14:textId="535A5206" w:rsidR="0035446F" w:rsidRDefault="007939AF" w:rsidP="00A04090">
      <w:pPr>
        <w:spacing w:after="0" w:line="240" w:lineRule="auto"/>
      </w:pPr>
      <w:r>
        <w:t xml:space="preserve">Such </w:t>
      </w:r>
      <w:r w:rsidR="0035446F">
        <w:t xml:space="preserve">lack of interest in controlling </w:t>
      </w:r>
      <w:r w:rsidR="00046D08">
        <w:t>a single Minister’s views about how</w:t>
      </w:r>
      <w:r w:rsidR="0035446F">
        <w:t xml:space="preserve"> </w:t>
      </w:r>
      <w:r w:rsidR="00046D08">
        <w:t xml:space="preserve">to deal with </w:t>
      </w:r>
      <w:r w:rsidR="0035446F">
        <w:t xml:space="preserve">emergencies was reinforced by </w:t>
      </w:r>
      <w:r w:rsidR="00C26EB7">
        <w:t>identical</w:t>
      </w:r>
      <w:r w:rsidR="0035446F">
        <w:t xml:space="preserve"> </w:t>
      </w:r>
      <w:r>
        <w:t>treatment of</w:t>
      </w:r>
      <w:r w:rsidR="0035446F">
        <w:t xml:space="preserve"> </w:t>
      </w:r>
      <w:r w:rsidR="00C26EB7">
        <w:t xml:space="preserve">similar </w:t>
      </w:r>
      <w:r w:rsidR="00C35776">
        <w:t>g</w:t>
      </w:r>
      <w:r w:rsidR="00C26EB7">
        <w:t xml:space="preserve">od-like powers available to the </w:t>
      </w:r>
      <w:r w:rsidR="0035446F">
        <w:t>Prime Minister under the National Emergency Declaration Act</w:t>
      </w:r>
      <w:r>
        <w:t xml:space="preserve"> which was passed in 2020</w:t>
      </w:r>
      <w:proofErr w:type="gramStart"/>
      <w:r w:rsidR="00BA7901">
        <w:t>.</w:t>
      </w:r>
      <w:r w:rsidR="00D31950">
        <w:t xml:space="preserve">  </w:t>
      </w:r>
      <w:proofErr w:type="gramEnd"/>
      <w:r w:rsidR="00BA7901">
        <w:t xml:space="preserve">A further reinforcing factor </w:t>
      </w:r>
      <w:r>
        <w:t>was</w:t>
      </w:r>
      <w:r w:rsidR="00BA7901">
        <w:t xml:space="preserve"> the extraordinary circumstances under which that legislation </w:t>
      </w:r>
      <w:proofErr w:type="gramStart"/>
      <w:r w:rsidR="00BA7901">
        <w:t xml:space="preserve">was </w:t>
      </w:r>
      <w:r w:rsidR="00A76EE8">
        <w:t xml:space="preserve">hastily </w:t>
      </w:r>
      <w:r w:rsidR="0035446F">
        <w:t>passed</w:t>
      </w:r>
      <w:proofErr w:type="gramEnd"/>
      <w:r w:rsidR="0035446F">
        <w:t xml:space="preserve"> </w:t>
      </w:r>
      <w:r w:rsidR="00A76EE8">
        <w:t xml:space="preserve">without substantive discussion </w:t>
      </w:r>
      <w:r w:rsidR="003250E1">
        <w:t xml:space="preserve">- </w:t>
      </w:r>
      <w:r w:rsidR="00BA7901">
        <w:t xml:space="preserve">just </w:t>
      </w:r>
      <w:r w:rsidR="00A76EE8">
        <w:t xml:space="preserve">in time for </w:t>
      </w:r>
      <w:r w:rsidR="00BA7901">
        <w:t xml:space="preserve">Christmas </w:t>
      </w:r>
      <w:r w:rsidR="00A76EE8">
        <w:t xml:space="preserve">holidays in </w:t>
      </w:r>
      <w:r w:rsidR="00BA7901">
        <w:t>2020</w:t>
      </w:r>
      <w:r w:rsidR="0035446F">
        <w:t>.</w:t>
      </w:r>
      <w:r w:rsidR="0035446F">
        <w:rPr>
          <w:rStyle w:val="FootnoteReference"/>
        </w:rPr>
        <w:footnoteReference w:id="26"/>
      </w:r>
    </w:p>
    <w:p w14:paraId="7E64F753" w14:textId="0271272A" w:rsidR="00BA7901" w:rsidRDefault="00BA7901" w:rsidP="00A04090">
      <w:pPr>
        <w:spacing w:after="0" w:line="240" w:lineRule="auto"/>
      </w:pPr>
    </w:p>
    <w:p w14:paraId="4E2F8E4D" w14:textId="77777777" w:rsidR="005A023C" w:rsidRDefault="007939AF" w:rsidP="00A04090">
      <w:pPr>
        <w:spacing w:after="0" w:line="240" w:lineRule="auto"/>
      </w:pPr>
      <w:r>
        <w:t xml:space="preserve">Hence, </w:t>
      </w:r>
      <w:r w:rsidR="00BA7901">
        <w:t xml:space="preserve">Mr Morrison’s argument sheds light on two </w:t>
      </w:r>
      <w:proofErr w:type="gramStart"/>
      <w:r w:rsidR="00BA7901">
        <w:t>important factors</w:t>
      </w:r>
      <w:proofErr w:type="gramEnd"/>
      <w:r w:rsidR="00BA7901">
        <w:t xml:space="preserve"> overlooked by the report.  </w:t>
      </w:r>
    </w:p>
    <w:p w14:paraId="02599893" w14:textId="77777777" w:rsidR="005A023C" w:rsidRDefault="005A023C" w:rsidP="00A04090">
      <w:pPr>
        <w:spacing w:after="0" w:line="240" w:lineRule="auto"/>
      </w:pPr>
    </w:p>
    <w:p w14:paraId="60A217BD" w14:textId="1172F625" w:rsidR="003639D2" w:rsidRDefault="00BA7901" w:rsidP="00A04090">
      <w:pPr>
        <w:spacing w:after="0" w:line="240" w:lineRule="auto"/>
      </w:pPr>
      <w:r>
        <w:t>First, the critical factor of responsible government is Parliament’s supremacy</w:t>
      </w:r>
      <w:r w:rsidR="007939AF">
        <w:t xml:space="preserve"> over the Government</w:t>
      </w:r>
      <w:proofErr w:type="gramStart"/>
      <w:r w:rsidR="007939AF">
        <w:t xml:space="preserve">.  </w:t>
      </w:r>
      <w:proofErr w:type="gramEnd"/>
      <w:r w:rsidR="007939AF">
        <w:t>That supremacy</w:t>
      </w:r>
      <w:r>
        <w:t xml:space="preserve"> i</w:t>
      </w:r>
      <w:r w:rsidR="007300EF">
        <w:t>s based on</w:t>
      </w:r>
      <w:r>
        <w:t xml:space="preserve"> an ability to control, rather than merely question, Government members</w:t>
      </w:r>
      <w:proofErr w:type="gramStart"/>
      <w:r>
        <w:t xml:space="preserve">.  </w:t>
      </w:r>
      <w:proofErr w:type="gramEnd"/>
      <w:r>
        <w:t>‘Accountability by questioning</w:t>
      </w:r>
      <w:r w:rsidR="007939AF">
        <w:t>’</w:t>
      </w:r>
      <w:r>
        <w:t xml:space="preserve"> arises from that control</w:t>
      </w:r>
      <w:r w:rsidR="003639D2">
        <w:t>.</w:t>
      </w:r>
    </w:p>
    <w:p w14:paraId="49632518" w14:textId="77777777" w:rsidR="003639D2" w:rsidRDefault="003639D2" w:rsidP="00A04090">
      <w:pPr>
        <w:spacing w:after="0" w:line="240" w:lineRule="auto"/>
      </w:pPr>
    </w:p>
    <w:p w14:paraId="49F81B0C" w14:textId="43784E95" w:rsidR="00BA7901" w:rsidRDefault="003639D2" w:rsidP="00A04090">
      <w:pPr>
        <w:spacing w:after="0" w:line="240" w:lineRule="auto"/>
      </w:pPr>
      <w:r>
        <w:t xml:space="preserve">Second, </w:t>
      </w:r>
      <w:r w:rsidR="00BA7901">
        <w:t>to be effective, responsible government must operate as a two-way street with Parliament</w:t>
      </w:r>
      <w:r w:rsidR="007300EF">
        <w:t>arians</w:t>
      </w:r>
      <w:r w:rsidR="00BA7901">
        <w:t xml:space="preserve"> taking some interest in controlling </w:t>
      </w:r>
      <w:r w:rsidR="003250E1">
        <w:t xml:space="preserve">the Government </w:t>
      </w:r>
      <w:r w:rsidR="00BA7901">
        <w:t xml:space="preserve">– not merely questioning </w:t>
      </w:r>
      <w:r w:rsidR="007300EF">
        <w:t xml:space="preserve">or running campaigns against </w:t>
      </w:r>
      <w:r w:rsidR="00BA7901">
        <w:t xml:space="preserve">the </w:t>
      </w:r>
      <w:r w:rsidR="003250E1">
        <w:t xml:space="preserve">Prime Minister or other </w:t>
      </w:r>
      <w:proofErr w:type="gramStart"/>
      <w:r w:rsidR="003250E1">
        <w:t>particular political</w:t>
      </w:r>
      <w:proofErr w:type="gramEnd"/>
      <w:r w:rsidR="003250E1">
        <w:t xml:space="preserve"> ‘targets’</w:t>
      </w:r>
      <w:r w:rsidR="00BA7901">
        <w:t>.</w:t>
      </w:r>
      <w:r>
        <w:t xml:space="preserve">  </w:t>
      </w:r>
      <w:r w:rsidR="00A76EE8">
        <w:t>The attitudes of p</w:t>
      </w:r>
      <w:r w:rsidR="001E6FAD">
        <w:t>oliticians to Government and Parliament are a foundation of responsible government.</w:t>
      </w:r>
      <w:r w:rsidR="00A76EE8">
        <w:t xml:space="preserve"> </w:t>
      </w:r>
    </w:p>
    <w:p w14:paraId="3576DEE8" w14:textId="2C522D7E" w:rsidR="00D370B2" w:rsidRDefault="00D370B2" w:rsidP="00A04090">
      <w:pPr>
        <w:spacing w:after="0" w:line="240" w:lineRule="auto"/>
      </w:pPr>
    </w:p>
    <w:p w14:paraId="67A811FD" w14:textId="47B849DF" w:rsidR="00D370B2" w:rsidRDefault="003250E1" w:rsidP="00A04090">
      <w:pPr>
        <w:spacing w:after="0" w:line="240" w:lineRule="auto"/>
      </w:pPr>
      <w:r>
        <w:t>C</w:t>
      </w:r>
      <w:r w:rsidR="00D370B2">
        <w:t xml:space="preserve">riticism </w:t>
      </w:r>
      <w:r>
        <w:t>of</w:t>
      </w:r>
      <w:r w:rsidR="00D370B2">
        <w:t xml:space="preserve"> Mr Morrison undermin</w:t>
      </w:r>
      <w:r>
        <w:t>ing</w:t>
      </w:r>
      <w:r w:rsidR="00D370B2">
        <w:t xml:space="preserve"> Cabinet is </w:t>
      </w:r>
      <w:r w:rsidR="00984D62">
        <w:t xml:space="preserve">facile and </w:t>
      </w:r>
      <w:r w:rsidR="00D370B2">
        <w:t xml:space="preserve">trivial – </w:t>
      </w:r>
      <w:r>
        <w:t>he</w:t>
      </w:r>
      <w:r w:rsidR="00D370B2">
        <w:t xml:space="preserve"> effectively appointed members to, and determined what would be decided by, Cabinet</w:t>
      </w:r>
      <w:proofErr w:type="gramStart"/>
      <w:r w:rsidR="00D370B2">
        <w:t xml:space="preserve">. </w:t>
      </w:r>
      <w:r w:rsidR="00A46857">
        <w:t xml:space="preserve"> </w:t>
      </w:r>
      <w:proofErr w:type="gramEnd"/>
      <w:r w:rsidR="008614A7">
        <w:t xml:space="preserve">His attitude to </w:t>
      </w:r>
      <w:r w:rsidR="0037257E">
        <w:t>Cabinet is irrelevant</w:t>
      </w:r>
      <w:r w:rsidR="008614A7">
        <w:t xml:space="preserve"> and c</w:t>
      </w:r>
      <w:r w:rsidR="00576A67">
        <w:t>alling th</w:t>
      </w:r>
      <w:r w:rsidR="008614A7">
        <w:t>e affair</w:t>
      </w:r>
      <w:r w:rsidR="00576A67">
        <w:t xml:space="preserve"> a ‘power grab’ introduce</w:t>
      </w:r>
      <w:r w:rsidR="00D31950">
        <w:t>s</w:t>
      </w:r>
      <w:r w:rsidR="00576A67">
        <w:t xml:space="preserve"> a red herring</w:t>
      </w:r>
      <w:proofErr w:type="gramStart"/>
      <w:r w:rsidR="0037257E">
        <w:t xml:space="preserve">.  </w:t>
      </w:r>
      <w:proofErr w:type="gramEnd"/>
      <w:r w:rsidR="00A46857">
        <w:t xml:space="preserve">It diverts attention from a real problem: Parliament </w:t>
      </w:r>
      <w:proofErr w:type="gramStart"/>
      <w:r w:rsidR="00A46857">
        <w:t>being undermined</w:t>
      </w:r>
      <w:proofErr w:type="gramEnd"/>
      <w:r w:rsidR="00A46857">
        <w:t xml:space="preserve"> by losing control of the Government</w:t>
      </w:r>
      <w:r w:rsidR="00C26EB7">
        <w:t xml:space="preserve"> – encouraged by Parliamentarians abrogating </w:t>
      </w:r>
      <w:r w:rsidR="008614A7">
        <w:t>th</w:t>
      </w:r>
      <w:r w:rsidR="00C26EB7">
        <w:t>eir responsibilities -</w:t>
      </w:r>
      <w:r w:rsidR="00576A67">
        <w:t xml:space="preserve"> enabling a real power grab</w:t>
      </w:r>
      <w:r w:rsidR="001E6FAD">
        <w:t xml:space="preserve"> by someone less well intentioned than recent Prime Ministers.</w:t>
      </w:r>
    </w:p>
    <w:p w14:paraId="5DCFE472" w14:textId="77777777" w:rsidR="0035446F" w:rsidRDefault="0035446F" w:rsidP="00A04090">
      <w:pPr>
        <w:spacing w:after="0" w:line="240" w:lineRule="auto"/>
      </w:pPr>
    </w:p>
    <w:p w14:paraId="1A906ED8" w14:textId="5474EFA8" w:rsidR="00D132E6" w:rsidRDefault="00BF30CF" w:rsidP="00A04090">
      <w:pPr>
        <w:pStyle w:val="Heading2"/>
        <w:spacing w:before="0" w:line="240" w:lineRule="auto"/>
      </w:pPr>
      <w:bookmarkStart w:id="10" w:name="_Toc123473926"/>
      <w:r>
        <w:t>4</w:t>
      </w:r>
      <w:r w:rsidR="00D132E6">
        <w:t>.</w:t>
      </w:r>
      <w:r w:rsidR="00D132E6">
        <w:tab/>
        <w:t>Conclusion</w:t>
      </w:r>
      <w:bookmarkEnd w:id="10"/>
    </w:p>
    <w:p w14:paraId="31F906F9" w14:textId="12D749AB" w:rsidR="00D132E6" w:rsidRDefault="00BF30CF" w:rsidP="00A04090">
      <w:pPr>
        <w:pStyle w:val="Heading3"/>
        <w:spacing w:before="0" w:line="240" w:lineRule="auto"/>
      </w:pPr>
      <w:bookmarkStart w:id="11" w:name="_Toc123473927"/>
      <w:r>
        <w:t>4</w:t>
      </w:r>
      <w:r w:rsidR="00D132E6">
        <w:t>.1</w:t>
      </w:r>
      <w:r w:rsidR="00D132E6">
        <w:tab/>
        <w:t xml:space="preserve">The Inquiry </w:t>
      </w:r>
      <w:proofErr w:type="gramStart"/>
      <w:r w:rsidR="00D132E6">
        <w:t>etc.</w:t>
      </w:r>
      <w:bookmarkEnd w:id="11"/>
      <w:proofErr w:type="gramEnd"/>
    </w:p>
    <w:p w14:paraId="6EB9798F" w14:textId="559D3247" w:rsidR="007939AF" w:rsidRDefault="00D132E6" w:rsidP="00A04090">
      <w:pPr>
        <w:spacing w:after="0" w:line="240" w:lineRule="auto"/>
      </w:pPr>
      <w:r>
        <w:t>The secret appointments affair was straightforward</w:t>
      </w:r>
      <w:proofErr w:type="gramStart"/>
      <w:r w:rsidR="007939AF">
        <w:t xml:space="preserve">.  </w:t>
      </w:r>
      <w:proofErr w:type="gramEnd"/>
      <w:r w:rsidR="007939AF">
        <w:t>It</w:t>
      </w:r>
      <w:r>
        <w:t xml:space="preserve"> should have been dealt with quickly</w:t>
      </w:r>
      <w:proofErr w:type="gramStart"/>
      <w:r>
        <w:t xml:space="preserve">.  </w:t>
      </w:r>
      <w:proofErr w:type="gramEnd"/>
    </w:p>
    <w:p w14:paraId="331AD7C0" w14:textId="77777777" w:rsidR="007939AF" w:rsidRDefault="007939AF" w:rsidP="00A04090">
      <w:pPr>
        <w:spacing w:after="0" w:line="240" w:lineRule="auto"/>
      </w:pPr>
    </w:p>
    <w:p w14:paraId="580293A8" w14:textId="28D8B0E2" w:rsidR="00BF1267" w:rsidRDefault="007939AF" w:rsidP="00A04090">
      <w:pPr>
        <w:spacing w:after="0" w:line="240" w:lineRule="auto"/>
      </w:pPr>
      <w:r>
        <w:t xml:space="preserve">Contrary to </w:t>
      </w:r>
      <w:proofErr w:type="gramStart"/>
      <w:r>
        <w:t>much</w:t>
      </w:r>
      <w:proofErr w:type="gramEnd"/>
      <w:r>
        <w:t xml:space="preserve"> early commentary and the title of the Inquiry, t</w:t>
      </w:r>
      <w:r w:rsidR="00D132E6">
        <w:t xml:space="preserve">here </w:t>
      </w:r>
      <w:r w:rsidR="00413E13">
        <w:t>i</w:t>
      </w:r>
      <w:r w:rsidR="00D132E6">
        <w:t xml:space="preserve">s no concern with </w:t>
      </w:r>
      <w:r w:rsidR="00413E13">
        <w:t>a</w:t>
      </w:r>
      <w:r w:rsidR="00D132E6">
        <w:t xml:space="preserve"> Prime Minister being appointed to other portfolios.</w:t>
      </w:r>
    </w:p>
    <w:p w14:paraId="398D4245" w14:textId="24226ED4" w:rsidR="00D132E6" w:rsidRDefault="00D132E6" w:rsidP="00A04090">
      <w:pPr>
        <w:spacing w:after="0" w:line="240" w:lineRule="auto"/>
      </w:pPr>
      <w:r>
        <w:t xml:space="preserve">  </w:t>
      </w:r>
    </w:p>
    <w:p w14:paraId="7B34134D" w14:textId="099D8B5E" w:rsidR="00D132E6" w:rsidRDefault="00D132E6" w:rsidP="00A04090">
      <w:pPr>
        <w:spacing w:after="0" w:line="240" w:lineRule="auto"/>
      </w:pPr>
      <w:r>
        <w:t xml:space="preserve">There </w:t>
      </w:r>
      <w:r w:rsidR="007939AF">
        <w:t>i</w:t>
      </w:r>
      <w:r>
        <w:t>s a concern with the secrecy of the appointments – as there would be with any secrecy about which Minister or official holds which powers</w:t>
      </w:r>
      <w:proofErr w:type="gramStart"/>
      <w:r>
        <w:t xml:space="preserve">.  </w:t>
      </w:r>
      <w:proofErr w:type="gramEnd"/>
      <w:r>
        <w:t xml:space="preserve">That should </w:t>
      </w:r>
      <w:proofErr w:type="gramStart"/>
      <w:r>
        <w:t>be resolved</w:t>
      </w:r>
      <w:proofErr w:type="gramEnd"/>
      <w:r>
        <w:t xml:space="preserve"> by a requirement to publish a list of Ministers and officials and the powers they hold.</w:t>
      </w:r>
    </w:p>
    <w:p w14:paraId="17D560B2" w14:textId="77777777" w:rsidR="00D132E6" w:rsidRDefault="00D132E6" w:rsidP="00A04090">
      <w:pPr>
        <w:spacing w:after="0" w:line="240" w:lineRule="auto"/>
      </w:pPr>
    </w:p>
    <w:p w14:paraId="6FEB398B" w14:textId="0F9AC5D5" w:rsidR="00D132E6" w:rsidRDefault="00D132E6" w:rsidP="00A04090">
      <w:pPr>
        <w:spacing w:after="0" w:line="240" w:lineRule="auto"/>
      </w:pPr>
      <w:r>
        <w:t xml:space="preserve">However, Prime Minister Albanese sought to prolong public exposure </w:t>
      </w:r>
      <w:r w:rsidR="00413E13">
        <w:t>of</w:t>
      </w:r>
      <w:r>
        <w:t xml:space="preserve"> the matter</w:t>
      </w:r>
      <w:proofErr w:type="gramStart"/>
      <w:r>
        <w:t xml:space="preserve">.  </w:t>
      </w:r>
      <w:proofErr w:type="gramEnd"/>
      <w:r>
        <w:t>Th</w:t>
      </w:r>
      <w:r w:rsidR="00E5354A">
        <w:t>at</w:t>
      </w:r>
      <w:r>
        <w:t xml:space="preserve"> expose</w:t>
      </w:r>
      <w:r w:rsidR="00E5354A">
        <w:t>d</w:t>
      </w:r>
      <w:r>
        <w:t xml:space="preserve"> deeper issues which</w:t>
      </w:r>
      <w:r w:rsidR="00E5354A">
        <w:t>, unfortunately,</w:t>
      </w:r>
      <w:r>
        <w:t xml:space="preserve"> the Solicitor General </w:t>
      </w:r>
      <w:r w:rsidR="00413E13">
        <w:t xml:space="preserve">and </w:t>
      </w:r>
      <w:r w:rsidR="00E5354A">
        <w:t xml:space="preserve">the </w:t>
      </w:r>
      <w:r>
        <w:t xml:space="preserve">Inquiry </w:t>
      </w:r>
      <w:r w:rsidR="00413E13">
        <w:t>overlooked</w:t>
      </w:r>
      <w:proofErr w:type="gramStart"/>
      <w:r>
        <w:t>.</w:t>
      </w:r>
      <w:r w:rsidR="00D31950">
        <w:t xml:space="preserve">  </w:t>
      </w:r>
      <w:proofErr w:type="gramEnd"/>
    </w:p>
    <w:p w14:paraId="2E0B8222" w14:textId="77777777" w:rsidR="00D132E6" w:rsidRDefault="00D132E6" w:rsidP="00A04090">
      <w:pPr>
        <w:spacing w:after="0" w:line="240" w:lineRule="auto"/>
      </w:pPr>
      <w:r>
        <w:t xml:space="preserve"> </w:t>
      </w:r>
    </w:p>
    <w:p w14:paraId="016C6304" w14:textId="688E838E" w:rsidR="00A66607" w:rsidRDefault="00D132E6" w:rsidP="00A04090">
      <w:pPr>
        <w:spacing w:after="0" w:line="240" w:lineRule="auto"/>
      </w:pPr>
      <w:r>
        <w:t xml:space="preserve">One such issue is the </w:t>
      </w:r>
      <w:r w:rsidR="00A66607">
        <w:t>problem arising from</w:t>
      </w:r>
      <w:r>
        <w:t xml:space="preserve"> secrecy</w:t>
      </w:r>
      <w:r w:rsidR="00413E13">
        <w:t>:</w:t>
      </w:r>
      <w:r w:rsidR="00A66607">
        <w:t xml:space="preserve"> uncertainty about whether those in positions of authority are acting </w:t>
      </w:r>
      <w:r w:rsidR="00A66607" w:rsidRPr="00E5354A">
        <w:rPr>
          <w:i/>
          <w:iCs/>
        </w:rPr>
        <w:t>within</w:t>
      </w:r>
      <w:r w:rsidR="00A66607">
        <w:t xml:space="preserve"> their powers</w:t>
      </w:r>
      <w:proofErr w:type="gramStart"/>
      <w:r w:rsidR="00A66607">
        <w:t xml:space="preserve">.  </w:t>
      </w:r>
      <w:proofErr w:type="gramEnd"/>
      <w:r w:rsidR="00A66607">
        <w:t xml:space="preserve">While Mr Morrison acted within </w:t>
      </w:r>
      <w:r w:rsidR="00984D62">
        <w:t>the</w:t>
      </w:r>
      <w:r w:rsidR="00A66607">
        <w:t xml:space="preserve"> powers</w:t>
      </w:r>
      <w:r w:rsidR="00984D62">
        <w:t xml:space="preserve"> of the appointments in this affair, the secrecy</w:t>
      </w:r>
      <w:r w:rsidR="007300EF">
        <w:t xml:space="preserve"> </w:t>
      </w:r>
      <w:r w:rsidR="00413E13">
        <w:t>facilitate</w:t>
      </w:r>
      <w:r w:rsidR="00984D62">
        <w:t>s</w:t>
      </w:r>
      <w:r w:rsidR="00A66607">
        <w:t xml:space="preserve"> </w:t>
      </w:r>
      <w:r w:rsidR="00413E13">
        <w:t>exaggeration</w:t>
      </w:r>
      <w:r w:rsidR="00984D62">
        <w:t>s</w:t>
      </w:r>
      <w:r w:rsidR="00413E13">
        <w:t xml:space="preserve"> </w:t>
      </w:r>
      <w:r w:rsidR="00E5354A">
        <w:t>by</w:t>
      </w:r>
      <w:r w:rsidR="00413E13">
        <w:t xml:space="preserve"> </w:t>
      </w:r>
      <w:r w:rsidR="00A66607">
        <w:t xml:space="preserve">others </w:t>
      </w:r>
      <w:r w:rsidR="00984D62">
        <w:t>of</w:t>
      </w:r>
      <w:r w:rsidR="00A66607">
        <w:t xml:space="preserve"> their powers.</w:t>
      </w:r>
    </w:p>
    <w:p w14:paraId="6958494E" w14:textId="77777777" w:rsidR="00A66607" w:rsidRDefault="00A66607" w:rsidP="00A04090">
      <w:pPr>
        <w:spacing w:after="0" w:line="240" w:lineRule="auto"/>
      </w:pPr>
    </w:p>
    <w:p w14:paraId="30B85EB1" w14:textId="77777777" w:rsidR="008614A7" w:rsidRDefault="00A66607" w:rsidP="00A04090">
      <w:pPr>
        <w:spacing w:after="0" w:line="240" w:lineRule="auto"/>
      </w:pPr>
      <w:r>
        <w:t xml:space="preserve">Another issue </w:t>
      </w:r>
      <w:r w:rsidR="00413E13">
        <w:t>arises from</w:t>
      </w:r>
      <w:r>
        <w:t xml:space="preserve"> Mr Morrison</w:t>
      </w:r>
      <w:r w:rsidR="00413E13">
        <w:t>’s explanation</w:t>
      </w:r>
      <w:r w:rsidR="007300EF">
        <w:t xml:space="preserve"> </w:t>
      </w:r>
      <w:r w:rsidR="00E5354A">
        <w:t>of a need for</w:t>
      </w:r>
      <w:r w:rsidR="007300EF">
        <w:t xml:space="preserve"> </w:t>
      </w:r>
      <w:r w:rsidR="00E5354A">
        <w:t xml:space="preserve">the </w:t>
      </w:r>
      <w:r w:rsidR="007300EF">
        <w:t>Prime Minister</w:t>
      </w:r>
      <w:r w:rsidR="00E5354A">
        <w:t xml:space="preserve"> to have</w:t>
      </w:r>
      <w:r w:rsidR="007300EF">
        <w:t xml:space="preserve"> </w:t>
      </w:r>
      <w:r w:rsidR="006D7F13">
        <w:t xml:space="preserve">powers to make decisions for which </w:t>
      </w:r>
      <w:r w:rsidR="007300EF">
        <w:t>Cabinet oversight</w:t>
      </w:r>
      <w:r w:rsidR="00EC5B8A">
        <w:t xml:space="preserve"> </w:t>
      </w:r>
      <w:r w:rsidR="006D7F13">
        <w:t>i</w:t>
      </w:r>
      <w:r w:rsidR="00EC5B8A">
        <w:t>s precluded</w:t>
      </w:r>
      <w:proofErr w:type="gramStart"/>
      <w:r w:rsidR="007300EF">
        <w:t xml:space="preserve">.  </w:t>
      </w:r>
      <w:proofErr w:type="gramEnd"/>
    </w:p>
    <w:p w14:paraId="23F76895" w14:textId="03F6DE3C" w:rsidR="00EC5B8A" w:rsidRDefault="007300EF" w:rsidP="00A04090">
      <w:pPr>
        <w:spacing w:after="0" w:line="240" w:lineRule="auto"/>
      </w:pPr>
      <w:r>
        <w:lastRenderedPageBreak/>
        <w:t>That argument</w:t>
      </w:r>
      <w:r w:rsidR="006D7F13">
        <w:t xml:space="preserve"> – </w:t>
      </w:r>
      <w:r>
        <w:t>‘whole of government’ consideration</w:t>
      </w:r>
      <w:r w:rsidR="00E5354A">
        <w:t>s</w:t>
      </w:r>
      <w:r w:rsidR="006D7F13">
        <w:t xml:space="preserve"> - </w:t>
      </w:r>
      <w:r>
        <w:t>leads away from responsible government</w:t>
      </w:r>
      <w:r w:rsidR="003F69A7">
        <w:t>,</w:t>
      </w:r>
      <w:r w:rsidR="00EC5B8A">
        <w:t xml:space="preserve"> of the Government being controlled by Parliament</w:t>
      </w:r>
      <w:proofErr w:type="gramStart"/>
      <w:r>
        <w:t>.</w:t>
      </w:r>
      <w:r w:rsidR="00EC5B8A">
        <w:t xml:space="preserve">  </w:t>
      </w:r>
      <w:proofErr w:type="gramEnd"/>
    </w:p>
    <w:p w14:paraId="2826B104" w14:textId="77777777" w:rsidR="00EC5B8A" w:rsidRDefault="00EC5B8A" w:rsidP="00A04090">
      <w:pPr>
        <w:spacing w:after="0" w:line="240" w:lineRule="auto"/>
      </w:pPr>
    </w:p>
    <w:p w14:paraId="750876DA" w14:textId="77777777" w:rsidR="00A46857" w:rsidRDefault="00EC5B8A" w:rsidP="00A04090">
      <w:pPr>
        <w:spacing w:after="0" w:line="240" w:lineRule="auto"/>
      </w:pPr>
      <w:r>
        <w:t xml:space="preserve">It was not merely secrecy </w:t>
      </w:r>
      <w:r w:rsidR="007939AF">
        <w:t xml:space="preserve">or Mr Morrison </w:t>
      </w:r>
      <w:r>
        <w:t>which undermined responsible government</w:t>
      </w:r>
      <w:proofErr w:type="gramStart"/>
      <w:r>
        <w:t xml:space="preserve">.  </w:t>
      </w:r>
      <w:proofErr w:type="gramEnd"/>
    </w:p>
    <w:p w14:paraId="26D24DB5" w14:textId="77777777" w:rsidR="00576A67" w:rsidRDefault="00576A67" w:rsidP="00A04090">
      <w:pPr>
        <w:spacing w:after="0" w:line="240" w:lineRule="auto"/>
      </w:pPr>
    </w:p>
    <w:p w14:paraId="204ACF02" w14:textId="6DB82D58" w:rsidR="00EC5B8A" w:rsidRDefault="00EC5B8A" w:rsidP="00A04090">
      <w:pPr>
        <w:spacing w:after="0" w:line="240" w:lineRule="auto"/>
      </w:pPr>
      <w:r>
        <w:t xml:space="preserve">Parliament </w:t>
      </w:r>
      <w:r w:rsidR="003A7243">
        <w:t>was</w:t>
      </w:r>
      <w:r>
        <w:t xml:space="preserve"> complicit by rejecting </w:t>
      </w:r>
      <w:r w:rsidR="006E4056">
        <w:t>the key</w:t>
      </w:r>
      <w:r>
        <w:t xml:space="preserve"> mechanism for controlling Government decisions – disallowance – for declarations of, and actions to address, human biosecurity emergencies (2015) and national emergencies (2020)</w:t>
      </w:r>
      <w:proofErr w:type="gramStart"/>
      <w:r>
        <w:t>.</w:t>
      </w:r>
      <w:r w:rsidR="003A7243">
        <w:t xml:space="preserve">  </w:t>
      </w:r>
      <w:proofErr w:type="gramEnd"/>
      <w:r w:rsidR="003A7243">
        <w:t xml:space="preserve">Such rejection </w:t>
      </w:r>
      <w:proofErr w:type="gramStart"/>
      <w:r w:rsidR="003A7243">
        <w:t>likely signalled</w:t>
      </w:r>
      <w:proofErr w:type="gramEnd"/>
      <w:r w:rsidR="003A7243">
        <w:t xml:space="preserve"> to </w:t>
      </w:r>
      <w:r w:rsidR="007939AF">
        <w:t xml:space="preserve">Mr Morrison </w:t>
      </w:r>
      <w:r w:rsidR="00E5354A">
        <w:t>Parliament’s</w:t>
      </w:r>
      <w:r w:rsidR="003A7243">
        <w:t xml:space="preserve"> lack of interest in enforcing real accountability. </w:t>
      </w:r>
      <w:r w:rsidR="003B61E1">
        <w:t xml:space="preserve"> As outlined in section 4.2 below, that type of signal has recently </w:t>
      </w:r>
      <w:proofErr w:type="gramStart"/>
      <w:r w:rsidR="003B61E1">
        <w:t>been reinforced</w:t>
      </w:r>
      <w:proofErr w:type="gramEnd"/>
      <w:r w:rsidR="003B61E1">
        <w:t>.</w:t>
      </w:r>
    </w:p>
    <w:p w14:paraId="67C6D0BC" w14:textId="2C5FD2EF" w:rsidR="00EC5B8A" w:rsidRDefault="00EC5B8A" w:rsidP="00A04090">
      <w:pPr>
        <w:spacing w:after="0" w:line="240" w:lineRule="auto"/>
      </w:pPr>
    </w:p>
    <w:p w14:paraId="5D6ADC90" w14:textId="16502F14" w:rsidR="003A7243" w:rsidRDefault="003A7243" w:rsidP="00A04090">
      <w:pPr>
        <w:spacing w:after="0" w:line="240" w:lineRule="auto"/>
      </w:pPr>
      <w:r>
        <w:t xml:space="preserve">A </w:t>
      </w:r>
      <w:r w:rsidR="00984D62">
        <w:t>further</w:t>
      </w:r>
      <w:r>
        <w:t xml:space="preserve"> issue is the </w:t>
      </w:r>
      <w:r w:rsidR="00E5354A">
        <w:t>contradiction</w:t>
      </w:r>
      <w:r>
        <w:t xml:space="preserve"> inherent in the Solicitor General’s opinion:  </w:t>
      </w:r>
      <w:r>
        <w:t xml:space="preserve">that the secret appointments did not breach the Constitution even though they undermined </w:t>
      </w:r>
      <w:r>
        <w:t>a central purpose of the Constitution – responsible government</w:t>
      </w:r>
      <w:proofErr w:type="gramStart"/>
      <w:r>
        <w:t xml:space="preserve">.  </w:t>
      </w:r>
      <w:proofErr w:type="gramEnd"/>
      <w:r>
        <w:t xml:space="preserve">The Inquiry accepted the opinion without recognising the </w:t>
      </w:r>
      <w:r w:rsidR="00555F27">
        <w:t>contradiction</w:t>
      </w:r>
      <w:r>
        <w:t>.</w:t>
      </w:r>
    </w:p>
    <w:p w14:paraId="2498E72C" w14:textId="77777777" w:rsidR="00A46857" w:rsidRDefault="00A46857" w:rsidP="00A04090">
      <w:pPr>
        <w:spacing w:after="0" w:line="240" w:lineRule="auto"/>
      </w:pPr>
    </w:p>
    <w:p w14:paraId="31F4F366" w14:textId="7074EDF2" w:rsidR="00D132E6" w:rsidRDefault="003A7243" w:rsidP="00A04090">
      <w:pPr>
        <w:spacing w:after="0" w:line="240" w:lineRule="auto"/>
      </w:pPr>
      <w:r>
        <w:t xml:space="preserve">In my view, analyses by the Solicitor General and </w:t>
      </w:r>
      <w:r w:rsidR="008614A7">
        <w:t>in the report</w:t>
      </w:r>
      <w:r>
        <w:t xml:space="preserve"> were weak</w:t>
      </w:r>
      <w:proofErr w:type="gramStart"/>
      <w:r>
        <w:t xml:space="preserve">.  </w:t>
      </w:r>
      <w:proofErr w:type="gramEnd"/>
      <w:r>
        <w:t xml:space="preserve"> </w:t>
      </w:r>
      <w:r w:rsidR="008614A7">
        <w:t xml:space="preserve">The report’s </w:t>
      </w:r>
      <w:r w:rsidR="00E5354A">
        <w:t>r</w:t>
      </w:r>
      <w:r w:rsidR="00555F27">
        <w:t xml:space="preserve">ecommendations </w:t>
      </w:r>
      <w:r w:rsidR="008614A7">
        <w:t>we</w:t>
      </w:r>
      <w:r w:rsidR="00555F27">
        <w:t>re reasonable</w:t>
      </w:r>
      <w:r w:rsidR="008614A7">
        <w:t xml:space="preserve"> but unduly limited as it did not </w:t>
      </w:r>
      <w:proofErr w:type="gramStart"/>
      <w:r w:rsidR="008614A7">
        <w:t>adequately explore</w:t>
      </w:r>
      <w:proofErr w:type="gramEnd"/>
      <w:r w:rsidR="008614A7">
        <w:t xml:space="preserve"> </w:t>
      </w:r>
      <w:r w:rsidR="00555F27">
        <w:t xml:space="preserve">issues arising from the </w:t>
      </w:r>
      <w:r w:rsidR="008614A7">
        <w:t xml:space="preserve">secret </w:t>
      </w:r>
      <w:r w:rsidR="00555F27">
        <w:t>appointments.</w:t>
      </w:r>
    </w:p>
    <w:p w14:paraId="1D2A66F9" w14:textId="77777777" w:rsidR="00D132E6" w:rsidRDefault="00D132E6" w:rsidP="00A04090">
      <w:pPr>
        <w:spacing w:after="0" w:line="240" w:lineRule="auto"/>
      </w:pPr>
    </w:p>
    <w:p w14:paraId="7702CC70" w14:textId="4098E61F" w:rsidR="00D132E6" w:rsidRDefault="00555F27" w:rsidP="00A04090">
      <w:pPr>
        <w:spacing w:after="0" w:line="240" w:lineRule="auto"/>
      </w:pPr>
      <w:r>
        <w:t xml:space="preserve">One result is the applecart of </w:t>
      </w:r>
      <w:r w:rsidR="003F69A7">
        <w:t>growing</w:t>
      </w:r>
      <w:r>
        <w:t xml:space="preserve"> Government dominance over Parliament has not been slowed, let alone upset</w:t>
      </w:r>
      <w:proofErr w:type="gramStart"/>
      <w:r>
        <w:t xml:space="preserve">.  </w:t>
      </w:r>
      <w:proofErr w:type="gramEnd"/>
      <w:r>
        <w:t xml:space="preserve">The opinion and report facilitated </w:t>
      </w:r>
      <w:r w:rsidR="003F69A7">
        <w:t>discussion of the affair</w:t>
      </w:r>
      <w:r w:rsidR="00D132E6">
        <w:t xml:space="preserve"> </w:t>
      </w:r>
      <w:r w:rsidR="003F69A7">
        <w:t>being</w:t>
      </w:r>
      <w:r w:rsidR="00D132E6">
        <w:t xml:space="preserve"> </w:t>
      </w:r>
      <w:r>
        <w:t>channelled into</w:t>
      </w:r>
      <w:r w:rsidR="00D132E6">
        <w:t xml:space="preserve"> </w:t>
      </w:r>
      <w:r>
        <w:t>just</w:t>
      </w:r>
      <w:r w:rsidR="00D132E6">
        <w:t xml:space="preserve"> the </w:t>
      </w:r>
      <w:r>
        <w:t>‘</w:t>
      </w:r>
      <w:r w:rsidR="00D132E6">
        <w:t>evils</w:t>
      </w:r>
      <w:r>
        <w:t>’</w:t>
      </w:r>
      <w:r w:rsidR="00D132E6">
        <w:t xml:space="preserve"> of Mr Morrison – </w:t>
      </w:r>
      <w:r w:rsidR="003F69A7">
        <w:t>t</w:t>
      </w:r>
      <w:r w:rsidR="00E5354A">
        <w:t xml:space="preserve">ransient </w:t>
      </w:r>
      <w:r w:rsidR="003F69A7">
        <w:t>failures of a person or a group</w:t>
      </w:r>
      <w:r w:rsidR="00A46857">
        <w:t>, and internal party ructions</w:t>
      </w:r>
      <w:r w:rsidR="003F69A7">
        <w:t xml:space="preserve"> </w:t>
      </w:r>
      <w:r w:rsidR="00E5354A">
        <w:t xml:space="preserve">- </w:t>
      </w:r>
      <w:r w:rsidR="003F69A7">
        <w:t xml:space="preserve">rather than another </w:t>
      </w:r>
      <w:r w:rsidR="00E5354A">
        <w:t>example</w:t>
      </w:r>
      <w:r w:rsidR="003F69A7">
        <w:t xml:space="preserve"> of Governments’ increasing disregard of Parliament and the law</w:t>
      </w:r>
      <w:proofErr w:type="gramStart"/>
      <w:r w:rsidR="003F69A7">
        <w:t xml:space="preserve">.  </w:t>
      </w:r>
      <w:proofErr w:type="gramEnd"/>
      <w:r w:rsidR="00D132E6">
        <w:t xml:space="preserve"> </w:t>
      </w:r>
    </w:p>
    <w:p w14:paraId="6E58983A" w14:textId="57D4C8D4" w:rsidR="003F69A7" w:rsidRDefault="003F69A7" w:rsidP="00A04090">
      <w:pPr>
        <w:spacing w:after="0" w:line="240" w:lineRule="auto"/>
      </w:pPr>
    </w:p>
    <w:p w14:paraId="19294C41" w14:textId="3EF10A54" w:rsidR="003F69A7" w:rsidRDefault="003F69A7" w:rsidP="00A04090">
      <w:pPr>
        <w:spacing w:after="0" w:line="240" w:lineRule="auto"/>
      </w:pPr>
      <w:r>
        <w:t xml:space="preserve">Given the result, </w:t>
      </w:r>
      <w:r w:rsidR="00576A67">
        <w:t xml:space="preserve">and their failure to </w:t>
      </w:r>
      <w:r w:rsidR="008614A7">
        <w:t>caution</w:t>
      </w:r>
      <w:r w:rsidR="00576A67">
        <w:t xml:space="preserve"> Government</w:t>
      </w:r>
      <w:r w:rsidR="00984D62">
        <w:t xml:space="preserve">s </w:t>
      </w:r>
      <w:r w:rsidR="00046D08">
        <w:t>and Parliament</w:t>
      </w:r>
      <w:r w:rsidR="00957541">
        <w:t>s</w:t>
      </w:r>
      <w:r w:rsidR="00046D08">
        <w:t xml:space="preserve"> </w:t>
      </w:r>
      <w:r w:rsidR="00984D62">
        <w:t xml:space="preserve">– including the current </w:t>
      </w:r>
      <w:r w:rsidR="00046D08">
        <w:t>ones</w:t>
      </w:r>
      <w:r w:rsidR="00984D62">
        <w:t xml:space="preserve"> </w:t>
      </w:r>
      <w:r w:rsidR="008614A7">
        <w:t>–</w:t>
      </w:r>
      <w:r w:rsidR="00984D62">
        <w:t xml:space="preserve"> </w:t>
      </w:r>
      <w:r w:rsidR="008614A7">
        <w:t xml:space="preserve">about such disregard, </w:t>
      </w:r>
      <w:r>
        <w:t xml:space="preserve">it would have been better to not have the Solicitor General’s opinion or Inquiry. </w:t>
      </w:r>
    </w:p>
    <w:p w14:paraId="3F1FBA44" w14:textId="77777777" w:rsidR="00555F27" w:rsidRDefault="00555F27" w:rsidP="00A04090">
      <w:pPr>
        <w:pStyle w:val="Heading3"/>
        <w:spacing w:before="0" w:line="240" w:lineRule="auto"/>
      </w:pPr>
    </w:p>
    <w:p w14:paraId="1276DEEE" w14:textId="5D322187" w:rsidR="00D132E6" w:rsidRDefault="00BF30CF" w:rsidP="00902B40">
      <w:pPr>
        <w:pStyle w:val="Heading3"/>
      </w:pPr>
      <w:bookmarkStart w:id="12" w:name="_Toc123473928"/>
      <w:r>
        <w:t>4</w:t>
      </w:r>
      <w:r w:rsidR="00D132E6">
        <w:t>.2</w:t>
      </w:r>
      <w:r w:rsidR="00D132E6">
        <w:tab/>
        <w:t>Scandalous</w:t>
      </w:r>
      <w:proofErr w:type="gramStart"/>
      <w:r w:rsidR="00D132E6">
        <w:t>?</w:t>
      </w:r>
      <w:bookmarkEnd w:id="12"/>
      <w:r w:rsidR="00D132E6">
        <w:t xml:space="preserve">  </w:t>
      </w:r>
      <w:proofErr w:type="gramEnd"/>
      <w:r w:rsidR="00D132E6">
        <w:t xml:space="preserve">   </w:t>
      </w:r>
    </w:p>
    <w:p w14:paraId="75531923" w14:textId="44C0FE6A" w:rsidR="00D132E6" w:rsidRDefault="00D132E6" w:rsidP="00A04090">
      <w:pPr>
        <w:spacing w:after="0" w:line="240" w:lineRule="auto"/>
      </w:pPr>
      <w:r>
        <w:t>This article indicated the author’s submission to the Inquiry was not published and the Inquiry said it did not publish some submissions for reasons including they were scandalous</w:t>
      </w:r>
      <w:proofErr w:type="gramStart"/>
      <w:r>
        <w:t xml:space="preserve">.  </w:t>
      </w:r>
      <w:proofErr w:type="gramEnd"/>
    </w:p>
    <w:p w14:paraId="0FF85B43" w14:textId="77777777" w:rsidR="00D132E6" w:rsidRDefault="00D132E6" w:rsidP="00A04090">
      <w:pPr>
        <w:spacing w:after="0" w:line="240" w:lineRule="auto"/>
      </w:pPr>
    </w:p>
    <w:p w14:paraId="45D1E372" w14:textId="27A2266A" w:rsidR="00D132E6" w:rsidRDefault="00D132E6" w:rsidP="00A04090">
      <w:pPr>
        <w:spacing w:after="0" w:line="240" w:lineRule="auto"/>
      </w:pPr>
      <w:r>
        <w:t xml:space="preserve">This episode – unnecessary and prolonged inquiries into matters expected/intended to reflect poorly on leaders of a political adversary – is not alone in raising reminisces of </w:t>
      </w:r>
      <w:r w:rsidR="00CD6164">
        <w:t>a former</w:t>
      </w:r>
      <w:r>
        <w:t xml:space="preserve"> Government.</w:t>
      </w:r>
      <w:r w:rsidR="007F4051">
        <w:rPr>
          <w:rStyle w:val="FootnoteReference"/>
        </w:rPr>
        <w:footnoteReference w:id="27"/>
      </w:r>
      <w:r>
        <w:t xml:space="preserve">  </w:t>
      </w:r>
    </w:p>
    <w:p w14:paraId="200F588B" w14:textId="77777777" w:rsidR="00D132E6" w:rsidRDefault="00D132E6" w:rsidP="00A04090">
      <w:pPr>
        <w:spacing w:after="0" w:line="240" w:lineRule="auto"/>
      </w:pPr>
    </w:p>
    <w:p w14:paraId="0F4A825B" w14:textId="77777777" w:rsidR="008614A7" w:rsidRDefault="006D439B" w:rsidP="00A04090">
      <w:pPr>
        <w:spacing w:after="0" w:line="240" w:lineRule="auto"/>
      </w:pPr>
      <w:r>
        <w:t xml:space="preserve">The </w:t>
      </w:r>
      <w:r w:rsidR="00460A38">
        <w:t xml:space="preserve">trigger for the affair – the </w:t>
      </w:r>
      <w:r>
        <w:t>real problem exposed by th</w:t>
      </w:r>
      <w:r w:rsidR="00E73FE0">
        <w:t xml:space="preserve">e </w:t>
      </w:r>
      <w:r w:rsidR="00E20EFE">
        <w:t xml:space="preserve">secret ministries </w:t>
      </w:r>
      <w:r>
        <w:t xml:space="preserve">fiasco </w:t>
      </w:r>
      <w:r w:rsidR="00460A38">
        <w:t xml:space="preserve">- </w:t>
      </w:r>
      <w:r w:rsidR="00252FA4">
        <w:t>wa</w:t>
      </w:r>
      <w:r w:rsidR="00E73FE0">
        <w:t>s</w:t>
      </w:r>
      <w:r>
        <w:t xml:space="preserve"> </w:t>
      </w:r>
      <w:r w:rsidR="00E73FE0">
        <w:t>Parliament</w:t>
      </w:r>
      <w:r>
        <w:t xml:space="preserve"> granting </w:t>
      </w:r>
      <w:r w:rsidR="00902B40">
        <w:t xml:space="preserve">uncontrolled </w:t>
      </w:r>
      <w:r w:rsidR="00C35776">
        <w:t>‘g</w:t>
      </w:r>
      <w:r>
        <w:t>od-like</w:t>
      </w:r>
      <w:r w:rsidR="00C35776">
        <w:t>’</w:t>
      </w:r>
      <w:r>
        <w:t xml:space="preserve"> powers to an individual Minister without </w:t>
      </w:r>
      <w:r w:rsidR="00E73FE0">
        <w:t>allowing a</w:t>
      </w:r>
      <w:r>
        <w:t xml:space="preserve"> possibility of Cabinet oversight</w:t>
      </w:r>
      <w:proofErr w:type="gramStart"/>
      <w:r w:rsidR="00E73FE0">
        <w:t xml:space="preserve">.  </w:t>
      </w:r>
      <w:proofErr w:type="gramEnd"/>
    </w:p>
    <w:p w14:paraId="5DEAE9B3" w14:textId="77777777" w:rsidR="008614A7" w:rsidRDefault="008614A7" w:rsidP="00A04090">
      <w:pPr>
        <w:spacing w:after="0" w:line="240" w:lineRule="auto"/>
      </w:pPr>
    </w:p>
    <w:p w14:paraId="409B852E" w14:textId="38779063" w:rsidR="00665520" w:rsidRDefault="00E73FE0" w:rsidP="00A04090">
      <w:pPr>
        <w:spacing w:after="0" w:line="240" w:lineRule="auto"/>
      </w:pPr>
      <w:r>
        <w:t xml:space="preserve">That </w:t>
      </w:r>
      <w:r w:rsidR="00EA0695">
        <w:t xml:space="preserve">was </w:t>
      </w:r>
      <w:r w:rsidR="00F30538">
        <w:t xml:space="preserve">started, </w:t>
      </w:r>
      <w:r w:rsidR="00902B40">
        <w:t>sans</w:t>
      </w:r>
      <w:r w:rsidR="00F30538">
        <w:t xml:space="preserve"> explanation,</w:t>
      </w:r>
      <w:r w:rsidR="00EA0695">
        <w:t xml:space="preserve"> </w:t>
      </w:r>
      <w:r w:rsidR="00C35776">
        <w:t xml:space="preserve">via the </w:t>
      </w:r>
      <w:r w:rsidR="00E20EFE">
        <w:t xml:space="preserve">Abbott administration introducing the </w:t>
      </w:r>
      <w:r w:rsidR="00C35776">
        <w:t>Biosecurity Act</w:t>
      </w:r>
      <w:proofErr w:type="gramStart"/>
      <w:r w:rsidR="00C35776">
        <w:t>.</w:t>
      </w:r>
      <w:r w:rsidR="00712D06">
        <w:t xml:space="preserve">  </w:t>
      </w:r>
      <w:proofErr w:type="gramEnd"/>
      <w:r w:rsidR="00E20EFE">
        <w:t xml:space="preserve">Later, </w:t>
      </w:r>
      <w:r w:rsidR="00902B40">
        <w:t>when he w</w:t>
      </w:r>
      <w:r w:rsidR="00E20EFE">
        <w:t>a</w:t>
      </w:r>
      <w:r w:rsidR="00712D06">
        <w:t>s Prime Minister, Mr Morrison saw the problem</w:t>
      </w:r>
      <w:proofErr w:type="gramStart"/>
      <w:r w:rsidR="00E20EFE">
        <w:t xml:space="preserve">.  </w:t>
      </w:r>
      <w:proofErr w:type="gramEnd"/>
      <w:r w:rsidR="00E20EFE">
        <w:t>Y</w:t>
      </w:r>
      <w:r w:rsidR="00534700">
        <w:t>et</w:t>
      </w:r>
      <w:r w:rsidR="00712D06">
        <w:t xml:space="preserve"> rather than fix it </w:t>
      </w:r>
      <w:r w:rsidR="0076257C">
        <w:t>by proposing legislative changes,</w:t>
      </w:r>
      <w:r w:rsidR="00712D06">
        <w:t xml:space="preserve"> </w:t>
      </w:r>
      <w:r w:rsidR="005F698E">
        <w:t xml:space="preserve">he </w:t>
      </w:r>
      <w:r w:rsidR="00C12135">
        <w:t xml:space="preserve">held on to - </w:t>
      </w:r>
      <w:r w:rsidR="00712D06">
        <w:t>grasp</w:t>
      </w:r>
      <w:r w:rsidR="0076257C">
        <w:t xml:space="preserve">ed </w:t>
      </w:r>
      <w:r w:rsidR="00C12135">
        <w:t xml:space="preserve">- </w:t>
      </w:r>
      <w:r w:rsidR="0076257C">
        <w:t xml:space="preserve">the </w:t>
      </w:r>
      <w:r w:rsidR="00252FA4">
        <w:t xml:space="preserve">Biosecurity </w:t>
      </w:r>
      <w:r w:rsidR="0076257C">
        <w:t>powers gra</w:t>
      </w:r>
      <w:r w:rsidR="00C12135">
        <w:t>bbed by the Abbott Government</w:t>
      </w:r>
      <w:proofErr w:type="gramStart"/>
      <w:r w:rsidR="00C12135">
        <w:t>.</w:t>
      </w:r>
      <w:r w:rsidR="00252FA4">
        <w:t xml:space="preserve">  </w:t>
      </w:r>
      <w:proofErr w:type="gramEnd"/>
      <w:r w:rsidR="00252FA4">
        <w:t>And grabbed some more under the guise of national emergencies.</w:t>
      </w:r>
      <w:r w:rsidR="00665520">
        <w:rPr>
          <w:rStyle w:val="FootnoteReference"/>
        </w:rPr>
        <w:footnoteReference w:id="28"/>
      </w:r>
      <w:r w:rsidR="00C35776">
        <w:t xml:space="preserve">  </w:t>
      </w:r>
    </w:p>
    <w:p w14:paraId="376BC965" w14:textId="5CCB9D2A" w:rsidR="00252FA4" w:rsidRDefault="00C35776" w:rsidP="00A04090">
      <w:pPr>
        <w:spacing w:after="0" w:line="240" w:lineRule="auto"/>
      </w:pPr>
      <w:r>
        <w:lastRenderedPageBreak/>
        <w:t xml:space="preserve">Amendments to the Act initiated by the Albanese administration </w:t>
      </w:r>
      <w:r w:rsidR="00665520">
        <w:t xml:space="preserve">in late 2022 </w:t>
      </w:r>
      <w:r w:rsidR="00C12135">
        <w:t xml:space="preserve">could </w:t>
      </w:r>
      <w:r w:rsidR="00902B40">
        <w:t xml:space="preserve">– should - </w:t>
      </w:r>
      <w:r w:rsidR="00C12135">
        <w:t xml:space="preserve">have addressed the </w:t>
      </w:r>
      <w:r w:rsidR="00A911E9">
        <w:t>problem but</w:t>
      </w:r>
      <w:r w:rsidR="00C12135">
        <w:t xml:space="preserve"> </w:t>
      </w:r>
      <w:r w:rsidR="00534700">
        <w:t xml:space="preserve">made it </w:t>
      </w:r>
      <w:r w:rsidR="00C12135">
        <w:t>worse</w:t>
      </w:r>
      <w:proofErr w:type="gramStart"/>
      <w:r w:rsidR="00665520">
        <w:t xml:space="preserve">.  </w:t>
      </w:r>
      <w:proofErr w:type="gramEnd"/>
      <w:r>
        <w:t xml:space="preserve"> </w:t>
      </w:r>
      <w:r w:rsidR="00665520">
        <w:t xml:space="preserve">That </w:t>
      </w:r>
      <w:r w:rsidR="00534700">
        <w:t>is</w:t>
      </w:r>
      <w:r w:rsidR="00665520">
        <w:t xml:space="preserve"> </w:t>
      </w:r>
      <w:r>
        <w:t xml:space="preserve">despite </w:t>
      </w:r>
      <w:r w:rsidR="00665520">
        <w:t xml:space="preserve">the changes </w:t>
      </w:r>
      <w:proofErr w:type="gramStart"/>
      <w:r w:rsidR="009B420B">
        <w:t xml:space="preserve">supposedly </w:t>
      </w:r>
      <w:r w:rsidR="00252FA4">
        <w:t>being</w:t>
      </w:r>
      <w:proofErr w:type="gramEnd"/>
      <w:r w:rsidR="00252FA4">
        <w:t xml:space="preserve"> </w:t>
      </w:r>
      <w:r w:rsidR="009B420B">
        <w:t>based on ‘</w:t>
      </w:r>
      <w:r w:rsidR="009B420B" w:rsidRPr="009B420B">
        <w:rPr>
          <w:i/>
          <w:iCs/>
        </w:rPr>
        <w:t>important lessons’</w:t>
      </w:r>
      <w:r w:rsidR="009B420B">
        <w:t xml:space="preserve"> from the pandemic</w:t>
      </w:r>
      <w:r w:rsidR="00252FA4">
        <w:t>.</w:t>
      </w:r>
      <w:r w:rsidR="00252FA4">
        <w:rPr>
          <w:rStyle w:val="FootnoteReference"/>
        </w:rPr>
        <w:footnoteReference w:id="29"/>
      </w:r>
    </w:p>
    <w:p w14:paraId="295CB971" w14:textId="77777777" w:rsidR="00252FA4" w:rsidRDefault="00252FA4" w:rsidP="00A04090">
      <w:pPr>
        <w:spacing w:after="0" w:line="240" w:lineRule="auto"/>
      </w:pPr>
    </w:p>
    <w:p w14:paraId="07DBD6B3" w14:textId="7894320E" w:rsidR="003B61E1" w:rsidRDefault="008614A7" w:rsidP="00A04090">
      <w:pPr>
        <w:spacing w:after="0" w:line="240" w:lineRule="auto"/>
      </w:pPr>
      <w:r>
        <w:t>Such</w:t>
      </w:r>
      <w:r w:rsidR="00252FA4">
        <w:t xml:space="preserve"> lessons </w:t>
      </w:r>
      <w:proofErr w:type="gramStart"/>
      <w:r w:rsidR="00252FA4">
        <w:t xml:space="preserve">were </w:t>
      </w:r>
      <w:r w:rsidR="00665520">
        <w:t>drawn</w:t>
      </w:r>
      <w:proofErr w:type="gramEnd"/>
      <w:r w:rsidR="00665520">
        <w:t xml:space="preserve"> by </w:t>
      </w:r>
      <w:r w:rsidR="009860D4">
        <w:t>a</w:t>
      </w:r>
      <w:r w:rsidR="00665520">
        <w:t xml:space="preserve"> Government</w:t>
      </w:r>
      <w:r w:rsidR="009860D4">
        <w:t xml:space="preserve">: </w:t>
      </w:r>
      <w:r w:rsidR="00252FA4">
        <w:t xml:space="preserve">within four months of taking office; </w:t>
      </w:r>
      <w:r w:rsidR="00902B40">
        <w:t xml:space="preserve">that </w:t>
      </w:r>
      <w:r w:rsidR="00252FA4">
        <w:t>had been</w:t>
      </w:r>
      <w:r w:rsidR="009860D4">
        <w:t xml:space="preserve"> </w:t>
      </w:r>
      <w:r w:rsidR="00252FA4">
        <w:t>in Opposition</w:t>
      </w:r>
      <w:r w:rsidR="009860D4">
        <w:t xml:space="preserve"> during the </w:t>
      </w:r>
      <w:r w:rsidR="00E20EFE">
        <w:t xml:space="preserve">challenging parts of the </w:t>
      </w:r>
      <w:r w:rsidR="009860D4">
        <w:t xml:space="preserve">pandemic; excluded from discussions about the key </w:t>
      </w:r>
      <w:r w:rsidR="00252FA4">
        <w:t xml:space="preserve">Commonwealth and State </w:t>
      </w:r>
      <w:r w:rsidR="009860D4">
        <w:t>responses to the pandemic</w:t>
      </w:r>
      <w:r w:rsidR="00252FA4">
        <w:t xml:space="preserve">; </w:t>
      </w:r>
      <w:r w:rsidR="00902B40">
        <w:t xml:space="preserve">which </w:t>
      </w:r>
      <w:r w:rsidR="00E20EFE">
        <w:t xml:space="preserve">so far </w:t>
      </w:r>
      <w:r w:rsidR="009860D4">
        <w:t>has failed to start</w:t>
      </w:r>
      <w:r w:rsidR="00665520">
        <w:t xml:space="preserve"> </w:t>
      </w:r>
      <w:r w:rsidR="009860D4">
        <w:t>any</w:t>
      </w:r>
      <w:r w:rsidR="00665520">
        <w:t xml:space="preserve"> </w:t>
      </w:r>
      <w:r w:rsidR="009860D4">
        <w:t xml:space="preserve">lessons-from-the-pandemic </w:t>
      </w:r>
      <w:r w:rsidR="00665520">
        <w:t xml:space="preserve">Inquiry </w:t>
      </w:r>
      <w:r w:rsidR="009860D4">
        <w:t xml:space="preserve">of the type </w:t>
      </w:r>
      <w:r w:rsidR="00665520">
        <w:t>it promised during the election campaign.</w:t>
      </w:r>
      <w:r w:rsidR="00FB4FFC">
        <w:rPr>
          <w:rStyle w:val="FootnoteReference"/>
        </w:rPr>
        <w:footnoteReference w:id="30"/>
      </w:r>
      <w:r w:rsidR="00665520">
        <w:t xml:space="preserve">  </w:t>
      </w:r>
    </w:p>
    <w:p w14:paraId="786C00DE" w14:textId="77777777" w:rsidR="003B61E1" w:rsidRDefault="003B61E1" w:rsidP="00A04090">
      <w:pPr>
        <w:spacing w:after="0" w:line="240" w:lineRule="auto"/>
      </w:pPr>
    </w:p>
    <w:p w14:paraId="6B6EDCDB" w14:textId="0E1194D3" w:rsidR="00C12135" w:rsidRDefault="00252FA4" w:rsidP="00A04090">
      <w:pPr>
        <w:spacing w:after="0" w:line="240" w:lineRule="auto"/>
      </w:pPr>
      <w:r>
        <w:t xml:space="preserve">The </w:t>
      </w:r>
      <w:r w:rsidR="00113B6B">
        <w:t>amendments</w:t>
      </w:r>
      <w:r>
        <w:t xml:space="preserve"> also make the </w:t>
      </w:r>
      <w:r w:rsidR="00FB4FFC">
        <w:t xml:space="preserve">situation </w:t>
      </w:r>
      <w:r>
        <w:t>worse</w:t>
      </w:r>
      <w:r w:rsidR="009B420B">
        <w:t xml:space="preserve"> despite </w:t>
      </w:r>
      <w:r w:rsidR="00460A38">
        <w:t xml:space="preserve">the </w:t>
      </w:r>
      <w:r w:rsidR="00FB4FFC">
        <w:t xml:space="preserve">problem being </w:t>
      </w:r>
      <w:r w:rsidR="00902B40">
        <w:t>shown by</w:t>
      </w:r>
      <w:r w:rsidR="00FB4FFC">
        <w:t xml:space="preserve"> the Inquiry report </w:t>
      </w:r>
      <w:r w:rsidR="00FB4FFC" w:rsidRPr="00FB4FFC">
        <w:rPr>
          <w:i/>
          <w:iCs/>
        </w:rPr>
        <w:t>prior to</w:t>
      </w:r>
      <w:r w:rsidR="00FB4FFC">
        <w:t xml:space="preserve"> the </w:t>
      </w:r>
      <w:r w:rsidR="00902B40">
        <w:t xml:space="preserve">relevant, if </w:t>
      </w:r>
      <w:r w:rsidR="00460A38">
        <w:t>brief</w:t>
      </w:r>
      <w:r w:rsidR="00902B40">
        <w:t>,</w:t>
      </w:r>
      <w:r w:rsidR="00460A38">
        <w:t xml:space="preserve"> </w:t>
      </w:r>
      <w:r w:rsidR="0076257C">
        <w:t>Parliament</w:t>
      </w:r>
      <w:r w:rsidR="00460A38">
        <w:t>ary</w:t>
      </w:r>
      <w:r w:rsidR="0076257C">
        <w:t xml:space="preserve"> debates</w:t>
      </w:r>
      <w:proofErr w:type="gramStart"/>
      <w:r w:rsidR="003B61E1">
        <w:t xml:space="preserve">.  </w:t>
      </w:r>
      <w:proofErr w:type="gramEnd"/>
      <w:r w:rsidR="003B61E1">
        <w:t>Had the House of Representative</w:t>
      </w:r>
      <w:r w:rsidR="005A4ADC">
        <w:t>s</w:t>
      </w:r>
      <w:r w:rsidR="003B61E1">
        <w:t xml:space="preserve"> </w:t>
      </w:r>
      <w:r w:rsidR="00902B40">
        <w:t xml:space="preserve">been less hasty and </w:t>
      </w:r>
      <w:r w:rsidR="003B61E1">
        <w:t xml:space="preserve">waited a single day to hear Mr Morrison’s </w:t>
      </w:r>
      <w:r w:rsidR="00FB4FFC">
        <w:t>response to the censure motion</w:t>
      </w:r>
      <w:r w:rsidR="005A4ADC">
        <w:t xml:space="preserve">, it would have </w:t>
      </w:r>
      <w:r w:rsidR="00FB4FFC">
        <w:t>heard</w:t>
      </w:r>
      <w:r w:rsidR="005A4ADC">
        <w:t xml:space="preserve"> – yet again – </w:t>
      </w:r>
      <w:r w:rsidR="00FB4FFC">
        <w:t>about</w:t>
      </w:r>
      <w:r w:rsidR="005A4ADC">
        <w:t xml:space="preserve"> the problem which the </w:t>
      </w:r>
      <w:r>
        <w:t>am</w:t>
      </w:r>
      <w:r w:rsidR="005A4ADC">
        <w:t xml:space="preserve">endments </w:t>
      </w:r>
      <w:r>
        <w:t>exacerbate</w:t>
      </w:r>
      <w:r w:rsidR="005A4ADC">
        <w:t>.</w:t>
      </w:r>
      <w:r w:rsidR="00460A38">
        <w:rPr>
          <w:rStyle w:val="FootnoteReference"/>
        </w:rPr>
        <w:footnoteReference w:id="31"/>
      </w:r>
      <w:r w:rsidR="009B420B">
        <w:t xml:space="preserve">  </w:t>
      </w:r>
    </w:p>
    <w:p w14:paraId="1D2C4086" w14:textId="77777777" w:rsidR="00C12135" w:rsidRDefault="00C12135" w:rsidP="00A04090">
      <w:pPr>
        <w:spacing w:after="0" w:line="240" w:lineRule="auto"/>
      </w:pPr>
    </w:p>
    <w:p w14:paraId="2EF076BE" w14:textId="53870CC3" w:rsidR="006D439B" w:rsidRDefault="009B420B" w:rsidP="00A04090">
      <w:pPr>
        <w:spacing w:after="0" w:line="240" w:lineRule="auto"/>
      </w:pPr>
      <w:r>
        <w:t>That the</w:t>
      </w:r>
      <w:r w:rsidR="0076257C">
        <w:t xml:space="preserve"> changes</w:t>
      </w:r>
      <w:r>
        <w:t xml:space="preserve"> </w:t>
      </w:r>
      <w:r w:rsidR="00534700">
        <w:t xml:space="preserve">to the </w:t>
      </w:r>
      <w:r w:rsidR="00902B40">
        <w:t xml:space="preserve">Biosecurity </w:t>
      </w:r>
      <w:r w:rsidR="00534700">
        <w:t xml:space="preserve">Act </w:t>
      </w:r>
      <w:r>
        <w:t xml:space="preserve">strengthen the arm of </w:t>
      </w:r>
      <w:r w:rsidR="00665520">
        <w:t>Ministers</w:t>
      </w:r>
      <w:r>
        <w:t xml:space="preserve"> </w:t>
      </w:r>
      <w:r w:rsidR="00C12135">
        <w:t>and</w:t>
      </w:r>
      <w:r>
        <w:t xml:space="preserve"> </w:t>
      </w:r>
      <w:r w:rsidR="00BF100F">
        <w:t xml:space="preserve">weaken Parliament’s </w:t>
      </w:r>
      <w:r>
        <w:t xml:space="preserve">control </w:t>
      </w:r>
      <w:r w:rsidR="00C12135">
        <w:t xml:space="preserve">- </w:t>
      </w:r>
      <w:r w:rsidR="0076257C">
        <w:t>just like the Abbot era legislation</w:t>
      </w:r>
      <w:r w:rsidR="00C12135">
        <w:t xml:space="preserve"> </w:t>
      </w:r>
      <w:r w:rsidR="0076257C">
        <w:t>-</w:t>
      </w:r>
      <w:r w:rsidR="00BF100F">
        <w:t xml:space="preserve"> </w:t>
      </w:r>
      <w:r w:rsidR="006D439B">
        <w:t>speaks volumes</w:t>
      </w:r>
      <w:proofErr w:type="gramStart"/>
      <w:r w:rsidR="00342874">
        <w:t xml:space="preserve">.  </w:t>
      </w:r>
      <w:proofErr w:type="gramEnd"/>
      <w:r w:rsidR="00342874">
        <w:t xml:space="preserve">As does the Government’s </w:t>
      </w:r>
      <w:r w:rsidR="00342874">
        <w:t>ignoring scathing criticisms by Senator</w:t>
      </w:r>
      <w:r w:rsidR="00342874">
        <w:t>s of that practice</w:t>
      </w:r>
      <w:r w:rsidR="005F698E">
        <w:t xml:space="preserve"> – </w:t>
      </w:r>
      <w:proofErr w:type="gramStart"/>
      <w:r w:rsidR="005F698E">
        <w:t>most of</w:t>
      </w:r>
      <w:proofErr w:type="gramEnd"/>
      <w:r w:rsidR="005F698E">
        <w:t xml:space="preserve"> whom then voted in favour of it</w:t>
      </w:r>
      <w:r w:rsidR="00A04090">
        <w:t>, repeating the</w:t>
      </w:r>
      <w:r w:rsidR="005A4ADC">
        <w:t xml:space="preserve"> Senate’s</w:t>
      </w:r>
      <w:r w:rsidR="00A04090">
        <w:t xml:space="preserve"> performance re the National Emergency Declaration Bill</w:t>
      </w:r>
      <w:r w:rsidR="006D439B">
        <w:t>.</w:t>
      </w:r>
      <w:r w:rsidR="00EA112B">
        <w:rPr>
          <w:rStyle w:val="FootnoteReference"/>
        </w:rPr>
        <w:footnoteReference w:id="32"/>
      </w:r>
    </w:p>
    <w:p w14:paraId="1731A64E" w14:textId="7C4F8F3D" w:rsidR="00D132E6" w:rsidRDefault="00D132E6" w:rsidP="00A04090">
      <w:pPr>
        <w:spacing w:after="0" w:line="240" w:lineRule="auto"/>
      </w:pPr>
    </w:p>
    <w:p w14:paraId="423AAB89" w14:textId="1BA25A11" w:rsidR="0076257C" w:rsidRDefault="00C12135" w:rsidP="00A04090">
      <w:pPr>
        <w:spacing w:after="0" w:line="240" w:lineRule="auto"/>
      </w:pPr>
      <w:r>
        <w:t>Reminisces go beyond this affair</w:t>
      </w:r>
      <w:proofErr w:type="gramStart"/>
      <w:r>
        <w:t xml:space="preserve">.  </w:t>
      </w:r>
      <w:proofErr w:type="gramEnd"/>
      <w:r>
        <w:t xml:space="preserve">A previous article observed eerie similarities between the Abbott and </w:t>
      </w:r>
      <w:r w:rsidR="0076257C">
        <w:t>Albanese Governments approach</w:t>
      </w:r>
      <w:r>
        <w:t>es to infra</w:t>
      </w:r>
      <w:r w:rsidR="0076257C">
        <w:t>structure – from offering billions of dollars of public monies for meritless proposals timed to influence a Victorian election</w:t>
      </w:r>
      <w:r w:rsidR="00E20EFE">
        <w:t>,</w:t>
      </w:r>
      <w:r w:rsidR="0076257C">
        <w:t xml:space="preserve"> to blatant pork-barrelling on the NSW Central Coast</w:t>
      </w:r>
      <w:proofErr w:type="gramStart"/>
      <w:r w:rsidR="0076257C">
        <w:t xml:space="preserve">.  </w:t>
      </w:r>
      <w:proofErr w:type="gramEnd"/>
      <w:r w:rsidR="0076257C">
        <w:t>All that and more supposedly excusable as implementation of election promises.</w:t>
      </w:r>
      <w:r w:rsidR="0076257C">
        <w:rPr>
          <w:rStyle w:val="FootnoteReference"/>
        </w:rPr>
        <w:footnoteReference w:id="33"/>
      </w:r>
    </w:p>
    <w:p w14:paraId="13370EAD" w14:textId="77777777" w:rsidR="0076257C" w:rsidRDefault="0076257C" w:rsidP="00A04090">
      <w:pPr>
        <w:spacing w:after="0" w:line="240" w:lineRule="auto"/>
      </w:pPr>
    </w:p>
    <w:p w14:paraId="4EC74282" w14:textId="10627D03" w:rsidR="0076257C" w:rsidRDefault="0076257C" w:rsidP="00A04090">
      <w:pPr>
        <w:spacing w:after="0" w:line="240" w:lineRule="auto"/>
      </w:pPr>
      <w:r>
        <w:t>As was the case for the Abbott Government in 2013-14, it is difficult to avoid concluding the present Government is driven by ideology and symbolism</w:t>
      </w:r>
      <w:proofErr w:type="gramStart"/>
      <w:r w:rsidR="00534700">
        <w:t xml:space="preserve">.  </w:t>
      </w:r>
      <w:proofErr w:type="gramEnd"/>
      <w:r w:rsidR="00534700">
        <w:t>It</w:t>
      </w:r>
      <w:r>
        <w:t xml:space="preserve"> </w:t>
      </w:r>
      <w:r w:rsidR="006647BB">
        <w:t xml:space="preserve">has </w:t>
      </w:r>
      <w:r w:rsidR="00C12135">
        <w:t>deal</w:t>
      </w:r>
      <w:r w:rsidR="006647BB">
        <w:t>t</w:t>
      </w:r>
      <w:r w:rsidR="00C12135">
        <w:t xml:space="preserve"> with criticisms by </w:t>
      </w:r>
      <w:r w:rsidR="00534700">
        <w:t xml:space="preserve">diversions </w:t>
      </w:r>
      <w:r w:rsidR="00E20EFE">
        <w:t>and</w:t>
      </w:r>
      <w:r w:rsidR="00534700">
        <w:t xml:space="preserve"> </w:t>
      </w:r>
      <w:r w:rsidR="00C12135">
        <w:t xml:space="preserve">pretences </w:t>
      </w:r>
      <w:r w:rsidR="00E20EFE">
        <w:t xml:space="preserve">that </w:t>
      </w:r>
      <w:r w:rsidR="00534700">
        <w:t xml:space="preserve">major proposals lack </w:t>
      </w:r>
      <w:r>
        <w:t>consequence</w:t>
      </w:r>
      <w:r w:rsidR="00534700">
        <w:t>s</w:t>
      </w:r>
      <w:proofErr w:type="gramStart"/>
      <w:r>
        <w:t xml:space="preserve">.  </w:t>
      </w:r>
      <w:proofErr w:type="gramEnd"/>
      <w:r>
        <w:t xml:space="preserve">Meanwhile, </w:t>
      </w:r>
      <w:r w:rsidR="00534700">
        <w:t>it seems</w:t>
      </w:r>
      <w:r>
        <w:t xml:space="preserve"> reluctant to </w:t>
      </w:r>
      <w:r w:rsidR="00E20EFE">
        <w:t>complete the</w:t>
      </w:r>
      <w:r>
        <w:t xml:space="preserve"> transition from an Opposition dedicated to whipping-up personal resentment of a </w:t>
      </w:r>
      <w:r w:rsidR="006647BB">
        <w:t xml:space="preserve">now former </w:t>
      </w:r>
      <w:r>
        <w:t>Prime Minister.</w:t>
      </w:r>
      <w:r>
        <w:rPr>
          <w:rStyle w:val="FootnoteReference"/>
        </w:rPr>
        <w:footnoteReference w:id="34"/>
      </w:r>
    </w:p>
    <w:p w14:paraId="4D4F5CDA" w14:textId="77777777" w:rsidR="0076257C" w:rsidRDefault="0076257C" w:rsidP="00A04090">
      <w:pPr>
        <w:spacing w:after="0" w:line="240" w:lineRule="auto"/>
      </w:pPr>
    </w:p>
    <w:p w14:paraId="571EA989" w14:textId="68FE8E93" w:rsidR="00912B81" w:rsidRDefault="00E73FE0" w:rsidP="00A04090">
      <w:pPr>
        <w:spacing w:after="0" w:line="240" w:lineRule="auto"/>
      </w:pPr>
      <w:r>
        <w:lastRenderedPageBreak/>
        <w:t>L</w:t>
      </w:r>
      <w:r w:rsidR="0051219D">
        <w:t>ike th</w:t>
      </w:r>
      <w:r>
        <w:t>e Abbott</w:t>
      </w:r>
      <w:r w:rsidR="0051219D">
        <w:t xml:space="preserve"> administration</w:t>
      </w:r>
      <w:r w:rsidR="00912B81">
        <w:t xml:space="preserve">, the Albanese Government is getting </w:t>
      </w:r>
      <w:r w:rsidR="0051219D">
        <w:t xml:space="preserve">early </w:t>
      </w:r>
      <w:r w:rsidR="00912B81">
        <w:t xml:space="preserve">applause </w:t>
      </w:r>
      <w:r w:rsidR="0051219D">
        <w:t xml:space="preserve">from ‘the base’ </w:t>
      </w:r>
      <w:r w:rsidR="00912B81">
        <w:t>and positive results in opinion polls</w:t>
      </w:r>
      <w:r w:rsidR="0051219D">
        <w:t>.</w:t>
      </w:r>
      <w:r w:rsidR="00912B81">
        <w:rPr>
          <w:rStyle w:val="FootnoteReference"/>
        </w:rPr>
        <w:footnoteReference w:id="35"/>
      </w:r>
    </w:p>
    <w:p w14:paraId="51697E49" w14:textId="77777777" w:rsidR="00912B81" w:rsidRDefault="00912B81" w:rsidP="00A04090">
      <w:pPr>
        <w:spacing w:after="0" w:line="240" w:lineRule="auto"/>
      </w:pPr>
    </w:p>
    <w:p w14:paraId="66C5AF69" w14:textId="55602611" w:rsidR="00D132E6" w:rsidRDefault="00D132E6" w:rsidP="00A04090">
      <w:pPr>
        <w:spacing w:after="0" w:line="240" w:lineRule="auto"/>
      </w:pPr>
      <w:r>
        <w:t xml:space="preserve">It would be scandalous to not wish for better in the new year, lest the remainder of the Abbott Government’s trajectory </w:t>
      </w:r>
      <w:proofErr w:type="gramStart"/>
      <w:r w:rsidR="006901B0">
        <w:t>is</w:t>
      </w:r>
      <w:r>
        <w:t xml:space="preserve"> repeated</w:t>
      </w:r>
      <w:proofErr w:type="gramEnd"/>
      <w:r w:rsidR="0051219D">
        <w:t xml:space="preserve"> – after the first real Budget is set out</w:t>
      </w:r>
      <w:r>
        <w:t>.</w:t>
      </w:r>
      <w:r w:rsidR="0051219D">
        <w:rPr>
          <w:rStyle w:val="FootnoteReference"/>
        </w:rPr>
        <w:footnoteReference w:id="36"/>
      </w:r>
    </w:p>
    <w:p w14:paraId="48E74E5F" w14:textId="2D628DC5" w:rsidR="00D132E6" w:rsidRDefault="00D132E6" w:rsidP="00A04090">
      <w:pPr>
        <w:spacing w:after="0" w:line="240" w:lineRule="auto"/>
      </w:pPr>
    </w:p>
    <w:p w14:paraId="38E58274" w14:textId="77777777" w:rsidR="006647BB" w:rsidRDefault="006647BB" w:rsidP="00A04090">
      <w:pPr>
        <w:spacing w:after="0" w:line="240" w:lineRule="auto"/>
      </w:pPr>
    </w:p>
    <w:p w14:paraId="6CB67CAF" w14:textId="77777777" w:rsidR="00D132E6" w:rsidRDefault="00D132E6" w:rsidP="00A04090">
      <w:pPr>
        <w:spacing w:after="0" w:line="240" w:lineRule="auto"/>
      </w:pPr>
      <w:r>
        <w:t>J Austen</w:t>
      </w:r>
    </w:p>
    <w:p w14:paraId="2FDA2E2D" w14:textId="5DC30F6D" w:rsidR="00D132E6" w:rsidRDefault="00A911E9" w:rsidP="00A04090">
      <w:pPr>
        <w:spacing w:after="0" w:line="240" w:lineRule="auto"/>
      </w:pPr>
      <w:r>
        <w:t>31 December</w:t>
      </w:r>
      <w:r w:rsidR="00D132E6">
        <w:t xml:space="preserve"> 2022</w:t>
      </w:r>
    </w:p>
    <w:p w14:paraId="7829D5F3" w14:textId="77777777" w:rsidR="00BE1F27" w:rsidRDefault="00BE1F27" w:rsidP="00A04090">
      <w:pPr>
        <w:spacing w:after="0" w:line="240" w:lineRule="auto"/>
      </w:pPr>
    </w:p>
    <w:sectPr w:rsidR="00BE1F2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B6A0C" w14:textId="77777777" w:rsidR="0010713E" w:rsidRDefault="0010713E" w:rsidP="00D132E6">
      <w:pPr>
        <w:spacing w:after="0" w:line="240" w:lineRule="auto"/>
      </w:pPr>
      <w:r>
        <w:separator/>
      </w:r>
    </w:p>
  </w:endnote>
  <w:endnote w:type="continuationSeparator" w:id="0">
    <w:p w14:paraId="1EB57CA6" w14:textId="77777777" w:rsidR="0010713E" w:rsidRDefault="0010713E" w:rsidP="00D13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090805"/>
      <w:docPartObj>
        <w:docPartGallery w:val="Page Numbers (Bottom of Page)"/>
        <w:docPartUnique/>
      </w:docPartObj>
    </w:sdtPr>
    <w:sdtEndPr>
      <w:rPr>
        <w:noProof/>
      </w:rPr>
    </w:sdtEndPr>
    <w:sdtContent>
      <w:p w14:paraId="30675AC8" w14:textId="77777777" w:rsidR="004A3D74"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1267E0" w14:textId="77777777" w:rsidR="004A3D7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2BC7" w14:textId="77777777" w:rsidR="0010713E" w:rsidRDefault="0010713E" w:rsidP="00D132E6">
      <w:pPr>
        <w:spacing w:after="0" w:line="240" w:lineRule="auto"/>
      </w:pPr>
      <w:r>
        <w:separator/>
      </w:r>
    </w:p>
  </w:footnote>
  <w:footnote w:type="continuationSeparator" w:id="0">
    <w:p w14:paraId="108C61EE" w14:textId="77777777" w:rsidR="0010713E" w:rsidRDefault="0010713E" w:rsidP="00D132E6">
      <w:pPr>
        <w:spacing w:after="0" w:line="240" w:lineRule="auto"/>
      </w:pPr>
      <w:r>
        <w:continuationSeparator/>
      </w:r>
    </w:p>
  </w:footnote>
  <w:footnote w:id="1">
    <w:p w14:paraId="7D6143F2" w14:textId="55BC1B25" w:rsidR="00617B24" w:rsidRPr="00001B18" w:rsidRDefault="00617B24" w:rsidP="00617B24">
      <w:pPr>
        <w:pStyle w:val="FootnoteText"/>
        <w:rPr>
          <w:sz w:val="16"/>
          <w:szCs w:val="16"/>
        </w:rPr>
      </w:pPr>
      <w:r w:rsidRPr="00001B18">
        <w:rPr>
          <w:rStyle w:val="FootnoteReference"/>
          <w:sz w:val="16"/>
          <w:szCs w:val="16"/>
        </w:rPr>
        <w:footnoteRef/>
      </w:r>
      <w:r w:rsidRPr="00001B18">
        <w:rPr>
          <w:sz w:val="16"/>
          <w:szCs w:val="16"/>
        </w:rPr>
        <w:t xml:space="preserve"> </w:t>
      </w:r>
      <w:hyperlink r:id="rId1" w:history="1">
        <w:r w:rsidR="00096DE9" w:rsidRPr="00096DE9">
          <w:rPr>
            <w:rStyle w:val="Hyperlink"/>
            <w:sz w:val="16"/>
            <w:szCs w:val="16"/>
          </w:rPr>
          <w:t>https://www.thejadebeagle.com/mma.html</w:t>
        </w:r>
      </w:hyperlink>
      <w:r w:rsidR="00096DE9" w:rsidRPr="00096DE9">
        <w:rPr>
          <w:rStyle w:val="Hyperlink"/>
          <w:sz w:val="16"/>
          <w:szCs w:val="16"/>
        </w:rPr>
        <w:t>.</w:t>
      </w:r>
    </w:p>
    <w:p w14:paraId="2B725D74" w14:textId="77777777" w:rsidR="00617B24" w:rsidRPr="00001B18" w:rsidRDefault="00617B24" w:rsidP="00617B24">
      <w:pPr>
        <w:pStyle w:val="FootnoteText"/>
        <w:rPr>
          <w:sz w:val="16"/>
          <w:szCs w:val="16"/>
        </w:rPr>
      </w:pPr>
    </w:p>
  </w:footnote>
  <w:footnote w:id="2">
    <w:p w14:paraId="61E561C4" w14:textId="4095E1A5" w:rsidR="00096DE9" w:rsidRDefault="00096DE9" w:rsidP="00096DE9">
      <w:pPr>
        <w:pStyle w:val="FootnoteText"/>
        <w:rPr>
          <w:rStyle w:val="Hyperlink"/>
          <w:sz w:val="16"/>
          <w:szCs w:val="16"/>
        </w:rPr>
      </w:pPr>
      <w:r w:rsidRPr="00096DE9">
        <w:rPr>
          <w:rStyle w:val="FootnoteReference"/>
          <w:sz w:val="16"/>
          <w:szCs w:val="16"/>
        </w:rPr>
        <w:footnoteRef/>
      </w:r>
      <w:r w:rsidRPr="00096DE9">
        <w:rPr>
          <w:sz w:val="16"/>
          <w:szCs w:val="16"/>
        </w:rPr>
        <w:t xml:space="preserve"> Submission at</w:t>
      </w:r>
      <w:r w:rsidRPr="00096DE9">
        <w:rPr>
          <w:rStyle w:val="Hyperlink"/>
          <w:sz w:val="16"/>
          <w:szCs w:val="16"/>
        </w:rPr>
        <w:t xml:space="preserve"> </w:t>
      </w:r>
      <w:hyperlink r:id="rId2" w:history="1">
        <w:r w:rsidRPr="00096DE9">
          <w:rPr>
            <w:rStyle w:val="Hyperlink"/>
            <w:sz w:val="16"/>
            <w:szCs w:val="16"/>
          </w:rPr>
          <w:t>https://www.thejadebeagle.com/mma.html</w:t>
        </w:r>
      </w:hyperlink>
      <w:proofErr w:type="gramStart"/>
      <w:r w:rsidRPr="00096DE9">
        <w:rPr>
          <w:rStyle w:val="Hyperlink"/>
          <w:sz w:val="16"/>
          <w:szCs w:val="16"/>
        </w:rPr>
        <w:t xml:space="preserve">. </w:t>
      </w:r>
      <w:r w:rsidRPr="00096DE9">
        <w:rPr>
          <w:sz w:val="16"/>
          <w:szCs w:val="16"/>
        </w:rPr>
        <w:t xml:space="preserve"> </w:t>
      </w:r>
      <w:proofErr w:type="gramEnd"/>
      <w:r>
        <w:rPr>
          <w:sz w:val="16"/>
          <w:szCs w:val="16"/>
        </w:rPr>
        <w:t>It was not identified by the report or published</w:t>
      </w:r>
      <w:proofErr w:type="gramStart"/>
      <w:r>
        <w:rPr>
          <w:sz w:val="16"/>
          <w:szCs w:val="16"/>
        </w:rPr>
        <w:t xml:space="preserve">.  </w:t>
      </w:r>
      <w:proofErr w:type="gramEnd"/>
      <w:r>
        <w:rPr>
          <w:sz w:val="16"/>
          <w:szCs w:val="16"/>
        </w:rPr>
        <w:t xml:space="preserve"> The report said </w:t>
      </w:r>
      <w:proofErr w:type="gramStart"/>
      <w:r w:rsidRPr="00096DE9">
        <w:rPr>
          <w:sz w:val="16"/>
          <w:szCs w:val="16"/>
        </w:rPr>
        <w:t>62</w:t>
      </w:r>
      <w:proofErr w:type="gramEnd"/>
      <w:r w:rsidRPr="00096DE9">
        <w:rPr>
          <w:sz w:val="16"/>
          <w:szCs w:val="16"/>
        </w:rPr>
        <w:t xml:space="preserve"> </w:t>
      </w:r>
      <w:r>
        <w:rPr>
          <w:sz w:val="16"/>
          <w:szCs w:val="16"/>
        </w:rPr>
        <w:t xml:space="preserve">submissions were </w:t>
      </w:r>
      <w:r w:rsidRPr="00096DE9">
        <w:rPr>
          <w:sz w:val="16"/>
          <w:szCs w:val="16"/>
        </w:rPr>
        <w:t>received</w:t>
      </w:r>
      <w:r>
        <w:rPr>
          <w:sz w:val="16"/>
          <w:szCs w:val="16"/>
        </w:rPr>
        <w:t>.  Of these</w:t>
      </w:r>
      <w:r w:rsidRPr="00096DE9">
        <w:rPr>
          <w:sz w:val="16"/>
          <w:szCs w:val="16"/>
        </w:rPr>
        <w:t xml:space="preserve">, </w:t>
      </w:r>
      <w:proofErr w:type="gramStart"/>
      <w:r w:rsidRPr="00096DE9">
        <w:rPr>
          <w:sz w:val="16"/>
          <w:szCs w:val="16"/>
        </w:rPr>
        <w:t>47</w:t>
      </w:r>
      <w:proofErr w:type="gramEnd"/>
      <w:r w:rsidRPr="00096DE9">
        <w:rPr>
          <w:sz w:val="16"/>
          <w:szCs w:val="16"/>
        </w:rPr>
        <w:t xml:space="preserve"> were published.  </w:t>
      </w:r>
      <w:r>
        <w:rPr>
          <w:sz w:val="16"/>
          <w:szCs w:val="16"/>
        </w:rPr>
        <w:t xml:space="preserve">The report </w:t>
      </w:r>
      <w:r w:rsidRPr="00096DE9">
        <w:rPr>
          <w:sz w:val="16"/>
          <w:szCs w:val="16"/>
        </w:rPr>
        <w:t xml:space="preserve">claimed it would be </w:t>
      </w:r>
      <w:r w:rsidRPr="007C28D6">
        <w:rPr>
          <w:sz w:val="16"/>
          <w:szCs w:val="16"/>
        </w:rPr>
        <w:t xml:space="preserve">inappropriate to publish </w:t>
      </w:r>
      <w:proofErr w:type="gramStart"/>
      <w:r w:rsidRPr="007C28D6">
        <w:rPr>
          <w:sz w:val="16"/>
          <w:szCs w:val="16"/>
        </w:rPr>
        <w:t>some</w:t>
      </w:r>
      <w:proofErr w:type="gramEnd"/>
      <w:r w:rsidRPr="007C28D6">
        <w:rPr>
          <w:sz w:val="16"/>
          <w:szCs w:val="16"/>
        </w:rPr>
        <w:t xml:space="preserve"> submissions for reasons of requests by authors or</w:t>
      </w:r>
      <w:r w:rsidR="0080792C">
        <w:rPr>
          <w:sz w:val="16"/>
          <w:szCs w:val="16"/>
        </w:rPr>
        <w:t>, for example,</w:t>
      </w:r>
      <w:r w:rsidRPr="007C28D6">
        <w:rPr>
          <w:sz w:val="16"/>
          <w:szCs w:val="16"/>
        </w:rPr>
        <w:t xml:space="preserve"> because they were scandalous or defamatory.</w:t>
      </w:r>
    </w:p>
    <w:p w14:paraId="1C6B8F32" w14:textId="37E4804F" w:rsidR="00096DE9" w:rsidRDefault="00096DE9">
      <w:pPr>
        <w:pStyle w:val="FootnoteText"/>
      </w:pPr>
    </w:p>
  </w:footnote>
  <w:footnote w:id="3">
    <w:p w14:paraId="5769466F" w14:textId="38BAFAC1" w:rsidR="00617B24" w:rsidRPr="007C28D6" w:rsidRDefault="00617B24">
      <w:pPr>
        <w:pStyle w:val="FootnoteText"/>
        <w:rPr>
          <w:sz w:val="16"/>
          <w:szCs w:val="16"/>
        </w:rPr>
      </w:pPr>
      <w:r w:rsidRPr="007C28D6">
        <w:rPr>
          <w:rStyle w:val="FootnoteReference"/>
          <w:sz w:val="16"/>
          <w:szCs w:val="16"/>
        </w:rPr>
        <w:footnoteRef/>
      </w:r>
      <w:r w:rsidRPr="007C28D6">
        <w:rPr>
          <w:sz w:val="16"/>
          <w:szCs w:val="16"/>
        </w:rPr>
        <w:t xml:space="preserve"> </w:t>
      </w:r>
      <w:hyperlink r:id="rId3" w:history="1">
        <w:r w:rsidR="00096DE9" w:rsidRPr="00001B18">
          <w:rPr>
            <w:rStyle w:val="Hyperlink"/>
            <w:sz w:val="16"/>
            <w:szCs w:val="16"/>
          </w:rPr>
          <w:t>https://www.ministriesinquiry.gov.au/</w:t>
        </w:r>
      </w:hyperlink>
    </w:p>
  </w:footnote>
  <w:footnote w:id="4">
    <w:p w14:paraId="183B2E8E" w14:textId="77777777" w:rsidR="007C28D6" w:rsidRPr="007C28D6" w:rsidRDefault="007C28D6" w:rsidP="00D132E6">
      <w:pPr>
        <w:pStyle w:val="FootnoteText"/>
        <w:rPr>
          <w:sz w:val="16"/>
          <w:szCs w:val="16"/>
        </w:rPr>
      </w:pPr>
    </w:p>
    <w:p w14:paraId="77189131" w14:textId="61FEC0DA" w:rsidR="006C1F05" w:rsidRDefault="00D132E6" w:rsidP="00D132E6">
      <w:pPr>
        <w:pStyle w:val="FootnoteText"/>
        <w:rPr>
          <w:sz w:val="16"/>
          <w:szCs w:val="16"/>
        </w:rPr>
      </w:pPr>
      <w:r w:rsidRPr="00001B18">
        <w:rPr>
          <w:rStyle w:val="FootnoteReference"/>
          <w:sz w:val="16"/>
          <w:szCs w:val="16"/>
        </w:rPr>
        <w:footnoteRef/>
      </w:r>
      <w:r w:rsidR="006C1F05">
        <w:rPr>
          <w:sz w:val="16"/>
          <w:szCs w:val="16"/>
        </w:rPr>
        <w:t xml:space="preserve">God-like powers: </w:t>
      </w:r>
      <w:hyperlink r:id="rId4" w:history="1">
        <w:r w:rsidR="006C1F05" w:rsidRPr="00C20510">
          <w:rPr>
            <w:rStyle w:val="Hyperlink"/>
            <w:sz w:val="16"/>
            <w:szCs w:val="16"/>
          </w:rPr>
          <w:t>https://www.theaustralian.com.au/commentary/emergency-powers-secret-ministries-avoid-scrutiny-of-parliament/news-story/5c8580593ff6319994d9625a3b0f8a99</w:t>
        </w:r>
      </w:hyperlink>
    </w:p>
    <w:p w14:paraId="15F52CE5" w14:textId="77777777" w:rsidR="003150B3" w:rsidRDefault="00D132E6" w:rsidP="00D132E6">
      <w:pPr>
        <w:pStyle w:val="FootnoteText"/>
        <w:rPr>
          <w:i/>
          <w:iCs/>
          <w:sz w:val="16"/>
          <w:szCs w:val="16"/>
        </w:rPr>
      </w:pPr>
      <w:r w:rsidRPr="00001B18">
        <w:rPr>
          <w:sz w:val="16"/>
          <w:szCs w:val="16"/>
        </w:rPr>
        <w:t>On 5 March, at an Attorney General’s meeting to discuss the powers</w:t>
      </w:r>
      <w:r w:rsidR="003150B3">
        <w:rPr>
          <w:sz w:val="16"/>
          <w:szCs w:val="16"/>
        </w:rPr>
        <w:t xml:space="preserve"> (Report para 98)</w:t>
      </w:r>
      <w:r w:rsidRPr="00001B18">
        <w:rPr>
          <w:sz w:val="16"/>
          <w:szCs w:val="16"/>
        </w:rPr>
        <w:t>: ‘</w:t>
      </w:r>
      <w:r w:rsidRPr="00001B18">
        <w:rPr>
          <w:i/>
          <w:iCs/>
          <w:sz w:val="16"/>
          <w:szCs w:val="16"/>
        </w:rPr>
        <w:t xml:space="preserve">Senior General Counsel with the AGS, suggested that for the purposes of the exercise of the human biosecurity emergency powers under the Biosecurity Act, the “Health Minister” may be not only Mr Hunt but also the two junior ministers who had been appointed to administer the Department of Health’…… </w:t>
      </w:r>
      <w:r w:rsidRPr="00001B18">
        <w:rPr>
          <w:sz w:val="16"/>
          <w:szCs w:val="16"/>
        </w:rPr>
        <w:t xml:space="preserve">In early March: </w:t>
      </w:r>
      <w:r w:rsidRPr="00001B18">
        <w:rPr>
          <w:i/>
          <w:iCs/>
          <w:sz w:val="16"/>
          <w:szCs w:val="16"/>
        </w:rPr>
        <w:t xml:space="preserve">‘Mr Porter was surprised that </w:t>
      </w:r>
      <w:proofErr w:type="gramStart"/>
      <w:r w:rsidRPr="00001B18">
        <w:rPr>
          <w:i/>
          <w:iCs/>
          <w:sz w:val="16"/>
          <w:szCs w:val="16"/>
        </w:rPr>
        <w:t>the Biosecurity Act had been passed by the Parliament</w:t>
      </w:r>
      <w:proofErr w:type="gramEnd"/>
      <w:r w:rsidRPr="00001B18">
        <w:rPr>
          <w:i/>
          <w:iCs/>
          <w:sz w:val="16"/>
          <w:szCs w:val="16"/>
        </w:rPr>
        <w:t xml:space="preserve"> in the form in which it did. He considered that the human biosecurity emergency powers were extraordinary and he was critical of the omission of appropriate legislative checks and balances governing their exercise.’</w:t>
      </w:r>
      <w:r w:rsidR="00F65B8C">
        <w:rPr>
          <w:i/>
          <w:iCs/>
          <w:sz w:val="16"/>
          <w:szCs w:val="16"/>
        </w:rPr>
        <w:t xml:space="preserve">  </w:t>
      </w:r>
    </w:p>
    <w:p w14:paraId="02946F2D" w14:textId="1BF80C1B" w:rsidR="00D132E6" w:rsidRPr="00001B18" w:rsidRDefault="00F65B8C" w:rsidP="00D132E6">
      <w:pPr>
        <w:pStyle w:val="FootnoteText"/>
        <w:rPr>
          <w:sz w:val="16"/>
          <w:szCs w:val="16"/>
        </w:rPr>
      </w:pPr>
      <w:r>
        <w:rPr>
          <w:i/>
          <w:iCs/>
          <w:sz w:val="16"/>
          <w:szCs w:val="16"/>
        </w:rPr>
        <w:t>V</w:t>
      </w:r>
      <w:r w:rsidR="00D132E6" w:rsidRPr="00001B18">
        <w:rPr>
          <w:sz w:val="16"/>
          <w:szCs w:val="16"/>
        </w:rPr>
        <w:t>alidity of the extent of these powers has not been tested</w:t>
      </w:r>
      <w:proofErr w:type="gramStart"/>
      <w:r w:rsidR="00D132E6" w:rsidRPr="00001B18">
        <w:rPr>
          <w:sz w:val="16"/>
          <w:szCs w:val="16"/>
        </w:rPr>
        <w:t xml:space="preserve">.  </w:t>
      </w:r>
      <w:proofErr w:type="gramEnd"/>
      <w:r w:rsidR="00D132E6" w:rsidRPr="00001B18">
        <w:rPr>
          <w:sz w:val="16"/>
          <w:szCs w:val="16"/>
        </w:rPr>
        <w:t xml:space="preserve">See for example: </w:t>
      </w:r>
      <w:hyperlink r:id="rId5" w:history="1">
        <w:r w:rsidR="00D132E6" w:rsidRPr="00001B18">
          <w:rPr>
            <w:rStyle w:val="Hyperlink"/>
            <w:sz w:val="16"/>
            <w:szCs w:val="16"/>
          </w:rPr>
          <w:t>https://www.unswlawjournal.unsw.edu.au/wp-content/uploads/2020/03/04-Carter.pdf</w:t>
        </w:r>
      </w:hyperlink>
    </w:p>
    <w:p w14:paraId="1379CE7E" w14:textId="77777777" w:rsidR="00D132E6" w:rsidRPr="009E56D1" w:rsidRDefault="00D132E6" w:rsidP="00D132E6">
      <w:pPr>
        <w:pStyle w:val="FootnoteText"/>
        <w:rPr>
          <w:sz w:val="16"/>
          <w:szCs w:val="16"/>
        </w:rPr>
      </w:pPr>
    </w:p>
  </w:footnote>
  <w:footnote w:id="5">
    <w:p w14:paraId="6C1D3A2C" w14:textId="1C2D3127" w:rsidR="009E56D1" w:rsidRPr="009E56D1" w:rsidRDefault="009E56D1">
      <w:pPr>
        <w:pStyle w:val="FootnoteText"/>
        <w:rPr>
          <w:sz w:val="16"/>
          <w:szCs w:val="16"/>
        </w:rPr>
      </w:pPr>
      <w:r w:rsidRPr="009E56D1">
        <w:rPr>
          <w:rStyle w:val="FootnoteReference"/>
          <w:sz w:val="16"/>
          <w:szCs w:val="16"/>
        </w:rPr>
        <w:footnoteRef/>
      </w:r>
      <w:r w:rsidRPr="009E56D1">
        <w:rPr>
          <w:sz w:val="16"/>
          <w:szCs w:val="16"/>
        </w:rPr>
        <w:t xml:space="preserve"> Provided such over-ruling was consistent with the relevant legislation – see section </w:t>
      </w:r>
      <w:r w:rsidR="000725D3">
        <w:rPr>
          <w:sz w:val="16"/>
          <w:szCs w:val="16"/>
        </w:rPr>
        <w:t>3</w:t>
      </w:r>
      <w:r w:rsidRPr="009E56D1">
        <w:rPr>
          <w:sz w:val="16"/>
          <w:szCs w:val="16"/>
        </w:rPr>
        <w:t>.6 below.</w:t>
      </w:r>
    </w:p>
    <w:p w14:paraId="3871001F" w14:textId="77777777" w:rsidR="009E56D1" w:rsidRDefault="009E56D1">
      <w:pPr>
        <w:pStyle w:val="FootnoteText"/>
      </w:pPr>
    </w:p>
  </w:footnote>
  <w:footnote w:id="6">
    <w:p w14:paraId="3D52DCCF" w14:textId="37EF6E45" w:rsidR="00533F24" w:rsidRPr="00F65B8C" w:rsidRDefault="00533F24" w:rsidP="00533F24">
      <w:pPr>
        <w:pStyle w:val="FootnoteText"/>
        <w:rPr>
          <w:sz w:val="16"/>
          <w:szCs w:val="16"/>
        </w:rPr>
      </w:pPr>
      <w:r w:rsidRPr="00001B18">
        <w:rPr>
          <w:rStyle w:val="FootnoteReference"/>
          <w:sz w:val="16"/>
          <w:szCs w:val="16"/>
        </w:rPr>
        <w:footnoteRef/>
      </w:r>
      <w:r w:rsidRPr="00001B18">
        <w:rPr>
          <w:sz w:val="16"/>
          <w:szCs w:val="16"/>
        </w:rPr>
        <w:t xml:space="preserve"> </w:t>
      </w:r>
      <w:r w:rsidRPr="00F65B8C">
        <w:rPr>
          <w:sz w:val="16"/>
          <w:szCs w:val="16"/>
        </w:rPr>
        <w:t xml:space="preserve">It noted the potential in </w:t>
      </w:r>
      <w:r>
        <w:rPr>
          <w:sz w:val="16"/>
          <w:szCs w:val="16"/>
        </w:rPr>
        <w:t xml:space="preserve">such a </w:t>
      </w:r>
      <w:r w:rsidRPr="00F65B8C">
        <w:rPr>
          <w:sz w:val="16"/>
          <w:szCs w:val="16"/>
        </w:rPr>
        <w:t>case for Ministers to issue conflicting instructions</w:t>
      </w:r>
      <w:proofErr w:type="gramStart"/>
      <w:r w:rsidRPr="00F65B8C">
        <w:rPr>
          <w:sz w:val="16"/>
          <w:szCs w:val="16"/>
        </w:rPr>
        <w:t xml:space="preserve">.  </w:t>
      </w:r>
      <w:proofErr w:type="gramEnd"/>
      <w:r w:rsidRPr="00F65B8C">
        <w:rPr>
          <w:sz w:val="16"/>
          <w:szCs w:val="16"/>
        </w:rPr>
        <w:t>That potential already existed in relation to the emergency health powers</w:t>
      </w:r>
      <w:r>
        <w:rPr>
          <w:sz w:val="16"/>
          <w:szCs w:val="16"/>
        </w:rPr>
        <w:t xml:space="preserve"> - s</w:t>
      </w:r>
      <w:r w:rsidRPr="00F65B8C">
        <w:rPr>
          <w:sz w:val="16"/>
          <w:szCs w:val="16"/>
        </w:rPr>
        <w:t xml:space="preserve">ee note </w:t>
      </w:r>
      <w:proofErr w:type="gramStart"/>
      <w:r>
        <w:rPr>
          <w:sz w:val="16"/>
          <w:szCs w:val="16"/>
        </w:rPr>
        <w:t>4</w:t>
      </w:r>
      <w:proofErr w:type="gramEnd"/>
      <w:r w:rsidRPr="00F65B8C">
        <w:rPr>
          <w:sz w:val="16"/>
          <w:szCs w:val="16"/>
        </w:rPr>
        <w:t xml:space="preserve">. </w:t>
      </w:r>
    </w:p>
  </w:footnote>
  <w:footnote w:id="7">
    <w:p w14:paraId="4B90C673" w14:textId="77777777" w:rsidR="00213E07" w:rsidRPr="00802864" w:rsidRDefault="00213E07">
      <w:pPr>
        <w:pStyle w:val="FootnoteText"/>
        <w:rPr>
          <w:sz w:val="16"/>
          <w:szCs w:val="16"/>
        </w:rPr>
      </w:pPr>
    </w:p>
    <w:p w14:paraId="7EFFAB34" w14:textId="43F7CC1C" w:rsidR="00213E07" w:rsidRPr="00802864" w:rsidRDefault="00213E07">
      <w:pPr>
        <w:pStyle w:val="FootnoteText"/>
        <w:rPr>
          <w:sz w:val="16"/>
          <w:szCs w:val="16"/>
        </w:rPr>
      </w:pPr>
      <w:r w:rsidRPr="00802864">
        <w:rPr>
          <w:rStyle w:val="FootnoteReference"/>
          <w:sz w:val="16"/>
          <w:szCs w:val="16"/>
        </w:rPr>
        <w:footnoteRef/>
      </w:r>
      <w:r w:rsidRPr="00802864">
        <w:rPr>
          <w:sz w:val="16"/>
          <w:szCs w:val="16"/>
        </w:rPr>
        <w:t xml:space="preserve"> Report paras 19-20</w:t>
      </w:r>
      <w:r w:rsidR="00BF30CF">
        <w:rPr>
          <w:sz w:val="16"/>
          <w:szCs w:val="16"/>
        </w:rPr>
        <w:t>.</w:t>
      </w:r>
    </w:p>
    <w:p w14:paraId="0E9436AA" w14:textId="77777777" w:rsidR="00213E07" w:rsidRPr="00802864" w:rsidRDefault="00213E07">
      <w:pPr>
        <w:pStyle w:val="FootnoteText"/>
        <w:rPr>
          <w:sz w:val="16"/>
          <w:szCs w:val="16"/>
        </w:rPr>
      </w:pPr>
    </w:p>
  </w:footnote>
  <w:footnote w:id="8">
    <w:p w14:paraId="275E2B4F" w14:textId="77777777" w:rsidR="004835DA" w:rsidRDefault="004835DA" w:rsidP="004835DA">
      <w:pPr>
        <w:pStyle w:val="FootnoteText"/>
        <w:rPr>
          <w:sz w:val="16"/>
          <w:szCs w:val="16"/>
        </w:rPr>
      </w:pPr>
      <w:r w:rsidRPr="00001B18">
        <w:rPr>
          <w:rStyle w:val="FootnoteReference"/>
          <w:sz w:val="16"/>
          <w:szCs w:val="16"/>
        </w:rPr>
        <w:footnoteRef/>
      </w:r>
      <w:r w:rsidRPr="00001B18">
        <w:rPr>
          <w:sz w:val="16"/>
          <w:szCs w:val="16"/>
        </w:rPr>
        <w:t xml:space="preserve"> </w:t>
      </w:r>
      <w:hyperlink r:id="rId6" w:history="1">
        <w:r w:rsidRPr="00D44723">
          <w:rPr>
            <w:rStyle w:val="Hyperlink"/>
            <w:sz w:val="16"/>
            <w:szCs w:val="16"/>
          </w:rPr>
          <w:t>https://www.aph.gov.au/Parliamentary_Business/Hansard/Hansard_Display?bid=chamber/hansardr/26233/&amp;sid=0015</w:t>
        </w:r>
      </w:hyperlink>
    </w:p>
    <w:p w14:paraId="62B03E01" w14:textId="77777777" w:rsidR="004835DA" w:rsidRPr="00001B18" w:rsidRDefault="004835DA" w:rsidP="004835DA">
      <w:pPr>
        <w:pStyle w:val="FootnoteText"/>
        <w:rPr>
          <w:sz w:val="16"/>
          <w:szCs w:val="16"/>
        </w:rPr>
      </w:pPr>
    </w:p>
  </w:footnote>
  <w:footnote w:id="9">
    <w:p w14:paraId="7DA47253" w14:textId="551F1DB3" w:rsidR="00802864" w:rsidRPr="006B7882" w:rsidRDefault="00802864" w:rsidP="00802864">
      <w:pPr>
        <w:spacing w:after="0"/>
        <w:rPr>
          <w:i/>
          <w:iCs/>
          <w:sz w:val="16"/>
          <w:szCs w:val="16"/>
        </w:rPr>
      </w:pPr>
      <w:r w:rsidRPr="00802864">
        <w:rPr>
          <w:rStyle w:val="FootnoteReference"/>
          <w:sz w:val="16"/>
          <w:szCs w:val="16"/>
        </w:rPr>
        <w:footnoteRef/>
      </w:r>
      <w:r w:rsidRPr="00802864">
        <w:rPr>
          <w:sz w:val="16"/>
          <w:szCs w:val="16"/>
        </w:rPr>
        <w:t xml:space="preserve"> </w:t>
      </w:r>
      <w:r w:rsidR="006B7882">
        <w:rPr>
          <w:sz w:val="16"/>
          <w:szCs w:val="16"/>
        </w:rPr>
        <w:t>Comments in my submission were summarised as: ‘</w:t>
      </w:r>
      <w:r w:rsidRPr="006B7882">
        <w:rPr>
          <w:i/>
          <w:iCs/>
          <w:sz w:val="16"/>
          <w:szCs w:val="16"/>
        </w:rPr>
        <w:t>The inquiry should have regard to:</w:t>
      </w:r>
    </w:p>
    <w:p w14:paraId="28C2C30E" w14:textId="77777777" w:rsidR="00802864" w:rsidRPr="006B7882" w:rsidRDefault="00802864" w:rsidP="00802864">
      <w:pPr>
        <w:pStyle w:val="ListParagraph"/>
        <w:numPr>
          <w:ilvl w:val="0"/>
          <w:numId w:val="2"/>
        </w:numPr>
        <w:spacing w:after="0" w:line="256" w:lineRule="auto"/>
        <w:ind w:left="360"/>
        <w:rPr>
          <w:i/>
          <w:iCs/>
          <w:sz w:val="16"/>
          <w:szCs w:val="16"/>
        </w:rPr>
      </w:pPr>
      <w:r w:rsidRPr="006B7882">
        <w:rPr>
          <w:i/>
          <w:iCs/>
          <w:sz w:val="16"/>
          <w:szCs w:val="16"/>
        </w:rPr>
        <w:t>the paradox in the Solicitor General’s opinion – adherence to the Constitution’s express terms could undermine its purpose of representative and responsible government;</w:t>
      </w:r>
    </w:p>
    <w:p w14:paraId="52C1AEF3" w14:textId="77777777" w:rsidR="00802864" w:rsidRPr="006B7882" w:rsidRDefault="00802864" w:rsidP="00802864">
      <w:pPr>
        <w:pStyle w:val="ListParagraph"/>
        <w:numPr>
          <w:ilvl w:val="0"/>
          <w:numId w:val="2"/>
        </w:numPr>
        <w:spacing w:after="0" w:line="256" w:lineRule="auto"/>
        <w:ind w:left="360"/>
        <w:rPr>
          <w:i/>
          <w:iCs/>
          <w:sz w:val="16"/>
          <w:szCs w:val="16"/>
        </w:rPr>
      </w:pPr>
      <w:r w:rsidRPr="006B7882">
        <w:rPr>
          <w:i/>
          <w:iCs/>
          <w:sz w:val="16"/>
          <w:szCs w:val="16"/>
        </w:rPr>
        <w:t>appointments of a (Prime) Minister to administer multiple Departments does not undermine responsible government;</w:t>
      </w:r>
    </w:p>
    <w:p w14:paraId="6B618953" w14:textId="77777777" w:rsidR="00802864" w:rsidRPr="006B7882" w:rsidRDefault="00802864" w:rsidP="00802864">
      <w:pPr>
        <w:pStyle w:val="ListParagraph"/>
        <w:numPr>
          <w:ilvl w:val="0"/>
          <w:numId w:val="2"/>
        </w:numPr>
        <w:spacing w:after="0" w:line="256" w:lineRule="auto"/>
        <w:ind w:left="360"/>
        <w:rPr>
          <w:i/>
          <w:iCs/>
          <w:sz w:val="16"/>
          <w:szCs w:val="16"/>
        </w:rPr>
      </w:pPr>
      <w:r w:rsidRPr="006B7882">
        <w:rPr>
          <w:i/>
          <w:iCs/>
          <w:sz w:val="16"/>
          <w:szCs w:val="16"/>
        </w:rPr>
        <w:t>of itself, non-disclosure of the appointments of Mr Morrison did not directly undermine responsible government;</w:t>
      </w:r>
    </w:p>
    <w:p w14:paraId="3C16662F" w14:textId="77777777" w:rsidR="00B3286A" w:rsidRDefault="00802864" w:rsidP="00B3286A">
      <w:pPr>
        <w:pStyle w:val="ListParagraph"/>
        <w:numPr>
          <w:ilvl w:val="0"/>
          <w:numId w:val="2"/>
        </w:numPr>
        <w:spacing w:after="0" w:line="256" w:lineRule="auto"/>
        <w:ind w:left="360"/>
        <w:rPr>
          <w:i/>
          <w:iCs/>
          <w:sz w:val="16"/>
          <w:szCs w:val="16"/>
        </w:rPr>
      </w:pPr>
      <w:r w:rsidRPr="00B3286A">
        <w:rPr>
          <w:i/>
          <w:iCs/>
          <w:sz w:val="16"/>
          <w:szCs w:val="16"/>
        </w:rPr>
        <w:t>nonetheless, uncertainty about Ministerial powers – which non-disclosure of appointments contributes to – creates conditions in which serious threats to the system of government can emerge;</w:t>
      </w:r>
    </w:p>
    <w:p w14:paraId="5B8EBBF4" w14:textId="3C48489C" w:rsidR="00802864" w:rsidRPr="00B3286A" w:rsidRDefault="00802864" w:rsidP="00B3286A">
      <w:pPr>
        <w:pStyle w:val="ListParagraph"/>
        <w:numPr>
          <w:ilvl w:val="0"/>
          <w:numId w:val="2"/>
        </w:numPr>
        <w:spacing w:after="0" w:line="256" w:lineRule="auto"/>
        <w:ind w:left="360"/>
        <w:rPr>
          <w:i/>
          <w:iCs/>
          <w:sz w:val="16"/>
          <w:szCs w:val="16"/>
        </w:rPr>
      </w:pPr>
      <w:r w:rsidRPr="00B3286A">
        <w:rPr>
          <w:i/>
          <w:iCs/>
          <w:sz w:val="16"/>
          <w:szCs w:val="16"/>
        </w:rPr>
        <w:t xml:space="preserve">other aspects of such uncertainty, which pre-existed the appointments in question, continue today and should </w:t>
      </w:r>
      <w:proofErr w:type="gramStart"/>
      <w:r w:rsidRPr="00B3286A">
        <w:rPr>
          <w:i/>
          <w:iCs/>
          <w:sz w:val="16"/>
          <w:szCs w:val="16"/>
        </w:rPr>
        <w:t>be rigorously addressed</w:t>
      </w:r>
      <w:proofErr w:type="gramEnd"/>
      <w:r w:rsidRPr="00B3286A">
        <w:rPr>
          <w:i/>
          <w:iCs/>
          <w:sz w:val="16"/>
          <w:szCs w:val="16"/>
        </w:rPr>
        <w:t xml:space="preserve"> by Parliament and the Government.</w:t>
      </w:r>
      <w:r w:rsidR="006B7882" w:rsidRPr="00B3286A">
        <w:rPr>
          <w:i/>
          <w:iCs/>
          <w:sz w:val="16"/>
          <w:szCs w:val="16"/>
        </w:rPr>
        <w:t>’</w:t>
      </w:r>
    </w:p>
  </w:footnote>
  <w:footnote w:id="10">
    <w:p w14:paraId="1FEC8541" w14:textId="2F485614" w:rsidR="00976086" w:rsidRPr="0096289E" w:rsidRDefault="00BF1DCC">
      <w:pPr>
        <w:pStyle w:val="FootnoteText"/>
        <w:rPr>
          <w:sz w:val="16"/>
          <w:szCs w:val="16"/>
        </w:rPr>
      </w:pPr>
      <w:r w:rsidRPr="0096289E">
        <w:rPr>
          <w:rStyle w:val="FootnoteReference"/>
          <w:sz w:val="16"/>
          <w:szCs w:val="16"/>
        </w:rPr>
        <w:footnoteRef/>
      </w:r>
      <w:r w:rsidRPr="0096289E">
        <w:rPr>
          <w:sz w:val="16"/>
          <w:szCs w:val="16"/>
        </w:rPr>
        <w:t xml:space="preserve"> Twomey</w:t>
      </w:r>
      <w:r w:rsidR="00976086">
        <w:rPr>
          <w:sz w:val="16"/>
          <w:szCs w:val="16"/>
        </w:rPr>
        <w:t xml:space="preserve">: </w:t>
      </w:r>
      <w:hyperlink r:id="rId7" w:history="1">
        <w:r w:rsidR="00976086" w:rsidRPr="00C20510">
          <w:rPr>
            <w:rStyle w:val="Hyperlink"/>
            <w:sz w:val="16"/>
            <w:szCs w:val="16"/>
          </w:rPr>
          <w:t>https://www.cjccl.ca/wp-content/uploads/2021/05/10-Twomey.pdf</w:t>
        </w:r>
      </w:hyperlink>
    </w:p>
    <w:p w14:paraId="3630BE05" w14:textId="77777777" w:rsidR="00BF1DCC" w:rsidRPr="0096289E" w:rsidRDefault="00BF1DCC">
      <w:pPr>
        <w:pStyle w:val="FootnoteText"/>
        <w:rPr>
          <w:sz w:val="16"/>
          <w:szCs w:val="16"/>
        </w:rPr>
      </w:pPr>
    </w:p>
  </w:footnote>
  <w:footnote w:id="11">
    <w:p w14:paraId="76552EB9" w14:textId="77777777" w:rsidR="00D132E6" w:rsidRDefault="00D132E6" w:rsidP="00D132E6">
      <w:pPr>
        <w:pStyle w:val="FootnoteText"/>
        <w:rPr>
          <w:sz w:val="16"/>
          <w:szCs w:val="16"/>
        </w:rPr>
      </w:pPr>
      <w:r w:rsidRPr="00BE6EC7">
        <w:rPr>
          <w:rStyle w:val="FootnoteReference"/>
          <w:sz w:val="16"/>
          <w:szCs w:val="16"/>
        </w:rPr>
        <w:footnoteRef/>
      </w:r>
      <w:r w:rsidRPr="00BE6EC7">
        <w:rPr>
          <w:sz w:val="16"/>
          <w:szCs w:val="16"/>
        </w:rPr>
        <w:t xml:space="preserve"> See for example: </w:t>
      </w:r>
      <w:hyperlink r:id="rId8" w:history="1">
        <w:r w:rsidRPr="00BE6EC7">
          <w:rPr>
            <w:rStyle w:val="Hyperlink"/>
            <w:sz w:val="16"/>
            <w:szCs w:val="16"/>
          </w:rPr>
          <w:t>https://www.law.uwa.edu.au/__data/assets/pdf_file/0006/3096744/03-Robert-French,-Executive-Power-in-Australia-COMPLETED-PDF.pdf</w:t>
        </w:r>
      </w:hyperlink>
    </w:p>
    <w:p w14:paraId="3CEE6405" w14:textId="77777777" w:rsidR="00D132E6" w:rsidRDefault="00D132E6" w:rsidP="00D132E6">
      <w:pPr>
        <w:pStyle w:val="FootnoteText"/>
      </w:pPr>
    </w:p>
  </w:footnote>
  <w:footnote w:id="12">
    <w:p w14:paraId="207FF48D" w14:textId="77777777" w:rsidR="00D132E6" w:rsidRPr="00D85634" w:rsidRDefault="00D132E6" w:rsidP="00D132E6">
      <w:pPr>
        <w:pStyle w:val="FootnoteText"/>
        <w:rPr>
          <w:sz w:val="16"/>
          <w:szCs w:val="16"/>
        </w:rPr>
      </w:pPr>
      <w:r w:rsidRPr="00001B18">
        <w:rPr>
          <w:rStyle w:val="FootnoteReference"/>
          <w:sz w:val="16"/>
          <w:szCs w:val="16"/>
        </w:rPr>
        <w:footnoteRef/>
      </w:r>
      <w:r w:rsidRPr="00001B18">
        <w:rPr>
          <w:sz w:val="16"/>
          <w:szCs w:val="16"/>
        </w:rPr>
        <w:t xml:space="preserve"> ‘May’ since there may be doubts about the validity of a decision which does not take account of affected parties or their right to </w:t>
      </w:r>
      <w:proofErr w:type="gramStart"/>
      <w:r w:rsidRPr="00001B18">
        <w:rPr>
          <w:sz w:val="16"/>
          <w:szCs w:val="16"/>
        </w:rPr>
        <w:t>be heard</w:t>
      </w:r>
      <w:proofErr w:type="gramEnd"/>
      <w:r w:rsidRPr="00001B18">
        <w:rPr>
          <w:sz w:val="16"/>
          <w:szCs w:val="16"/>
        </w:rPr>
        <w:t xml:space="preserve">. For example: </w:t>
      </w:r>
      <w:hyperlink r:id="rId9" w:history="1">
        <w:r w:rsidRPr="00001B18">
          <w:rPr>
            <w:rStyle w:val="Hyperlink"/>
            <w:sz w:val="16"/>
            <w:szCs w:val="16"/>
          </w:rPr>
          <w:t>https://www.alrc.gov.au/publication/traditional-rights-and-freedoms-encroachments-by-commonwealth-laws-alrc-report-129/14-procedural-fairness-2/procedural-fairness-the-duty-and-its-content/</w:t>
        </w:r>
      </w:hyperlink>
    </w:p>
    <w:p w14:paraId="67D58BCE" w14:textId="77777777" w:rsidR="00D132E6" w:rsidRPr="00D85634" w:rsidRDefault="00D132E6" w:rsidP="00D132E6">
      <w:pPr>
        <w:pStyle w:val="FootnoteText"/>
        <w:rPr>
          <w:sz w:val="16"/>
          <w:szCs w:val="16"/>
        </w:rPr>
      </w:pPr>
    </w:p>
  </w:footnote>
  <w:footnote w:id="13">
    <w:p w14:paraId="06613BBA" w14:textId="77777777" w:rsidR="00D132E6" w:rsidRDefault="00D132E6" w:rsidP="00D132E6">
      <w:pPr>
        <w:pStyle w:val="FootnoteText"/>
        <w:rPr>
          <w:sz w:val="16"/>
          <w:szCs w:val="16"/>
        </w:rPr>
      </w:pPr>
      <w:r w:rsidRPr="00D85634">
        <w:rPr>
          <w:rStyle w:val="FootnoteReference"/>
          <w:sz w:val="16"/>
          <w:szCs w:val="16"/>
        </w:rPr>
        <w:footnoteRef/>
      </w:r>
      <w:r w:rsidRPr="00D85634">
        <w:rPr>
          <w:sz w:val="16"/>
          <w:szCs w:val="16"/>
        </w:rPr>
        <w:t xml:space="preserve"> Royal commission: </w:t>
      </w:r>
      <w:hyperlink r:id="rId10" w:history="1">
        <w:r w:rsidRPr="00D85634">
          <w:rPr>
            <w:rStyle w:val="Hyperlink"/>
            <w:sz w:val="16"/>
            <w:szCs w:val="16"/>
          </w:rPr>
          <w:t>https://www.thejadebeagle.com/tip-fire-a.html</w:t>
        </w:r>
      </w:hyperlink>
      <w:r>
        <w:rPr>
          <w:sz w:val="16"/>
          <w:szCs w:val="16"/>
        </w:rPr>
        <w:t>.</w:t>
      </w:r>
    </w:p>
    <w:p w14:paraId="5B3CF289" w14:textId="77777777" w:rsidR="00D132E6" w:rsidRDefault="00D132E6" w:rsidP="00D132E6">
      <w:pPr>
        <w:pStyle w:val="FootnoteText"/>
        <w:rPr>
          <w:color w:val="0A1633"/>
          <w:sz w:val="16"/>
          <w:szCs w:val="16"/>
          <w:shd w:val="clear" w:color="auto" w:fill="FFFFFF"/>
        </w:rPr>
      </w:pPr>
      <w:r>
        <w:rPr>
          <w:sz w:val="16"/>
          <w:szCs w:val="16"/>
        </w:rPr>
        <w:t>P</w:t>
      </w:r>
      <w:r w:rsidRPr="00D85634">
        <w:rPr>
          <w:sz w:val="16"/>
          <w:szCs w:val="16"/>
        </w:rPr>
        <w:t xml:space="preserve">aranoia etc – reports had ASIO Director General warning </w:t>
      </w:r>
      <w:r>
        <w:rPr>
          <w:sz w:val="16"/>
          <w:szCs w:val="16"/>
        </w:rPr>
        <w:t xml:space="preserve">in November 2022 </w:t>
      </w:r>
      <w:r w:rsidRPr="00D85634">
        <w:rPr>
          <w:sz w:val="16"/>
          <w:szCs w:val="16"/>
        </w:rPr>
        <w:t>‘</w:t>
      </w:r>
      <w:r w:rsidRPr="00D85634">
        <w:rPr>
          <w:i/>
          <w:iCs/>
          <w:color w:val="0A1633"/>
          <w:sz w:val="16"/>
          <w:szCs w:val="16"/>
          <w:shd w:val="clear" w:color="auto" w:fill="FFFFFF"/>
        </w:rPr>
        <w:t>some “angry and alienated Australians” could turn to violence after becoming trapped in an echo chamber of misinformation and conspiratorial thinking during their pandemic isolation’</w:t>
      </w:r>
      <w:proofErr w:type="gramStart"/>
      <w:r w:rsidRPr="00D85634">
        <w:rPr>
          <w:i/>
          <w:iCs/>
          <w:color w:val="0A1633"/>
          <w:sz w:val="16"/>
          <w:szCs w:val="16"/>
          <w:shd w:val="clear" w:color="auto" w:fill="FFFFFF"/>
        </w:rPr>
        <w:t>.</w:t>
      </w:r>
      <w:r>
        <w:rPr>
          <w:i/>
          <w:iCs/>
          <w:color w:val="0A1633"/>
          <w:sz w:val="16"/>
          <w:szCs w:val="16"/>
          <w:shd w:val="clear" w:color="auto" w:fill="FFFFFF"/>
        </w:rPr>
        <w:t xml:space="preserve">  </w:t>
      </w:r>
      <w:proofErr w:type="gramEnd"/>
      <w:r>
        <w:fldChar w:fldCharType="begin"/>
      </w:r>
      <w:r>
        <w:instrText>HYPERLINK "https://www.smh.com.au/politics/federal/wieambilla-killings-a-chilling-reminder-of-far-right-threat-in-australia-20221214-p5c6ac.html"</w:instrText>
      </w:r>
      <w:r>
        <w:fldChar w:fldCharType="separate"/>
      </w:r>
      <w:r w:rsidRPr="00D44723">
        <w:rPr>
          <w:rStyle w:val="Hyperlink"/>
          <w:sz w:val="16"/>
          <w:szCs w:val="16"/>
          <w:shd w:val="clear" w:color="auto" w:fill="FFFFFF"/>
        </w:rPr>
        <w:t>https://www.smh.com.au/politics/federal/wieambilla-killings-a-chilling-reminder-of-far-right-threat-in-australia-20221214-p5c6ac.html</w:t>
      </w:r>
      <w:r>
        <w:rPr>
          <w:rStyle w:val="Hyperlink"/>
          <w:sz w:val="16"/>
          <w:szCs w:val="16"/>
          <w:shd w:val="clear" w:color="auto" w:fill="FFFFFF"/>
        </w:rPr>
        <w:fldChar w:fldCharType="end"/>
      </w:r>
    </w:p>
    <w:p w14:paraId="4C3152CD" w14:textId="77777777" w:rsidR="00D132E6" w:rsidRDefault="00D132E6" w:rsidP="00D132E6">
      <w:pPr>
        <w:pStyle w:val="FootnoteText"/>
      </w:pPr>
    </w:p>
  </w:footnote>
  <w:footnote w:id="14">
    <w:p w14:paraId="243A4C1A" w14:textId="1A07B03D" w:rsidR="000725D3" w:rsidRDefault="00D132E6" w:rsidP="00D132E6">
      <w:pPr>
        <w:pStyle w:val="FootnoteText"/>
        <w:rPr>
          <w:i/>
          <w:iCs/>
          <w:sz w:val="16"/>
          <w:szCs w:val="16"/>
        </w:rPr>
      </w:pPr>
      <w:r w:rsidRPr="00F82537">
        <w:rPr>
          <w:rStyle w:val="FootnoteReference"/>
          <w:sz w:val="16"/>
          <w:szCs w:val="16"/>
        </w:rPr>
        <w:footnoteRef/>
      </w:r>
      <w:r w:rsidRPr="00F82537">
        <w:rPr>
          <w:sz w:val="16"/>
          <w:szCs w:val="16"/>
        </w:rPr>
        <w:t xml:space="preserve"> </w:t>
      </w:r>
      <w:r w:rsidR="003150B3">
        <w:rPr>
          <w:sz w:val="16"/>
          <w:szCs w:val="16"/>
        </w:rPr>
        <w:t xml:space="preserve">Report: </w:t>
      </w:r>
      <w:r>
        <w:rPr>
          <w:sz w:val="16"/>
          <w:szCs w:val="16"/>
        </w:rPr>
        <w:t>‘</w:t>
      </w:r>
      <w:r w:rsidRPr="001330B8">
        <w:rPr>
          <w:i/>
          <w:iCs/>
          <w:sz w:val="16"/>
          <w:szCs w:val="16"/>
        </w:rPr>
        <w:t xml:space="preserve">274. There are </w:t>
      </w:r>
      <w:proofErr w:type="gramStart"/>
      <w:r w:rsidRPr="001330B8">
        <w:rPr>
          <w:i/>
          <w:iCs/>
          <w:sz w:val="16"/>
          <w:szCs w:val="16"/>
        </w:rPr>
        <w:t>a number of</w:t>
      </w:r>
      <w:proofErr w:type="gramEnd"/>
      <w:r w:rsidRPr="001330B8">
        <w:rPr>
          <w:i/>
          <w:iCs/>
          <w:sz w:val="16"/>
          <w:szCs w:val="16"/>
        </w:rPr>
        <w:t xml:space="preserve"> accountability mechanisms available to parliamentarians which depend on knowledge of the identity of the relevant Minister. In particular, “[t]he accountability of the Government is demonstrated most clearly and publicly at Question Time when, for a period (usually well over an hour) on each sitting day, questions without notice are put to Ministers</w:t>
      </w:r>
      <w:proofErr w:type="gramStart"/>
      <w:r w:rsidRPr="001330B8">
        <w:rPr>
          <w:i/>
          <w:iCs/>
          <w:sz w:val="16"/>
          <w:szCs w:val="16"/>
        </w:rPr>
        <w:t>”.</w:t>
      </w:r>
      <w:proofErr w:type="gramEnd"/>
      <w:r w:rsidRPr="001330B8">
        <w:rPr>
          <w:i/>
          <w:iCs/>
          <w:sz w:val="16"/>
          <w:szCs w:val="16"/>
        </w:rPr>
        <w:t xml:space="preserve"> A parliamentarian may wish to move a motion with the aim of having a minister provide the House with an explanation for the exercise or the non-exercise of their powers within their portfolio. The identity of the persons appointed to administer a department may also be relevant to the framing of calls for documents, or of questions, by members including during debates in the relevant House or committee proceedings. Self-evidently the mechanisms that allow parliamentarians to “question and criticise government on behalf of the people” depend on knowing who is responsible for the administration of the departments of State.</w:t>
      </w:r>
      <w:r>
        <w:rPr>
          <w:i/>
          <w:iCs/>
          <w:sz w:val="16"/>
          <w:szCs w:val="16"/>
        </w:rPr>
        <w:t>’</w:t>
      </w:r>
    </w:p>
    <w:p w14:paraId="1B4264EE" w14:textId="7766222F" w:rsidR="00D132E6" w:rsidRPr="001330B8" w:rsidRDefault="00D132E6" w:rsidP="00D132E6">
      <w:pPr>
        <w:pStyle w:val="FootnoteText"/>
        <w:rPr>
          <w:i/>
          <w:iCs/>
          <w:sz w:val="16"/>
          <w:szCs w:val="16"/>
        </w:rPr>
      </w:pPr>
      <w:r w:rsidRPr="001330B8">
        <w:rPr>
          <w:i/>
          <w:iCs/>
          <w:sz w:val="16"/>
          <w:szCs w:val="16"/>
        </w:rPr>
        <w:t xml:space="preserve"> </w:t>
      </w:r>
    </w:p>
  </w:footnote>
  <w:footnote w:id="15">
    <w:p w14:paraId="2A314753" w14:textId="79CC7C97" w:rsidR="00027AC7" w:rsidRPr="00027AC7" w:rsidRDefault="00027AC7">
      <w:pPr>
        <w:pStyle w:val="FootnoteText"/>
        <w:rPr>
          <w:sz w:val="16"/>
          <w:szCs w:val="16"/>
        </w:rPr>
      </w:pPr>
      <w:r w:rsidRPr="00027AC7">
        <w:rPr>
          <w:rStyle w:val="FootnoteReference"/>
          <w:sz w:val="16"/>
          <w:szCs w:val="16"/>
        </w:rPr>
        <w:footnoteRef/>
      </w:r>
      <w:r>
        <w:rPr>
          <w:sz w:val="16"/>
          <w:szCs w:val="16"/>
        </w:rPr>
        <w:t xml:space="preserve">See, for example: </w:t>
      </w:r>
      <w:hyperlink r:id="rId11" w:history="1">
        <w:r w:rsidRPr="00C20510">
          <w:rPr>
            <w:rStyle w:val="Hyperlink"/>
            <w:sz w:val="16"/>
            <w:szCs w:val="16"/>
          </w:rPr>
          <w:t>https://parlinfo.aph.gov.au/parlInfo/search/display/display.w3p;db=CHAMBER;id=chamber%2Fhansardr%2F008878e2-702c-4017-beac-97696e5ca1d0%2F0284;query=Id%3A%22chamber%2Fhansardr%2F008878e2-702c-4017-beac-97696e5ca1d0%2F0355%22</w:t>
        </w:r>
      </w:hyperlink>
    </w:p>
    <w:p w14:paraId="11A7D362" w14:textId="77777777" w:rsidR="00027AC7" w:rsidRDefault="00027AC7">
      <w:pPr>
        <w:pStyle w:val="FootnoteText"/>
      </w:pPr>
    </w:p>
  </w:footnote>
  <w:footnote w:id="16">
    <w:p w14:paraId="07CF907C" w14:textId="77777777" w:rsidR="00D132E6" w:rsidRPr="006B70A9" w:rsidRDefault="00D132E6" w:rsidP="00D132E6">
      <w:pPr>
        <w:pStyle w:val="FootnoteText"/>
        <w:rPr>
          <w:sz w:val="16"/>
          <w:szCs w:val="16"/>
        </w:rPr>
      </w:pPr>
      <w:r w:rsidRPr="006B70A9">
        <w:rPr>
          <w:rStyle w:val="FootnoteReference"/>
          <w:sz w:val="16"/>
          <w:szCs w:val="16"/>
        </w:rPr>
        <w:footnoteRef/>
      </w:r>
      <w:r w:rsidRPr="006B70A9">
        <w:rPr>
          <w:sz w:val="16"/>
          <w:szCs w:val="16"/>
        </w:rPr>
        <w:t xml:space="preserve"> </w:t>
      </w:r>
      <w:hyperlink r:id="rId12" w:history="1">
        <w:r w:rsidRPr="006B70A9">
          <w:rPr>
            <w:rStyle w:val="Hyperlink"/>
            <w:sz w:val="16"/>
            <w:szCs w:val="16"/>
          </w:rPr>
          <w:t>https://thenewdaily.com.au/news/politics/2022/05/09/scott-morrison-labor-ad-spending/</w:t>
        </w:r>
      </w:hyperlink>
    </w:p>
    <w:p w14:paraId="40E69B72" w14:textId="77777777" w:rsidR="00D132E6" w:rsidRPr="006B70A9" w:rsidRDefault="00D132E6" w:rsidP="00D132E6">
      <w:pPr>
        <w:pStyle w:val="FootnoteText"/>
        <w:rPr>
          <w:sz w:val="16"/>
          <w:szCs w:val="16"/>
        </w:rPr>
      </w:pPr>
    </w:p>
  </w:footnote>
  <w:footnote w:id="17">
    <w:p w14:paraId="69E6394E" w14:textId="77777777" w:rsidR="00D132E6" w:rsidRPr="006B70A9" w:rsidRDefault="00D132E6" w:rsidP="00D132E6">
      <w:pPr>
        <w:pStyle w:val="FootnoteText"/>
        <w:rPr>
          <w:sz w:val="16"/>
          <w:szCs w:val="16"/>
        </w:rPr>
      </w:pPr>
      <w:r w:rsidRPr="006B70A9">
        <w:rPr>
          <w:rStyle w:val="FootnoteReference"/>
          <w:sz w:val="16"/>
          <w:szCs w:val="16"/>
        </w:rPr>
        <w:footnoteRef/>
      </w:r>
      <w:r w:rsidRPr="006B70A9">
        <w:rPr>
          <w:sz w:val="16"/>
          <w:szCs w:val="16"/>
        </w:rPr>
        <w:t xml:space="preserve"> </w:t>
      </w:r>
      <w:hyperlink r:id="rId13" w:history="1">
        <w:r w:rsidRPr="006B70A9">
          <w:rPr>
            <w:rStyle w:val="Hyperlink"/>
            <w:sz w:val="16"/>
            <w:szCs w:val="16"/>
          </w:rPr>
          <w:t>https://www.thejadebeagle.com/emergency-achieved.html</w:t>
        </w:r>
      </w:hyperlink>
    </w:p>
    <w:p w14:paraId="40315DD2" w14:textId="77777777" w:rsidR="00D132E6" w:rsidRDefault="00D132E6" w:rsidP="00D132E6">
      <w:pPr>
        <w:pStyle w:val="FootnoteText"/>
      </w:pPr>
    </w:p>
  </w:footnote>
  <w:footnote w:id="18">
    <w:p w14:paraId="4E5C53DA" w14:textId="6B8651FE" w:rsidR="00A46EC4" w:rsidRPr="006B70A9" w:rsidRDefault="00A46EC4" w:rsidP="00A46EC4">
      <w:pPr>
        <w:pStyle w:val="FootnoteText"/>
        <w:rPr>
          <w:sz w:val="16"/>
          <w:szCs w:val="16"/>
        </w:rPr>
      </w:pPr>
      <w:r w:rsidRPr="006B70A9">
        <w:rPr>
          <w:rStyle w:val="FootnoteReference"/>
          <w:sz w:val="16"/>
          <w:szCs w:val="16"/>
        </w:rPr>
        <w:footnoteRef/>
      </w:r>
      <w:r w:rsidRPr="006B70A9">
        <w:rPr>
          <w:sz w:val="16"/>
          <w:szCs w:val="16"/>
        </w:rPr>
        <w:t xml:space="preserve"> Report para 270</w:t>
      </w:r>
      <w:r w:rsidR="000725D3">
        <w:rPr>
          <w:sz w:val="16"/>
          <w:szCs w:val="16"/>
        </w:rPr>
        <w:t>.</w:t>
      </w:r>
    </w:p>
    <w:p w14:paraId="4709B194" w14:textId="77777777" w:rsidR="00A46EC4" w:rsidRPr="006B70A9" w:rsidRDefault="00A46EC4" w:rsidP="00A46EC4">
      <w:pPr>
        <w:pStyle w:val="FootnoteText"/>
        <w:rPr>
          <w:sz w:val="16"/>
          <w:szCs w:val="16"/>
        </w:rPr>
      </w:pPr>
    </w:p>
  </w:footnote>
  <w:footnote w:id="19">
    <w:p w14:paraId="7ACC5C7D" w14:textId="0A0BB8CA" w:rsidR="00717B81" w:rsidRPr="00715625" w:rsidRDefault="00717B81">
      <w:pPr>
        <w:pStyle w:val="FootnoteText"/>
        <w:rPr>
          <w:sz w:val="16"/>
          <w:szCs w:val="16"/>
        </w:rPr>
      </w:pPr>
      <w:r w:rsidRPr="00715625">
        <w:rPr>
          <w:rStyle w:val="FootnoteReference"/>
          <w:sz w:val="16"/>
          <w:szCs w:val="16"/>
        </w:rPr>
        <w:footnoteRef/>
      </w:r>
      <w:r w:rsidRPr="00715625">
        <w:rPr>
          <w:sz w:val="16"/>
          <w:szCs w:val="16"/>
        </w:rPr>
        <w:t xml:space="preserve"> Examples</w:t>
      </w:r>
      <w:r w:rsidR="005A023C">
        <w:rPr>
          <w:sz w:val="16"/>
          <w:szCs w:val="16"/>
        </w:rPr>
        <w:t>, which relate to the implied freedom of political communication,</w:t>
      </w:r>
      <w:r w:rsidRPr="00715625">
        <w:rPr>
          <w:sz w:val="16"/>
          <w:szCs w:val="16"/>
        </w:rPr>
        <w:t xml:space="preserve"> are in the previous article - see note </w:t>
      </w:r>
      <w:proofErr w:type="gramStart"/>
      <w:r w:rsidRPr="00715625">
        <w:rPr>
          <w:sz w:val="16"/>
          <w:szCs w:val="16"/>
        </w:rPr>
        <w:t>1</w:t>
      </w:r>
      <w:proofErr w:type="gramEnd"/>
      <w:r w:rsidRPr="00715625">
        <w:rPr>
          <w:sz w:val="16"/>
          <w:szCs w:val="16"/>
        </w:rPr>
        <w:t>.</w:t>
      </w:r>
    </w:p>
    <w:p w14:paraId="5B149173" w14:textId="6F9323AB" w:rsidR="00717B81" w:rsidRPr="00715625" w:rsidRDefault="00717B81">
      <w:pPr>
        <w:pStyle w:val="FootnoteText"/>
        <w:rPr>
          <w:sz w:val="16"/>
          <w:szCs w:val="16"/>
        </w:rPr>
      </w:pPr>
      <w:r w:rsidRPr="00715625">
        <w:rPr>
          <w:sz w:val="16"/>
          <w:szCs w:val="16"/>
        </w:rPr>
        <w:t xml:space="preserve"> </w:t>
      </w:r>
    </w:p>
  </w:footnote>
  <w:footnote w:id="20">
    <w:p w14:paraId="73DE1636" w14:textId="70F67F67" w:rsidR="00AF439F" w:rsidRPr="00715625" w:rsidRDefault="00AF439F">
      <w:pPr>
        <w:pStyle w:val="FootnoteText"/>
        <w:rPr>
          <w:sz w:val="16"/>
          <w:szCs w:val="16"/>
        </w:rPr>
      </w:pPr>
      <w:r w:rsidRPr="00715625">
        <w:rPr>
          <w:rStyle w:val="FootnoteReference"/>
          <w:sz w:val="16"/>
          <w:szCs w:val="16"/>
        </w:rPr>
        <w:footnoteRef/>
      </w:r>
      <w:r w:rsidRPr="00715625">
        <w:rPr>
          <w:sz w:val="16"/>
          <w:szCs w:val="16"/>
        </w:rPr>
        <w:t xml:space="preserve"> Constitution s.61.</w:t>
      </w:r>
    </w:p>
    <w:p w14:paraId="3B82776C" w14:textId="77777777" w:rsidR="00AF439F" w:rsidRPr="00715625" w:rsidRDefault="00AF439F">
      <w:pPr>
        <w:pStyle w:val="FootnoteText"/>
        <w:rPr>
          <w:sz w:val="16"/>
          <w:szCs w:val="16"/>
        </w:rPr>
      </w:pPr>
    </w:p>
  </w:footnote>
  <w:footnote w:id="21">
    <w:p w14:paraId="45F113DF" w14:textId="77777777" w:rsidR="005A023C" w:rsidRPr="005A023C" w:rsidRDefault="005A023C" w:rsidP="005A023C">
      <w:pPr>
        <w:pStyle w:val="FootnoteText"/>
        <w:rPr>
          <w:sz w:val="16"/>
          <w:szCs w:val="16"/>
        </w:rPr>
      </w:pPr>
      <w:r w:rsidRPr="005A023C">
        <w:rPr>
          <w:rStyle w:val="FootnoteReference"/>
          <w:sz w:val="16"/>
          <w:szCs w:val="16"/>
        </w:rPr>
        <w:footnoteRef/>
      </w:r>
      <w:r w:rsidRPr="005A023C">
        <w:rPr>
          <w:sz w:val="16"/>
          <w:szCs w:val="16"/>
        </w:rPr>
        <w:t xml:space="preserve"> Report para 287.</w:t>
      </w:r>
    </w:p>
    <w:p w14:paraId="4C943298" w14:textId="77777777" w:rsidR="005A023C" w:rsidRPr="00D31950" w:rsidRDefault="005A023C" w:rsidP="005A023C">
      <w:pPr>
        <w:pStyle w:val="FootnoteText"/>
        <w:rPr>
          <w:sz w:val="16"/>
          <w:szCs w:val="16"/>
        </w:rPr>
      </w:pPr>
    </w:p>
  </w:footnote>
  <w:footnote w:id="22">
    <w:p w14:paraId="79B94A1D" w14:textId="1E4BFFFC" w:rsidR="00D31950" w:rsidRDefault="00D31950">
      <w:pPr>
        <w:pStyle w:val="FootnoteText"/>
      </w:pPr>
      <w:r w:rsidRPr="00D31950">
        <w:rPr>
          <w:rStyle w:val="FootnoteReference"/>
          <w:sz w:val="16"/>
          <w:szCs w:val="16"/>
        </w:rPr>
        <w:footnoteRef/>
      </w:r>
      <w:r w:rsidRPr="00D31950">
        <w:rPr>
          <w:sz w:val="16"/>
          <w:szCs w:val="16"/>
        </w:rPr>
        <w:t xml:space="preserve"> Report para 281.</w:t>
      </w:r>
    </w:p>
  </w:footnote>
  <w:footnote w:id="23">
    <w:p w14:paraId="32A7BF69" w14:textId="18FFE4FD" w:rsidR="00715625" w:rsidRPr="00715625" w:rsidRDefault="00715625">
      <w:pPr>
        <w:pStyle w:val="FootnoteText"/>
        <w:rPr>
          <w:sz w:val="16"/>
          <w:szCs w:val="16"/>
        </w:rPr>
      </w:pPr>
      <w:r w:rsidRPr="00715625">
        <w:rPr>
          <w:rStyle w:val="FootnoteReference"/>
          <w:sz w:val="16"/>
          <w:szCs w:val="16"/>
        </w:rPr>
        <w:footnoteRef/>
      </w:r>
      <w:r w:rsidR="00705711">
        <w:rPr>
          <w:sz w:val="16"/>
          <w:szCs w:val="16"/>
        </w:rPr>
        <w:t>Explanation: see note 2</w:t>
      </w:r>
      <w:proofErr w:type="gramStart"/>
      <w:r w:rsidR="00705711">
        <w:rPr>
          <w:sz w:val="16"/>
          <w:szCs w:val="16"/>
        </w:rPr>
        <w:t xml:space="preserve">.  </w:t>
      </w:r>
      <w:proofErr w:type="gramEnd"/>
      <w:r w:rsidR="00705711">
        <w:rPr>
          <w:sz w:val="16"/>
          <w:szCs w:val="16"/>
        </w:rPr>
        <w:t xml:space="preserve">Cabinet rationale: </w:t>
      </w:r>
      <w:hyperlink r:id="rId14" w:history="1">
        <w:r w:rsidR="00705711" w:rsidRPr="00D44723">
          <w:rPr>
            <w:rStyle w:val="Hyperlink"/>
            <w:sz w:val="16"/>
            <w:szCs w:val="16"/>
          </w:rPr>
          <w:t>https://www.aph.gov.au/About_Parliament/House_of_Representatives/Powers_practice_and_procedure/Practice7/HTML/Chapter2/Cabinet</w:t>
        </w:r>
      </w:hyperlink>
    </w:p>
    <w:p w14:paraId="79C2C9E8" w14:textId="77777777" w:rsidR="00715625" w:rsidRPr="00EC4BDF" w:rsidRDefault="00715625">
      <w:pPr>
        <w:pStyle w:val="FootnoteText"/>
        <w:rPr>
          <w:rFonts w:cstheme="minorHAnsi"/>
          <w:sz w:val="16"/>
          <w:szCs w:val="16"/>
        </w:rPr>
      </w:pPr>
    </w:p>
  </w:footnote>
  <w:footnote w:id="24">
    <w:p w14:paraId="14547EAF" w14:textId="2A437B52" w:rsidR="003250E1" w:rsidRPr="00010212" w:rsidRDefault="003250E1" w:rsidP="003250E1">
      <w:pPr>
        <w:pStyle w:val="FootnoteText"/>
        <w:rPr>
          <w:rFonts w:cstheme="minorHAnsi"/>
          <w:color w:val="000000"/>
          <w:sz w:val="16"/>
          <w:szCs w:val="16"/>
        </w:rPr>
      </w:pPr>
      <w:r w:rsidRPr="00EC4BDF">
        <w:rPr>
          <w:rStyle w:val="FootnoteReference"/>
          <w:rFonts w:cstheme="minorHAnsi"/>
          <w:sz w:val="16"/>
          <w:szCs w:val="16"/>
        </w:rPr>
        <w:footnoteRef/>
      </w:r>
      <w:r w:rsidRPr="00EC4BDF">
        <w:rPr>
          <w:rFonts w:cstheme="minorHAnsi"/>
          <w:sz w:val="16"/>
          <w:szCs w:val="16"/>
        </w:rPr>
        <w:t xml:space="preserve"> In August 2022</w:t>
      </w:r>
      <w:r>
        <w:rPr>
          <w:rFonts w:cstheme="minorHAnsi"/>
          <w:sz w:val="16"/>
          <w:szCs w:val="16"/>
        </w:rPr>
        <w:t>,</w:t>
      </w:r>
      <w:r w:rsidRPr="00EC4BDF">
        <w:rPr>
          <w:rFonts w:cstheme="minorHAnsi"/>
          <w:sz w:val="16"/>
          <w:szCs w:val="16"/>
        </w:rPr>
        <w:t xml:space="preserve"> the ABC reported </w:t>
      </w:r>
      <w:r w:rsidRPr="00EC4BDF">
        <w:rPr>
          <w:rFonts w:cstheme="minorHAnsi"/>
          <w:i/>
          <w:iCs/>
          <w:sz w:val="16"/>
          <w:szCs w:val="16"/>
        </w:rPr>
        <w:t>‘</w:t>
      </w:r>
      <w:r w:rsidRPr="00EC4BDF">
        <w:rPr>
          <w:rFonts w:cstheme="minorHAnsi"/>
          <w:i/>
          <w:iCs/>
          <w:color w:val="000000"/>
          <w:sz w:val="16"/>
          <w:szCs w:val="16"/>
        </w:rPr>
        <w:t xml:space="preserve">he feared "some threat to the national interest as a result of unilateral action by an individual". In </w:t>
      </w:r>
      <w:r w:rsidRPr="00010212">
        <w:rPr>
          <w:rFonts w:cstheme="minorHAnsi"/>
          <w:i/>
          <w:iCs/>
          <w:color w:val="000000"/>
          <w:sz w:val="16"/>
          <w:szCs w:val="16"/>
        </w:rPr>
        <w:t>those circumstances, he felt the prime minister should have "the ability to take responsibility and to take action".</w:t>
      </w:r>
      <w:r>
        <w:rPr>
          <w:rFonts w:cstheme="minorHAnsi"/>
          <w:i/>
          <w:iCs/>
          <w:color w:val="000000"/>
          <w:sz w:val="16"/>
          <w:szCs w:val="16"/>
        </w:rPr>
        <w:t>’</w:t>
      </w:r>
      <w:r w:rsidRPr="00010212">
        <w:rPr>
          <w:rFonts w:cstheme="minorHAnsi"/>
          <w:sz w:val="16"/>
          <w:szCs w:val="16"/>
        </w:rPr>
        <w:t xml:space="preserve"> </w:t>
      </w:r>
      <w:hyperlink r:id="rId15" w:history="1">
        <w:r w:rsidRPr="00010212">
          <w:rPr>
            <w:rStyle w:val="Hyperlink"/>
            <w:rFonts w:cstheme="minorHAnsi"/>
            <w:sz w:val="16"/>
            <w:szCs w:val="16"/>
          </w:rPr>
          <w:t>https://www.abc.net.au/news/2022-08-18/scott-morrison-secret-ministerial-roles-lack-trust-extraordinary/101343202</w:t>
        </w:r>
      </w:hyperlink>
    </w:p>
    <w:p w14:paraId="088CCCFB" w14:textId="77777777" w:rsidR="003250E1" w:rsidRDefault="003250E1" w:rsidP="003250E1">
      <w:pPr>
        <w:pStyle w:val="FootnoteText"/>
        <w:rPr>
          <w:rFonts w:cstheme="minorHAnsi"/>
          <w:color w:val="000000"/>
          <w:sz w:val="16"/>
          <w:szCs w:val="16"/>
        </w:rPr>
      </w:pPr>
      <w:r w:rsidRPr="00EC4BDF">
        <w:rPr>
          <w:rFonts w:cstheme="minorHAnsi"/>
          <w:color w:val="000000"/>
          <w:sz w:val="16"/>
          <w:szCs w:val="16"/>
        </w:rPr>
        <w:t xml:space="preserve">In Mr Morrison’s response to the censure motion of late November, he put it: </w:t>
      </w:r>
      <w:r>
        <w:rPr>
          <w:rFonts w:cstheme="minorHAnsi"/>
          <w:color w:val="000000"/>
          <w:sz w:val="16"/>
          <w:szCs w:val="16"/>
        </w:rPr>
        <w:t>‘</w:t>
      </w:r>
      <w:r w:rsidRPr="00EC4BDF">
        <w:rPr>
          <w:i/>
          <w:iCs/>
          <w:sz w:val="16"/>
          <w:szCs w:val="16"/>
        </w:rPr>
        <w:t xml:space="preserve">significant powers </w:t>
      </w:r>
      <w:proofErr w:type="gramStart"/>
      <w:r w:rsidRPr="00EC4BDF">
        <w:rPr>
          <w:i/>
          <w:iCs/>
          <w:sz w:val="16"/>
          <w:szCs w:val="16"/>
        </w:rPr>
        <w:t>were activated</w:t>
      </w:r>
      <w:proofErr w:type="gramEnd"/>
      <w:r w:rsidRPr="00EC4BDF">
        <w:rPr>
          <w:i/>
          <w:iCs/>
          <w:sz w:val="16"/>
          <w:szCs w:val="16"/>
        </w:rPr>
        <w:t xml:space="preserve"> by the government, including under the Biosecurity Act and in financial delegations to the Minister for Finance, that were beyond the oversight of cabinet. I elected to put in place a redundancy to those powers and an oversight on those powers in the departments of Health and Finance. I do not resile from these decisions and believe them entirely necessary, mirroring many arrangements similarly being implemented in the private sector at the time</w:t>
      </w:r>
      <w:r>
        <w:rPr>
          <w:i/>
          <w:iCs/>
          <w:sz w:val="16"/>
          <w:szCs w:val="16"/>
        </w:rPr>
        <w:t>’</w:t>
      </w:r>
      <w:r w:rsidRPr="00EC4BDF">
        <w:rPr>
          <w:rFonts w:cstheme="minorHAnsi"/>
          <w:color w:val="000000"/>
          <w:sz w:val="16"/>
          <w:szCs w:val="16"/>
        </w:rPr>
        <w:t xml:space="preserve">: see note </w:t>
      </w:r>
      <w:proofErr w:type="gramStart"/>
      <w:r>
        <w:rPr>
          <w:rFonts w:cstheme="minorHAnsi"/>
          <w:color w:val="000000"/>
          <w:sz w:val="16"/>
          <w:szCs w:val="16"/>
        </w:rPr>
        <w:t>8</w:t>
      </w:r>
      <w:proofErr w:type="gramEnd"/>
      <w:r w:rsidRPr="00EC4BDF">
        <w:rPr>
          <w:rFonts w:cstheme="minorHAnsi"/>
          <w:color w:val="000000"/>
          <w:sz w:val="16"/>
          <w:szCs w:val="16"/>
        </w:rPr>
        <w:t>.</w:t>
      </w:r>
    </w:p>
    <w:p w14:paraId="1CA06D05" w14:textId="77777777" w:rsidR="003250E1" w:rsidRPr="00BE27A8" w:rsidRDefault="003250E1" w:rsidP="003250E1">
      <w:pPr>
        <w:pStyle w:val="FootnoteText"/>
        <w:rPr>
          <w:sz w:val="16"/>
          <w:szCs w:val="16"/>
        </w:rPr>
      </w:pPr>
    </w:p>
  </w:footnote>
  <w:footnote w:id="25">
    <w:p w14:paraId="6D940C94" w14:textId="56667992" w:rsidR="00BF1335" w:rsidRDefault="00BF1335">
      <w:pPr>
        <w:pStyle w:val="FootnoteText"/>
        <w:rPr>
          <w:sz w:val="16"/>
          <w:szCs w:val="16"/>
        </w:rPr>
      </w:pPr>
      <w:r w:rsidRPr="00BE27A8">
        <w:rPr>
          <w:rStyle w:val="FootnoteReference"/>
          <w:sz w:val="16"/>
          <w:szCs w:val="16"/>
        </w:rPr>
        <w:footnoteRef/>
      </w:r>
      <w:r w:rsidRPr="00BE27A8">
        <w:rPr>
          <w:sz w:val="16"/>
          <w:szCs w:val="16"/>
        </w:rPr>
        <w:t xml:space="preserve"> The </w:t>
      </w:r>
      <w:r w:rsidR="00BE27A8">
        <w:rPr>
          <w:sz w:val="16"/>
          <w:szCs w:val="16"/>
        </w:rPr>
        <w:t xml:space="preserve">objects of the </w:t>
      </w:r>
      <w:r w:rsidRPr="00BE27A8">
        <w:rPr>
          <w:sz w:val="16"/>
          <w:szCs w:val="16"/>
        </w:rPr>
        <w:t>Biosecurity Act</w:t>
      </w:r>
      <w:r w:rsidR="00BE27A8">
        <w:rPr>
          <w:sz w:val="16"/>
          <w:szCs w:val="16"/>
        </w:rPr>
        <w:t xml:space="preserve"> (2015)</w:t>
      </w:r>
      <w:r w:rsidRPr="00BE27A8">
        <w:rPr>
          <w:sz w:val="16"/>
          <w:szCs w:val="16"/>
        </w:rPr>
        <w:t xml:space="preserve"> are management of biosecurity risks and emergencies and giving effect to Australia’s international obligations including under international health regulations</w:t>
      </w:r>
      <w:r w:rsidR="00BE27A8">
        <w:rPr>
          <w:sz w:val="16"/>
          <w:szCs w:val="16"/>
        </w:rPr>
        <w:t xml:space="preserve"> – s.4</w:t>
      </w:r>
      <w:r w:rsidRPr="00BE27A8">
        <w:rPr>
          <w:sz w:val="16"/>
          <w:szCs w:val="16"/>
        </w:rPr>
        <w:t xml:space="preserve">.  </w:t>
      </w:r>
      <w:r w:rsidR="002160C9" w:rsidRPr="00BE27A8">
        <w:rPr>
          <w:sz w:val="16"/>
          <w:szCs w:val="16"/>
        </w:rPr>
        <w:t xml:space="preserve">After declaration of an emergency by the Governor General, </w:t>
      </w:r>
      <w:proofErr w:type="gramStart"/>
      <w:r w:rsidR="002160C9" w:rsidRPr="00BE27A8">
        <w:rPr>
          <w:sz w:val="16"/>
          <w:szCs w:val="16"/>
        </w:rPr>
        <w:t>relevant powers can only be exercised by the Health Minister</w:t>
      </w:r>
      <w:proofErr w:type="gramEnd"/>
      <w:r w:rsidR="002160C9" w:rsidRPr="00BE27A8">
        <w:rPr>
          <w:sz w:val="16"/>
          <w:szCs w:val="16"/>
        </w:rPr>
        <w:t xml:space="preserve"> personally </w:t>
      </w:r>
      <w:r w:rsidR="00BE27A8">
        <w:rPr>
          <w:sz w:val="16"/>
          <w:szCs w:val="16"/>
        </w:rPr>
        <w:t xml:space="preserve">- </w:t>
      </w:r>
      <w:r w:rsidR="002160C9" w:rsidRPr="00BE27A8">
        <w:rPr>
          <w:sz w:val="16"/>
          <w:szCs w:val="16"/>
        </w:rPr>
        <w:t>s.274.  The power</w:t>
      </w:r>
      <w:r w:rsidR="00BE27A8">
        <w:rPr>
          <w:sz w:val="16"/>
          <w:szCs w:val="16"/>
        </w:rPr>
        <w:t>s</w:t>
      </w:r>
      <w:r w:rsidR="002160C9" w:rsidRPr="00BE27A8">
        <w:rPr>
          <w:sz w:val="16"/>
          <w:szCs w:val="16"/>
        </w:rPr>
        <w:t xml:space="preserve"> </w:t>
      </w:r>
      <w:r w:rsidR="00BE27A8">
        <w:rPr>
          <w:sz w:val="16"/>
          <w:szCs w:val="16"/>
        </w:rPr>
        <w:t xml:space="preserve">enable </w:t>
      </w:r>
      <w:r w:rsidR="002160C9" w:rsidRPr="00BE27A8">
        <w:rPr>
          <w:sz w:val="16"/>
          <w:szCs w:val="16"/>
        </w:rPr>
        <w:t xml:space="preserve">the Minister </w:t>
      </w:r>
      <w:r w:rsidR="00BE27A8">
        <w:rPr>
          <w:sz w:val="16"/>
          <w:szCs w:val="16"/>
        </w:rPr>
        <w:t xml:space="preserve">to do anything they </w:t>
      </w:r>
      <w:r w:rsidR="002160C9" w:rsidRPr="00BE27A8">
        <w:rPr>
          <w:sz w:val="16"/>
          <w:szCs w:val="16"/>
        </w:rPr>
        <w:t xml:space="preserve">think needed to prevent or control human disease subject to being effective, </w:t>
      </w:r>
      <w:proofErr w:type="gramStart"/>
      <w:r w:rsidR="002160C9" w:rsidRPr="00BE27A8">
        <w:rPr>
          <w:sz w:val="16"/>
          <w:szCs w:val="16"/>
        </w:rPr>
        <w:t>appropriate</w:t>
      </w:r>
      <w:proofErr w:type="gramEnd"/>
      <w:r w:rsidR="002160C9" w:rsidRPr="00BE27A8">
        <w:rPr>
          <w:sz w:val="16"/>
          <w:szCs w:val="16"/>
        </w:rPr>
        <w:t xml:space="preserve"> and no more restrictive or intrusive than required </w:t>
      </w:r>
      <w:r w:rsidR="00BE27A8">
        <w:rPr>
          <w:sz w:val="16"/>
          <w:szCs w:val="16"/>
        </w:rPr>
        <w:t xml:space="preserve">– </w:t>
      </w:r>
      <w:r w:rsidR="002160C9" w:rsidRPr="00BE27A8">
        <w:rPr>
          <w:sz w:val="16"/>
          <w:szCs w:val="16"/>
        </w:rPr>
        <w:t>s</w:t>
      </w:r>
      <w:r w:rsidR="00BE27A8">
        <w:rPr>
          <w:sz w:val="16"/>
          <w:szCs w:val="16"/>
        </w:rPr>
        <w:t xml:space="preserve">. </w:t>
      </w:r>
      <w:r w:rsidR="002160C9" w:rsidRPr="00BE27A8">
        <w:rPr>
          <w:sz w:val="16"/>
          <w:szCs w:val="16"/>
        </w:rPr>
        <w:t>477</w:t>
      </w:r>
      <w:r w:rsidR="00BE27A8">
        <w:rPr>
          <w:sz w:val="16"/>
          <w:szCs w:val="16"/>
        </w:rPr>
        <w:t>.  Neither the declaration nor powers are</w:t>
      </w:r>
      <w:r w:rsidR="00BE27A8" w:rsidRPr="00BE27A8">
        <w:rPr>
          <w:sz w:val="16"/>
          <w:szCs w:val="16"/>
        </w:rPr>
        <w:t xml:space="preserve"> subject to disallowance by Parliament</w:t>
      </w:r>
      <w:r w:rsidR="00FC37C4">
        <w:rPr>
          <w:sz w:val="16"/>
          <w:szCs w:val="16"/>
        </w:rPr>
        <w:t>, yet they are legislative instruments and must be published on a register</w:t>
      </w:r>
      <w:r w:rsidR="00EA0695">
        <w:rPr>
          <w:sz w:val="16"/>
          <w:szCs w:val="16"/>
        </w:rPr>
        <w:t xml:space="preserve"> – s.475(2), 477(2)</w:t>
      </w:r>
      <w:proofErr w:type="gramStart"/>
      <w:r w:rsidR="002160C9" w:rsidRPr="00BE27A8">
        <w:rPr>
          <w:sz w:val="16"/>
          <w:szCs w:val="16"/>
        </w:rPr>
        <w:t xml:space="preserve">.  </w:t>
      </w:r>
      <w:proofErr w:type="gramEnd"/>
      <w:r w:rsidR="00BE27A8">
        <w:rPr>
          <w:sz w:val="16"/>
          <w:szCs w:val="16"/>
        </w:rPr>
        <w:fldChar w:fldCharType="begin"/>
      </w:r>
      <w:r w:rsidR="00BE27A8">
        <w:rPr>
          <w:sz w:val="16"/>
          <w:szCs w:val="16"/>
        </w:rPr>
        <w:instrText xml:space="preserve"> HYPERLINK "</w:instrText>
      </w:r>
      <w:r w:rsidR="00BE27A8" w:rsidRPr="00BE27A8">
        <w:rPr>
          <w:sz w:val="16"/>
          <w:szCs w:val="16"/>
        </w:rPr>
        <w:instrText>https://www.legislation.gov.au/Details/C2020C00127</w:instrText>
      </w:r>
      <w:r w:rsidR="00BE27A8">
        <w:rPr>
          <w:sz w:val="16"/>
          <w:szCs w:val="16"/>
        </w:rPr>
        <w:instrText xml:space="preserve">" </w:instrText>
      </w:r>
      <w:r w:rsidR="00BE27A8">
        <w:rPr>
          <w:sz w:val="16"/>
          <w:szCs w:val="16"/>
        </w:rPr>
        <w:fldChar w:fldCharType="separate"/>
      </w:r>
      <w:r w:rsidR="00BE27A8" w:rsidRPr="00D44723">
        <w:rPr>
          <w:rStyle w:val="Hyperlink"/>
          <w:sz w:val="16"/>
          <w:szCs w:val="16"/>
        </w:rPr>
        <w:t>https://www.legislation.gov.au/Details/C2020C00127</w:t>
      </w:r>
      <w:r w:rsidR="00BE27A8">
        <w:rPr>
          <w:sz w:val="16"/>
          <w:szCs w:val="16"/>
        </w:rPr>
        <w:fldChar w:fldCharType="end"/>
      </w:r>
      <w:r w:rsidR="00FC37C4">
        <w:rPr>
          <w:sz w:val="16"/>
          <w:szCs w:val="16"/>
        </w:rPr>
        <w:t xml:space="preserve">, </w:t>
      </w:r>
      <w:hyperlink r:id="rId16" w:history="1">
        <w:r w:rsidR="00FC37C4" w:rsidRPr="00D44723">
          <w:rPr>
            <w:rStyle w:val="Hyperlink"/>
            <w:sz w:val="16"/>
            <w:szCs w:val="16"/>
          </w:rPr>
          <w:t>https://www.legislation.gov.au/Details/C2020C00127</w:t>
        </w:r>
      </w:hyperlink>
      <w:proofErr w:type="gramStart"/>
      <w:r w:rsidR="00FC37C4">
        <w:rPr>
          <w:sz w:val="16"/>
          <w:szCs w:val="16"/>
        </w:rPr>
        <w:t>.</w:t>
      </w:r>
      <w:r w:rsidR="00EA0695">
        <w:rPr>
          <w:sz w:val="16"/>
          <w:szCs w:val="16"/>
        </w:rPr>
        <w:t xml:space="preserve">  </w:t>
      </w:r>
      <w:proofErr w:type="gramEnd"/>
    </w:p>
    <w:p w14:paraId="1CCAF598" w14:textId="77777777" w:rsidR="00BE27A8" w:rsidRPr="003F69A7" w:rsidRDefault="00BE27A8">
      <w:pPr>
        <w:pStyle w:val="FootnoteText"/>
        <w:rPr>
          <w:sz w:val="16"/>
          <w:szCs w:val="16"/>
        </w:rPr>
      </w:pPr>
    </w:p>
  </w:footnote>
  <w:footnote w:id="26">
    <w:p w14:paraId="74C20B28" w14:textId="2D82F5FA" w:rsidR="00BA7901" w:rsidRPr="003F69A7" w:rsidRDefault="0035446F">
      <w:pPr>
        <w:pStyle w:val="FootnoteText"/>
        <w:rPr>
          <w:sz w:val="16"/>
          <w:szCs w:val="16"/>
        </w:rPr>
      </w:pPr>
      <w:r w:rsidRPr="003F69A7">
        <w:rPr>
          <w:rStyle w:val="FootnoteReference"/>
          <w:sz w:val="16"/>
          <w:szCs w:val="16"/>
        </w:rPr>
        <w:footnoteRef/>
      </w:r>
      <w:r w:rsidRPr="003F69A7">
        <w:rPr>
          <w:sz w:val="16"/>
          <w:szCs w:val="16"/>
        </w:rPr>
        <w:t xml:space="preserve"> </w:t>
      </w:r>
      <w:hyperlink r:id="rId17" w:history="1">
        <w:r w:rsidR="00BA7901" w:rsidRPr="003F69A7">
          <w:rPr>
            <w:rStyle w:val="Hyperlink"/>
            <w:sz w:val="16"/>
            <w:szCs w:val="16"/>
          </w:rPr>
          <w:t>https://www.thejadebeagle.com/emergency-achieved.html</w:t>
        </w:r>
      </w:hyperlink>
    </w:p>
  </w:footnote>
  <w:footnote w:id="27">
    <w:p w14:paraId="17F61C18" w14:textId="77777777" w:rsidR="003961B0" w:rsidRDefault="007F4051">
      <w:pPr>
        <w:pStyle w:val="FootnoteText"/>
        <w:rPr>
          <w:sz w:val="16"/>
          <w:szCs w:val="16"/>
        </w:rPr>
      </w:pPr>
      <w:r w:rsidRPr="0051219D">
        <w:rPr>
          <w:rStyle w:val="FootnoteReference"/>
          <w:sz w:val="16"/>
          <w:szCs w:val="16"/>
        </w:rPr>
        <w:footnoteRef/>
      </w:r>
      <w:r w:rsidRPr="0051219D">
        <w:rPr>
          <w:sz w:val="16"/>
          <w:szCs w:val="16"/>
        </w:rPr>
        <w:t xml:space="preserve"> </w:t>
      </w:r>
      <w:r w:rsidR="00912B81" w:rsidRPr="0051219D">
        <w:rPr>
          <w:sz w:val="16"/>
          <w:szCs w:val="16"/>
        </w:rPr>
        <w:t xml:space="preserve">Royal Commission into the Home Insulation Program 2013-14 (6 months) </w:t>
      </w:r>
      <w:hyperlink r:id="rId18" w:history="1">
        <w:r w:rsidR="00912B81" w:rsidRPr="0051219D">
          <w:rPr>
            <w:rStyle w:val="Hyperlink"/>
            <w:sz w:val="16"/>
            <w:szCs w:val="16"/>
          </w:rPr>
          <w:t>https://apo.org.au/node/41087</w:t>
        </w:r>
      </w:hyperlink>
      <w:r w:rsidR="00912B81" w:rsidRPr="0051219D">
        <w:rPr>
          <w:sz w:val="16"/>
          <w:szCs w:val="16"/>
        </w:rPr>
        <w:t xml:space="preserve">; Royal Commission into Trade </w:t>
      </w:r>
    </w:p>
    <w:p w14:paraId="52E3B409" w14:textId="626A4E84" w:rsidR="003F69A7" w:rsidRDefault="00912B81">
      <w:pPr>
        <w:pStyle w:val="FootnoteText"/>
        <w:rPr>
          <w:sz w:val="16"/>
          <w:szCs w:val="16"/>
        </w:rPr>
      </w:pPr>
      <w:r w:rsidRPr="0051219D">
        <w:rPr>
          <w:sz w:val="16"/>
          <w:szCs w:val="16"/>
        </w:rPr>
        <w:t xml:space="preserve">Union Governance and Corruption 2014-15 (21 months) </w:t>
      </w:r>
      <w:hyperlink r:id="rId19" w:history="1">
        <w:r w:rsidRPr="0051219D">
          <w:rPr>
            <w:rStyle w:val="Hyperlink"/>
            <w:sz w:val="16"/>
            <w:szCs w:val="16"/>
          </w:rPr>
          <w:t>https://www.royalcommission.gov.au/trade-union</w:t>
        </w:r>
      </w:hyperlink>
    </w:p>
    <w:p w14:paraId="23530030" w14:textId="77777777" w:rsidR="003B61E1" w:rsidRPr="0051219D" w:rsidRDefault="003B61E1">
      <w:pPr>
        <w:pStyle w:val="FootnoteText"/>
        <w:rPr>
          <w:sz w:val="16"/>
          <w:szCs w:val="16"/>
        </w:rPr>
      </w:pPr>
    </w:p>
  </w:footnote>
  <w:footnote w:id="28">
    <w:p w14:paraId="2775BD81" w14:textId="7C335E21" w:rsidR="00665520" w:rsidRPr="00EA112B" w:rsidRDefault="00665520">
      <w:pPr>
        <w:pStyle w:val="FootnoteText"/>
        <w:rPr>
          <w:sz w:val="16"/>
          <w:szCs w:val="16"/>
        </w:rPr>
      </w:pPr>
      <w:r w:rsidRPr="00EA112B">
        <w:rPr>
          <w:rStyle w:val="FootnoteReference"/>
          <w:sz w:val="16"/>
          <w:szCs w:val="16"/>
        </w:rPr>
        <w:footnoteRef/>
      </w:r>
      <w:r w:rsidRPr="00EA112B">
        <w:rPr>
          <w:sz w:val="16"/>
          <w:szCs w:val="16"/>
        </w:rPr>
        <w:t xml:space="preserve"> </w:t>
      </w:r>
      <w:r w:rsidRPr="00EA112B">
        <w:rPr>
          <w:sz w:val="16"/>
          <w:szCs w:val="16"/>
        </w:rPr>
        <w:t xml:space="preserve">Started without explanation:  </w:t>
      </w:r>
      <w:hyperlink r:id="rId20" w:history="1">
        <w:r w:rsidR="00FC1907" w:rsidRPr="00C20510">
          <w:rPr>
            <w:rStyle w:val="Hyperlink"/>
            <w:sz w:val="16"/>
            <w:szCs w:val="16"/>
          </w:rPr>
          <w:t>https://parlinfo.aph.gov.au/parlInfo/search/display</w:t>
        </w:r>
        <w:r w:rsidR="00FC1907" w:rsidRPr="00C20510">
          <w:rPr>
            <w:rStyle w:val="Hyperlink"/>
          </w:rPr>
          <w:t xml:space="preserve"> </w:t>
        </w:r>
        <w:r w:rsidR="00FC1907" w:rsidRPr="00C20510">
          <w:rPr>
            <w:rStyle w:val="Hyperlink"/>
            <w:sz w:val="16"/>
            <w:szCs w:val="16"/>
          </w:rPr>
          <w:t>20fordisplay.w3p;query=Id%3A%22chamber%2Fhansards%2Ffe616c1c-5dd1-448f-888c-8165d8ccf7de%2F0171%22</w:t>
        </w:r>
      </w:hyperlink>
      <w:r w:rsidRPr="00EA112B">
        <w:rPr>
          <w:sz w:val="16"/>
          <w:szCs w:val="16"/>
        </w:rPr>
        <w:t xml:space="preserve">; </w:t>
      </w:r>
      <w:hyperlink r:id="rId21" w:history="1">
        <w:r w:rsidRPr="00EA112B">
          <w:rPr>
            <w:rStyle w:val="Hyperlink"/>
            <w:sz w:val="16"/>
            <w:szCs w:val="16"/>
          </w:rPr>
          <w:t>https://parlinfo.aph.gov.au/parlInfo/search/display/display.w3p;query=Id%3A%22chamber%2Fhansardr%2F07c1718f-8e51-4958-9cc9-f8492bfb5c93%2F0019%22</w:t>
        </w:r>
      </w:hyperlink>
    </w:p>
    <w:p w14:paraId="584BB346" w14:textId="77777777" w:rsidR="00665520" w:rsidRPr="00252FA4" w:rsidRDefault="00665520">
      <w:pPr>
        <w:pStyle w:val="FootnoteText"/>
        <w:rPr>
          <w:sz w:val="16"/>
          <w:szCs w:val="16"/>
        </w:rPr>
      </w:pPr>
    </w:p>
  </w:footnote>
  <w:footnote w:id="29">
    <w:p w14:paraId="032F7F26" w14:textId="1F554E17" w:rsidR="00252FA4" w:rsidRDefault="00252FA4">
      <w:pPr>
        <w:pStyle w:val="FootnoteText"/>
        <w:rPr>
          <w:sz w:val="16"/>
          <w:szCs w:val="16"/>
        </w:rPr>
      </w:pPr>
      <w:r w:rsidRPr="00252FA4">
        <w:rPr>
          <w:rStyle w:val="FootnoteReference"/>
          <w:sz w:val="16"/>
          <w:szCs w:val="16"/>
        </w:rPr>
        <w:footnoteRef/>
      </w:r>
      <w:r w:rsidRPr="00252FA4">
        <w:rPr>
          <w:sz w:val="16"/>
          <w:szCs w:val="16"/>
        </w:rPr>
        <w:t xml:space="preserve"> </w:t>
      </w:r>
      <w:r w:rsidRPr="003B61E1">
        <w:rPr>
          <w:sz w:val="16"/>
          <w:szCs w:val="16"/>
        </w:rPr>
        <w:t>Bio</w:t>
      </w:r>
      <w:r w:rsidRPr="00EA112B">
        <w:rPr>
          <w:sz w:val="16"/>
          <w:szCs w:val="16"/>
        </w:rPr>
        <w:t>security Amendment (Strengthening Biosecurity) Bill 2022</w:t>
      </w:r>
      <w:r>
        <w:rPr>
          <w:sz w:val="16"/>
          <w:szCs w:val="16"/>
        </w:rPr>
        <w:t xml:space="preserve">: </w:t>
      </w:r>
      <w:r w:rsidRPr="00EA112B">
        <w:rPr>
          <w:i/>
          <w:iCs/>
          <w:sz w:val="16"/>
          <w:szCs w:val="16"/>
        </w:rPr>
        <w:t>‘to: enable the minister to determine certain biosecurity measures and requirements for individuals or classes of individuals who are entering Australian territory for the purposes of preventing a disease or pest that is considered to pose an unacceptable biosecurity threat, and establish civil penalty provisions</w:t>
      </w:r>
      <w:r>
        <w:rPr>
          <w:i/>
          <w:iCs/>
          <w:sz w:val="16"/>
          <w:szCs w:val="16"/>
        </w:rPr>
        <w:t>…’</w:t>
      </w:r>
      <w:r w:rsidRPr="00EA112B">
        <w:rPr>
          <w:sz w:val="16"/>
          <w:szCs w:val="16"/>
        </w:rPr>
        <w:t xml:space="preserve"> </w:t>
      </w:r>
      <w:hyperlink r:id="rId22" w:history="1">
        <w:r w:rsidRPr="00EA112B">
          <w:rPr>
            <w:rStyle w:val="Hyperlink"/>
            <w:sz w:val="16"/>
            <w:szCs w:val="16"/>
          </w:rPr>
          <w:t>https://parlwork.aph.gov.au/bills/s1350#:~:text=to%3A%20enable%20the%20minister%20to,establish%20civil%20penalty%20provisions%20for</w:t>
        </w:r>
      </w:hyperlink>
      <w:r>
        <w:rPr>
          <w:sz w:val="16"/>
          <w:szCs w:val="16"/>
        </w:rPr>
        <w:t xml:space="preserve">  </w:t>
      </w:r>
      <w:r w:rsidRPr="00EA112B">
        <w:rPr>
          <w:i/>
          <w:iCs/>
          <w:sz w:val="16"/>
          <w:szCs w:val="16"/>
        </w:rPr>
        <w:t>‘Important lessons from the pandemic’</w:t>
      </w:r>
      <w:r>
        <w:rPr>
          <w:i/>
          <w:iCs/>
          <w:sz w:val="16"/>
          <w:szCs w:val="16"/>
        </w:rPr>
        <w:t xml:space="preserve">: </w:t>
      </w:r>
      <w:hyperlink r:id="rId23" w:history="1">
        <w:r w:rsidRPr="00C20510">
          <w:rPr>
            <w:rStyle w:val="Hyperlink"/>
            <w:sz w:val="16"/>
            <w:szCs w:val="16"/>
          </w:rPr>
          <w:t>https://parlinfo.aph.gov.au/parlInfo/search/display/display.w3p;query=Id%3A%22chamber%2Fhansards%2F26174%2F0176%22</w:t>
        </w:r>
      </w:hyperlink>
    </w:p>
    <w:p w14:paraId="26A180C7" w14:textId="77777777" w:rsidR="006647BB" w:rsidRDefault="006647BB">
      <w:pPr>
        <w:pStyle w:val="FootnoteText"/>
      </w:pPr>
    </w:p>
  </w:footnote>
  <w:footnote w:id="30">
    <w:p w14:paraId="4E40EC39" w14:textId="787360DF" w:rsidR="00FB4FFC" w:rsidRPr="00FB4FFC" w:rsidRDefault="00FB4FFC" w:rsidP="00FB4FFC">
      <w:pPr>
        <w:pStyle w:val="FootnoteText"/>
        <w:rPr>
          <w:sz w:val="16"/>
          <w:szCs w:val="16"/>
        </w:rPr>
      </w:pPr>
      <w:r w:rsidRPr="00FB4FFC">
        <w:rPr>
          <w:rStyle w:val="FootnoteReference"/>
          <w:sz w:val="16"/>
          <w:szCs w:val="16"/>
        </w:rPr>
        <w:footnoteRef/>
      </w:r>
      <w:r w:rsidRPr="00FB4FFC">
        <w:rPr>
          <w:sz w:val="16"/>
          <w:szCs w:val="16"/>
        </w:rPr>
        <w:t xml:space="preserve"> </w:t>
      </w:r>
      <w:r w:rsidRPr="00FB4FFC">
        <w:rPr>
          <w:sz w:val="16"/>
          <w:szCs w:val="16"/>
        </w:rPr>
        <w:t>Four months: the Bill was tabled end September 2022</w:t>
      </w:r>
      <w:proofErr w:type="gramStart"/>
      <w:r w:rsidRPr="00FB4FFC">
        <w:rPr>
          <w:sz w:val="16"/>
          <w:szCs w:val="16"/>
        </w:rPr>
        <w:t>.</w:t>
      </w:r>
      <w:r w:rsidRPr="00FB4FFC">
        <w:rPr>
          <w:sz w:val="16"/>
          <w:szCs w:val="16"/>
        </w:rPr>
        <w:t xml:space="preserve">  </w:t>
      </w:r>
      <w:proofErr w:type="gramEnd"/>
      <w:r w:rsidRPr="00FB4FFC">
        <w:rPr>
          <w:sz w:val="16"/>
          <w:szCs w:val="16"/>
        </w:rPr>
        <w:t>Challenging parts of the pandemic: from around March 2020 to February 2022</w:t>
      </w:r>
      <w:proofErr w:type="gramStart"/>
      <w:r w:rsidRPr="00FB4FFC">
        <w:rPr>
          <w:sz w:val="16"/>
          <w:szCs w:val="16"/>
        </w:rPr>
        <w:t xml:space="preserve">.  </w:t>
      </w:r>
      <w:proofErr w:type="gramEnd"/>
      <w:r w:rsidRPr="00FB4FFC">
        <w:rPr>
          <w:sz w:val="16"/>
          <w:szCs w:val="16"/>
        </w:rPr>
        <w:t>Excluded: the then Opposition was excluded from participation in the key national forum for discussions about responses – ‘National Cabinet</w:t>
      </w:r>
      <w:proofErr w:type="gramStart"/>
      <w:r w:rsidRPr="00FB4FFC">
        <w:rPr>
          <w:sz w:val="16"/>
          <w:szCs w:val="16"/>
        </w:rPr>
        <w:t>’.</w:t>
      </w:r>
      <w:proofErr w:type="gramEnd"/>
      <w:r w:rsidRPr="00FB4FFC">
        <w:rPr>
          <w:sz w:val="16"/>
          <w:szCs w:val="16"/>
        </w:rPr>
        <w:t xml:space="preserve">    Promised inquiry: </w:t>
      </w:r>
      <w:hyperlink r:id="rId24" w:history="1">
        <w:r w:rsidRPr="00FB4FFC">
          <w:rPr>
            <w:rStyle w:val="Hyperlink"/>
            <w:sz w:val="16"/>
            <w:szCs w:val="16"/>
          </w:rPr>
          <w:t>https://www.thejadebeagle.com/tip-fire-a.html</w:t>
        </w:r>
      </w:hyperlink>
    </w:p>
    <w:p w14:paraId="260F0A6D" w14:textId="2BB32066" w:rsidR="00FB4FFC" w:rsidRPr="00FB4FFC" w:rsidRDefault="00FB4FFC">
      <w:pPr>
        <w:pStyle w:val="FootnoteText"/>
        <w:rPr>
          <w:sz w:val="16"/>
          <w:szCs w:val="16"/>
        </w:rPr>
      </w:pPr>
      <w:r w:rsidRPr="00FB4FFC">
        <w:rPr>
          <w:sz w:val="16"/>
          <w:szCs w:val="16"/>
        </w:rPr>
        <w:t xml:space="preserve"> </w:t>
      </w:r>
    </w:p>
  </w:footnote>
  <w:footnote w:id="31">
    <w:p w14:paraId="76C25D89" w14:textId="4E480DFB" w:rsidR="00460A38" w:rsidRPr="00FB4FFC" w:rsidRDefault="00460A38">
      <w:pPr>
        <w:pStyle w:val="FootnoteText"/>
        <w:rPr>
          <w:sz w:val="16"/>
          <w:szCs w:val="16"/>
        </w:rPr>
      </w:pPr>
      <w:r w:rsidRPr="00FB4FFC">
        <w:rPr>
          <w:rStyle w:val="FootnoteReference"/>
          <w:sz w:val="16"/>
          <w:szCs w:val="16"/>
        </w:rPr>
        <w:footnoteRef/>
      </w:r>
      <w:r w:rsidRPr="00FB4FFC">
        <w:rPr>
          <w:sz w:val="16"/>
          <w:szCs w:val="16"/>
        </w:rPr>
        <w:t xml:space="preserve"> </w:t>
      </w:r>
      <w:r w:rsidR="00FC1907" w:rsidRPr="00FB4FFC">
        <w:rPr>
          <w:sz w:val="16"/>
          <w:szCs w:val="16"/>
        </w:rPr>
        <w:t>Dates: Inquiry r</w:t>
      </w:r>
      <w:r w:rsidRPr="00FB4FFC">
        <w:rPr>
          <w:sz w:val="16"/>
          <w:szCs w:val="16"/>
        </w:rPr>
        <w:t>eport published 25 November</w:t>
      </w:r>
      <w:proofErr w:type="gramStart"/>
      <w:r w:rsidRPr="00FB4FFC">
        <w:rPr>
          <w:sz w:val="16"/>
          <w:szCs w:val="16"/>
        </w:rPr>
        <w:t xml:space="preserve">.  </w:t>
      </w:r>
      <w:proofErr w:type="gramEnd"/>
      <w:r w:rsidR="00FC1907" w:rsidRPr="00FB4FFC">
        <w:rPr>
          <w:sz w:val="16"/>
          <w:szCs w:val="16"/>
        </w:rPr>
        <w:t>Biosecurity Bill amendment d</w:t>
      </w:r>
      <w:r w:rsidRPr="00FB4FFC">
        <w:rPr>
          <w:sz w:val="16"/>
          <w:szCs w:val="16"/>
        </w:rPr>
        <w:t>ebates</w:t>
      </w:r>
      <w:r w:rsidR="00A04090" w:rsidRPr="00FB4FFC">
        <w:rPr>
          <w:sz w:val="16"/>
          <w:szCs w:val="16"/>
        </w:rPr>
        <w:t>:</w:t>
      </w:r>
      <w:r w:rsidRPr="00FB4FFC">
        <w:rPr>
          <w:sz w:val="16"/>
          <w:szCs w:val="16"/>
        </w:rPr>
        <w:t xml:space="preserve"> Senate 25 November, House </w:t>
      </w:r>
      <w:r w:rsidR="00A04090" w:rsidRPr="00FB4FFC">
        <w:rPr>
          <w:sz w:val="16"/>
          <w:szCs w:val="16"/>
        </w:rPr>
        <w:t xml:space="preserve">of Representatives </w:t>
      </w:r>
      <w:r w:rsidRPr="00FB4FFC">
        <w:rPr>
          <w:sz w:val="16"/>
          <w:szCs w:val="16"/>
        </w:rPr>
        <w:t>29 November</w:t>
      </w:r>
      <w:proofErr w:type="gramStart"/>
      <w:r w:rsidRPr="00FB4FFC">
        <w:rPr>
          <w:sz w:val="16"/>
          <w:szCs w:val="16"/>
        </w:rPr>
        <w:t xml:space="preserve">.  </w:t>
      </w:r>
      <w:proofErr w:type="gramEnd"/>
      <w:r w:rsidRPr="00FB4FFC">
        <w:rPr>
          <w:sz w:val="16"/>
          <w:szCs w:val="16"/>
        </w:rPr>
        <w:t>Mr Morrison’s response to censure motion 30 November.</w:t>
      </w:r>
    </w:p>
    <w:p w14:paraId="70CCF771" w14:textId="77777777" w:rsidR="00460A38" w:rsidRPr="00FB4FFC" w:rsidRDefault="00460A38">
      <w:pPr>
        <w:pStyle w:val="FootnoteText"/>
        <w:rPr>
          <w:sz w:val="16"/>
          <w:szCs w:val="16"/>
        </w:rPr>
      </w:pPr>
    </w:p>
  </w:footnote>
  <w:footnote w:id="32">
    <w:p w14:paraId="2DBAFAB9" w14:textId="26FF0FD7" w:rsidR="00BF100F" w:rsidRPr="00FB4FFC" w:rsidRDefault="00EA112B">
      <w:pPr>
        <w:pStyle w:val="FootnoteText"/>
        <w:rPr>
          <w:sz w:val="16"/>
          <w:szCs w:val="16"/>
        </w:rPr>
      </w:pPr>
      <w:r w:rsidRPr="00FB4FFC">
        <w:rPr>
          <w:rStyle w:val="FootnoteReference"/>
          <w:sz w:val="16"/>
          <w:szCs w:val="16"/>
        </w:rPr>
        <w:footnoteRef/>
      </w:r>
      <w:r w:rsidRPr="00FB4FFC">
        <w:rPr>
          <w:sz w:val="16"/>
          <w:szCs w:val="16"/>
        </w:rPr>
        <w:t xml:space="preserve"> </w:t>
      </w:r>
      <w:r w:rsidR="00BF100F" w:rsidRPr="00FB4FFC">
        <w:rPr>
          <w:sz w:val="16"/>
          <w:szCs w:val="16"/>
        </w:rPr>
        <w:t>Scathing criticisms: Senate Committee for Scrutiny of Bills, Digest 23 November 2022 at p.</w:t>
      </w:r>
      <w:r w:rsidR="0076257C" w:rsidRPr="00FB4FFC">
        <w:rPr>
          <w:sz w:val="16"/>
          <w:szCs w:val="16"/>
        </w:rPr>
        <w:t xml:space="preserve">48-54 </w:t>
      </w:r>
      <w:hyperlink r:id="rId25" w:history="1">
        <w:r w:rsidR="0076257C" w:rsidRPr="00FB4FFC">
          <w:rPr>
            <w:rStyle w:val="Hyperlink"/>
            <w:sz w:val="16"/>
            <w:szCs w:val="16"/>
          </w:rPr>
          <w:t>file:///C:/Users/jadeb/Downloads/d07_22.pdf</w:t>
        </w:r>
      </w:hyperlink>
      <w:r w:rsidR="0076257C" w:rsidRPr="00FB4FFC">
        <w:rPr>
          <w:sz w:val="16"/>
          <w:szCs w:val="16"/>
        </w:rPr>
        <w:t>;</w:t>
      </w:r>
      <w:r w:rsidR="00BF100F" w:rsidRPr="00FB4FFC">
        <w:rPr>
          <w:sz w:val="16"/>
          <w:szCs w:val="16"/>
        </w:rPr>
        <w:t xml:space="preserve"> </w:t>
      </w:r>
      <w:r w:rsidR="00534700" w:rsidRPr="00FB4FFC">
        <w:rPr>
          <w:sz w:val="16"/>
          <w:szCs w:val="16"/>
        </w:rPr>
        <w:t xml:space="preserve">and e.g. </w:t>
      </w:r>
      <w:r w:rsidR="00BF100F" w:rsidRPr="00FB4FFC">
        <w:rPr>
          <w:sz w:val="16"/>
          <w:szCs w:val="16"/>
        </w:rPr>
        <w:t>Senators Roberts, Pocock, Scarr, Whish Wilson at</w:t>
      </w:r>
      <w:r w:rsidR="00534700" w:rsidRPr="00FB4FFC">
        <w:rPr>
          <w:sz w:val="16"/>
          <w:szCs w:val="16"/>
        </w:rPr>
        <w:t>:</w:t>
      </w:r>
      <w:r w:rsidR="00BF100F" w:rsidRPr="00FB4FFC">
        <w:rPr>
          <w:sz w:val="16"/>
          <w:szCs w:val="16"/>
        </w:rPr>
        <w:t xml:space="preserve"> </w:t>
      </w:r>
      <w:hyperlink r:id="rId26" w:history="1">
        <w:r w:rsidR="00BF100F" w:rsidRPr="00FB4FFC">
          <w:rPr>
            <w:rStyle w:val="Hyperlink"/>
            <w:sz w:val="16"/>
            <w:szCs w:val="16"/>
          </w:rPr>
          <w:t>https://parlwork.aph.gov.au/bills/secondreadings/s1350#%7B%22Page%22%3A3%2C%22Take%22%3A10%2C%22Sort%22%3A0%2C%22Keyword%22%3Anull%2C%22QuestionNumber%22%3Anull%2C%22IsTitleSearch%22%3Atrue%2C%22DateRangeFrom%22%3Anull%2C%22DateRangeTo%22%3Anull%7D</w:t>
        </w:r>
      </w:hyperlink>
      <w:r w:rsidR="005F698E" w:rsidRPr="00FB4FFC">
        <w:rPr>
          <w:sz w:val="16"/>
          <w:szCs w:val="16"/>
        </w:rPr>
        <w:t>.  Senator Roberts did not vote in favour of the Bill.</w:t>
      </w:r>
    </w:p>
    <w:p w14:paraId="2C883EC5" w14:textId="39932420" w:rsidR="00BF100F" w:rsidRPr="00FB4FFC" w:rsidRDefault="00A04090">
      <w:pPr>
        <w:pStyle w:val="FootnoteText"/>
        <w:rPr>
          <w:sz w:val="16"/>
          <w:szCs w:val="16"/>
        </w:rPr>
      </w:pPr>
      <w:r w:rsidRPr="00FB4FFC">
        <w:rPr>
          <w:sz w:val="16"/>
          <w:szCs w:val="16"/>
        </w:rPr>
        <w:t xml:space="preserve">Repeat performance: </w:t>
      </w:r>
      <w:hyperlink r:id="rId27" w:history="1">
        <w:r w:rsidRPr="00FB4FFC">
          <w:rPr>
            <w:rStyle w:val="Hyperlink"/>
            <w:sz w:val="16"/>
            <w:szCs w:val="16"/>
          </w:rPr>
          <w:t>https://www.thejadebeagle.com/emergency-achieved.html</w:t>
        </w:r>
      </w:hyperlink>
    </w:p>
    <w:p w14:paraId="671E671D" w14:textId="77777777" w:rsidR="00A04090" w:rsidRPr="00FB4FFC" w:rsidRDefault="00A04090">
      <w:pPr>
        <w:pStyle w:val="FootnoteText"/>
        <w:rPr>
          <w:sz w:val="16"/>
          <w:szCs w:val="16"/>
        </w:rPr>
      </w:pPr>
    </w:p>
  </w:footnote>
  <w:footnote w:id="33">
    <w:p w14:paraId="5FD37272" w14:textId="77777777" w:rsidR="0076257C" w:rsidRPr="00FB4FFC" w:rsidRDefault="0076257C" w:rsidP="0076257C">
      <w:pPr>
        <w:pStyle w:val="FootnoteText"/>
        <w:rPr>
          <w:sz w:val="16"/>
          <w:szCs w:val="16"/>
        </w:rPr>
      </w:pPr>
      <w:r w:rsidRPr="00FB4FFC">
        <w:rPr>
          <w:rStyle w:val="FootnoteReference"/>
          <w:sz w:val="16"/>
          <w:szCs w:val="16"/>
        </w:rPr>
        <w:footnoteRef/>
      </w:r>
      <w:r w:rsidRPr="00FB4FFC">
        <w:rPr>
          <w:sz w:val="16"/>
          <w:szCs w:val="16"/>
        </w:rPr>
        <w:t xml:space="preserve"> </w:t>
      </w:r>
      <w:hyperlink r:id="rId28" w:history="1">
        <w:r w:rsidRPr="00FB4FFC">
          <w:rPr>
            <w:rStyle w:val="Hyperlink"/>
            <w:sz w:val="16"/>
            <w:szCs w:val="16"/>
          </w:rPr>
          <w:t>https://www.thejadebeagle.com/tipfire-d---infrastructure.html</w:t>
        </w:r>
      </w:hyperlink>
    </w:p>
    <w:p w14:paraId="4DDA6AC9" w14:textId="77777777" w:rsidR="0076257C" w:rsidRPr="00FB4FFC" w:rsidRDefault="0076257C" w:rsidP="0076257C">
      <w:pPr>
        <w:pStyle w:val="FootnoteText"/>
        <w:rPr>
          <w:sz w:val="16"/>
          <w:szCs w:val="16"/>
        </w:rPr>
      </w:pPr>
    </w:p>
  </w:footnote>
  <w:footnote w:id="34">
    <w:p w14:paraId="78A9F90C" w14:textId="77777777" w:rsidR="0076257C" w:rsidRPr="00FB4FFC" w:rsidRDefault="0076257C" w:rsidP="0076257C">
      <w:pPr>
        <w:pStyle w:val="FootnoteText"/>
        <w:rPr>
          <w:sz w:val="16"/>
          <w:szCs w:val="16"/>
        </w:rPr>
      </w:pPr>
      <w:r w:rsidRPr="00FB4FFC">
        <w:rPr>
          <w:rStyle w:val="FootnoteReference"/>
          <w:sz w:val="16"/>
          <w:szCs w:val="16"/>
        </w:rPr>
        <w:footnoteRef/>
      </w:r>
      <w:r w:rsidRPr="00FB4FFC">
        <w:rPr>
          <w:sz w:val="16"/>
          <w:szCs w:val="16"/>
        </w:rPr>
        <w:t xml:space="preserve"> </w:t>
      </w:r>
      <w:hyperlink r:id="rId29" w:history="1">
        <w:r w:rsidRPr="00FB4FFC">
          <w:rPr>
            <w:rStyle w:val="Hyperlink"/>
            <w:sz w:val="16"/>
            <w:szCs w:val="16"/>
          </w:rPr>
          <w:t>https://theconversation.com/two-years-in-even-supporters-despair-of-abbotts-feeble-government-46797</w:t>
        </w:r>
      </w:hyperlink>
    </w:p>
    <w:p w14:paraId="2BC44A1B" w14:textId="77777777" w:rsidR="0076257C" w:rsidRPr="00FB4FFC" w:rsidRDefault="0076257C" w:rsidP="0076257C">
      <w:pPr>
        <w:pStyle w:val="FootnoteText"/>
        <w:rPr>
          <w:sz w:val="16"/>
          <w:szCs w:val="16"/>
        </w:rPr>
      </w:pPr>
    </w:p>
  </w:footnote>
  <w:footnote w:id="35">
    <w:p w14:paraId="06E01179" w14:textId="60B1B915" w:rsidR="0051219D" w:rsidRPr="00FB4FFC" w:rsidRDefault="00912B81" w:rsidP="0051219D">
      <w:pPr>
        <w:pStyle w:val="FootnoteText"/>
        <w:rPr>
          <w:sz w:val="16"/>
          <w:szCs w:val="16"/>
        </w:rPr>
      </w:pPr>
      <w:r w:rsidRPr="00FB4FFC">
        <w:rPr>
          <w:rStyle w:val="FootnoteReference"/>
          <w:sz w:val="16"/>
          <w:szCs w:val="16"/>
        </w:rPr>
        <w:footnoteRef/>
      </w:r>
      <w:r w:rsidRPr="00FB4FFC">
        <w:rPr>
          <w:sz w:val="16"/>
          <w:szCs w:val="16"/>
        </w:rPr>
        <w:t xml:space="preserve"> Polls</w:t>
      </w:r>
      <w:r w:rsidR="0051219D" w:rsidRPr="00FB4FFC">
        <w:rPr>
          <w:sz w:val="16"/>
          <w:szCs w:val="16"/>
        </w:rPr>
        <w:t xml:space="preserve">: </w:t>
      </w:r>
      <w:hyperlink r:id="rId30" w:history="1">
        <w:r w:rsidR="00BF100F" w:rsidRPr="00FB4FFC">
          <w:rPr>
            <w:rStyle w:val="Hyperlink"/>
            <w:sz w:val="16"/>
            <w:szCs w:val="16"/>
          </w:rPr>
          <w:t>https://www.theguardian.com/world/2013/oct/29/tony-abbotts-popularity-on-post-election-high-says-poll</w:t>
        </w:r>
      </w:hyperlink>
    </w:p>
    <w:p w14:paraId="4E5ABFA4" w14:textId="0378DD80" w:rsidR="00912B81" w:rsidRPr="00FB4FFC" w:rsidRDefault="00912B81" w:rsidP="00912B81">
      <w:pPr>
        <w:pStyle w:val="FootnoteText"/>
        <w:rPr>
          <w:sz w:val="16"/>
          <w:szCs w:val="16"/>
        </w:rPr>
      </w:pPr>
      <w:r w:rsidRPr="00FB4FFC">
        <w:rPr>
          <w:sz w:val="16"/>
          <w:szCs w:val="16"/>
        </w:rPr>
        <w:t xml:space="preserve"> </w:t>
      </w:r>
      <w:hyperlink r:id="rId31" w:history="1">
        <w:r w:rsidRPr="00FB4FFC">
          <w:rPr>
            <w:rStyle w:val="Hyperlink"/>
            <w:sz w:val="16"/>
            <w:szCs w:val="16"/>
          </w:rPr>
          <w:t>https://www.theguardian.com/australia-news/2022/dec/13/ess</w:t>
        </w:r>
        <w:r w:rsidRPr="00FB4FFC">
          <w:rPr>
            <w:rStyle w:val="Hyperlink"/>
            <w:sz w:val="16"/>
            <w:szCs w:val="16"/>
          </w:rPr>
          <w:t>ential-poll-three-quarters-of-voters-believe-cost-of-living-crisis-will-worsen-but-majority-give-albanese-thumbs-up</w:t>
        </w:r>
      </w:hyperlink>
    </w:p>
    <w:p w14:paraId="02C4A303" w14:textId="77777777" w:rsidR="0051219D" w:rsidRPr="0051219D" w:rsidRDefault="0051219D" w:rsidP="00912B81">
      <w:pPr>
        <w:pStyle w:val="FootnoteText"/>
        <w:rPr>
          <w:sz w:val="16"/>
          <w:szCs w:val="16"/>
        </w:rPr>
      </w:pPr>
    </w:p>
  </w:footnote>
  <w:footnote w:id="36">
    <w:p w14:paraId="46FCC177" w14:textId="77777777" w:rsidR="0051219D" w:rsidRPr="0051219D" w:rsidRDefault="0051219D" w:rsidP="0051219D">
      <w:pPr>
        <w:pStyle w:val="FootnoteText"/>
        <w:rPr>
          <w:sz w:val="16"/>
          <w:szCs w:val="16"/>
        </w:rPr>
      </w:pPr>
      <w:r w:rsidRPr="0051219D">
        <w:rPr>
          <w:rStyle w:val="FootnoteReference"/>
          <w:sz w:val="16"/>
          <w:szCs w:val="16"/>
        </w:rPr>
        <w:footnoteRef/>
      </w:r>
      <w:r w:rsidRPr="0051219D">
        <w:rPr>
          <w:sz w:val="16"/>
          <w:szCs w:val="16"/>
        </w:rPr>
        <w:t xml:space="preserve"> </w:t>
      </w:r>
      <w:hyperlink r:id="rId32" w:history="1">
        <w:r w:rsidRPr="0051219D">
          <w:rPr>
            <w:rStyle w:val="Hyperlink"/>
            <w:sz w:val="16"/>
            <w:szCs w:val="16"/>
          </w:rPr>
          <w:t>https://theconversation.com/abbott-takes-poll-hit-over-budget-as-shorten-surges-as-preferred-pm-26856</w:t>
        </w:r>
      </w:hyperlink>
    </w:p>
    <w:p w14:paraId="6E5A3D3B" w14:textId="6996BEF4" w:rsidR="0051219D" w:rsidRPr="0051219D" w:rsidRDefault="0051219D">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B6DB8"/>
    <w:multiLevelType w:val="hybridMultilevel"/>
    <w:tmpl w:val="8AF8C4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DFF7FD1"/>
    <w:multiLevelType w:val="hybridMultilevel"/>
    <w:tmpl w:val="1D1C0D56"/>
    <w:lvl w:ilvl="0" w:tplc="DE366D6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985402366">
    <w:abstractNumId w:val="0"/>
  </w:num>
  <w:num w:numId="2" w16cid:durableId="12097555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E6"/>
    <w:rsid w:val="00010212"/>
    <w:rsid w:val="00027AC7"/>
    <w:rsid w:val="00046D08"/>
    <w:rsid w:val="00070FF1"/>
    <w:rsid w:val="000725D3"/>
    <w:rsid w:val="00096DE9"/>
    <w:rsid w:val="000B3DE1"/>
    <w:rsid w:val="0010713E"/>
    <w:rsid w:val="00113B6B"/>
    <w:rsid w:val="00186D95"/>
    <w:rsid w:val="001A1ECF"/>
    <w:rsid w:val="001E2701"/>
    <w:rsid w:val="001E6FAD"/>
    <w:rsid w:val="00213E07"/>
    <w:rsid w:val="002160C9"/>
    <w:rsid w:val="00252FA4"/>
    <w:rsid w:val="00283FF8"/>
    <w:rsid w:val="002953A1"/>
    <w:rsid w:val="002C3648"/>
    <w:rsid w:val="003150B3"/>
    <w:rsid w:val="003250E1"/>
    <w:rsid w:val="00337371"/>
    <w:rsid w:val="00342874"/>
    <w:rsid w:val="0035446F"/>
    <w:rsid w:val="003639D2"/>
    <w:rsid w:val="0037257E"/>
    <w:rsid w:val="003961B0"/>
    <w:rsid w:val="003A7243"/>
    <w:rsid w:val="003B422D"/>
    <w:rsid w:val="003B61E1"/>
    <w:rsid w:val="003F69A7"/>
    <w:rsid w:val="00404D29"/>
    <w:rsid w:val="00413E13"/>
    <w:rsid w:val="00460A38"/>
    <w:rsid w:val="00474708"/>
    <w:rsid w:val="004835DA"/>
    <w:rsid w:val="0051219D"/>
    <w:rsid w:val="005130F9"/>
    <w:rsid w:val="00533F24"/>
    <w:rsid w:val="00534700"/>
    <w:rsid w:val="00555F27"/>
    <w:rsid w:val="00576A67"/>
    <w:rsid w:val="00580D1A"/>
    <w:rsid w:val="005A023C"/>
    <w:rsid w:val="005A4ADC"/>
    <w:rsid w:val="005D02F2"/>
    <w:rsid w:val="005E0153"/>
    <w:rsid w:val="005F698E"/>
    <w:rsid w:val="00617B24"/>
    <w:rsid w:val="006647BB"/>
    <w:rsid w:val="00665520"/>
    <w:rsid w:val="006901B0"/>
    <w:rsid w:val="006B7882"/>
    <w:rsid w:val="006C1F05"/>
    <w:rsid w:val="006D439B"/>
    <w:rsid w:val="006D7F13"/>
    <w:rsid w:val="006E4056"/>
    <w:rsid w:val="00705711"/>
    <w:rsid w:val="00712D06"/>
    <w:rsid w:val="00715625"/>
    <w:rsid w:val="00717B81"/>
    <w:rsid w:val="007300EF"/>
    <w:rsid w:val="0076257C"/>
    <w:rsid w:val="007939AF"/>
    <w:rsid w:val="007A0DF3"/>
    <w:rsid w:val="007C28D6"/>
    <w:rsid w:val="007E1646"/>
    <w:rsid w:val="007E64AA"/>
    <w:rsid w:val="007F4051"/>
    <w:rsid w:val="00802864"/>
    <w:rsid w:val="0080792C"/>
    <w:rsid w:val="008321D3"/>
    <w:rsid w:val="008336A4"/>
    <w:rsid w:val="008614A7"/>
    <w:rsid w:val="00865CE8"/>
    <w:rsid w:val="00865F83"/>
    <w:rsid w:val="008F6321"/>
    <w:rsid w:val="00902B40"/>
    <w:rsid w:val="009123E4"/>
    <w:rsid w:val="00912B81"/>
    <w:rsid w:val="00957541"/>
    <w:rsid w:val="0096289E"/>
    <w:rsid w:val="00976086"/>
    <w:rsid w:val="00984D62"/>
    <w:rsid w:val="009860D4"/>
    <w:rsid w:val="009B420B"/>
    <w:rsid w:val="009E56D1"/>
    <w:rsid w:val="00A04090"/>
    <w:rsid w:val="00A43123"/>
    <w:rsid w:val="00A46857"/>
    <w:rsid w:val="00A46EC4"/>
    <w:rsid w:val="00A66607"/>
    <w:rsid w:val="00A76EE8"/>
    <w:rsid w:val="00A824A6"/>
    <w:rsid w:val="00A911E9"/>
    <w:rsid w:val="00AF439F"/>
    <w:rsid w:val="00B13A3A"/>
    <w:rsid w:val="00B3286A"/>
    <w:rsid w:val="00BA4BB7"/>
    <w:rsid w:val="00BA7901"/>
    <w:rsid w:val="00BE1F27"/>
    <w:rsid w:val="00BE27A8"/>
    <w:rsid w:val="00BE2990"/>
    <w:rsid w:val="00BF100F"/>
    <w:rsid w:val="00BF1267"/>
    <w:rsid w:val="00BF1335"/>
    <w:rsid w:val="00BF1DCC"/>
    <w:rsid w:val="00BF30CF"/>
    <w:rsid w:val="00C12135"/>
    <w:rsid w:val="00C26EB7"/>
    <w:rsid w:val="00C35776"/>
    <w:rsid w:val="00C67965"/>
    <w:rsid w:val="00CD6164"/>
    <w:rsid w:val="00D132E6"/>
    <w:rsid w:val="00D31950"/>
    <w:rsid w:val="00D370B2"/>
    <w:rsid w:val="00DA3D80"/>
    <w:rsid w:val="00E20EFE"/>
    <w:rsid w:val="00E37653"/>
    <w:rsid w:val="00E41417"/>
    <w:rsid w:val="00E5354A"/>
    <w:rsid w:val="00E73FE0"/>
    <w:rsid w:val="00EA0695"/>
    <w:rsid w:val="00EA112B"/>
    <w:rsid w:val="00EA21CB"/>
    <w:rsid w:val="00EA72A8"/>
    <w:rsid w:val="00EC4BDF"/>
    <w:rsid w:val="00EC5B8A"/>
    <w:rsid w:val="00F30538"/>
    <w:rsid w:val="00F41D89"/>
    <w:rsid w:val="00F65B8C"/>
    <w:rsid w:val="00F95F0B"/>
    <w:rsid w:val="00FA648C"/>
    <w:rsid w:val="00FB4FFC"/>
    <w:rsid w:val="00FC1907"/>
    <w:rsid w:val="00FC37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8A4A"/>
  <w15:chartTrackingRefBased/>
  <w15:docId w15:val="{CCB3D4C3-6EA6-43A2-BEA7-217C66DB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2E6"/>
  </w:style>
  <w:style w:type="paragraph" w:styleId="Heading1">
    <w:name w:val="heading 1"/>
    <w:basedOn w:val="Normal"/>
    <w:next w:val="Normal"/>
    <w:link w:val="Heading1Char"/>
    <w:uiPriority w:val="9"/>
    <w:qFormat/>
    <w:rsid w:val="00D132E6"/>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902B40"/>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902B40"/>
    <w:pPr>
      <w:keepNext/>
      <w:keepLines/>
      <w:spacing w:before="40" w:after="0"/>
      <w:outlineLvl w:val="2"/>
    </w:pPr>
    <w:rPr>
      <w:rFonts w:eastAsiaTheme="majorEastAsia" w:cstheme="majorBidi"/>
      <w:b/>
      <w: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2E6"/>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902B40"/>
    <w:rPr>
      <w:rFonts w:eastAsiaTheme="majorEastAsia" w:cstheme="majorBidi"/>
      <w:b/>
      <w:color w:val="2F5496" w:themeColor="accent1" w:themeShade="BF"/>
      <w:sz w:val="26"/>
      <w:szCs w:val="26"/>
    </w:rPr>
  </w:style>
  <w:style w:type="character" w:customStyle="1" w:styleId="Heading3Char">
    <w:name w:val="Heading 3 Char"/>
    <w:basedOn w:val="DefaultParagraphFont"/>
    <w:link w:val="Heading3"/>
    <w:uiPriority w:val="9"/>
    <w:rsid w:val="00902B40"/>
    <w:rPr>
      <w:rFonts w:eastAsiaTheme="majorEastAsia" w:cstheme="majorBidi"/>
      <w:b/>
      <w:i/>
      <w:color w:val="1F3763" w:themeColor="accent1" w:themeShade="7F"/>
      <w:sz w:val="24"/>
      <w:szCs w:val="24"/>
    </w:rPr>
  </w:style>
  <w:style w:type="paragraph" w:styleId="Footer">
    <w:name w:val="footer"/>
    <w:basedOn w:val="Normal"/>
    <w:link w:val="FooterChar"/>
    <w:uiPriority w:val="99"/>
    <w:unhideWhenUsed/>
    <w:rsid w:val="00D13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2E6"/>
  </w:style>
  <w:style w:type="paragraph" w:styleId="FootnoteText">
    <w:name w:val="footnote text"/>
    <w:basedOn w:val="Normal"/>
    <w:link w:val="FootnoteTextChar"/>
    <w:uiPriority w:val="99"/>
    <w:unhideWhenUsed/>
    <w:rsid w:val="00D132E6"/>
    <w:pPr>
      <w:spacing w:after="0" w:line="240" w:lineRule="auto"/>
    </w:pPr>
    <w:rPr>
      <w:sz w:val="20"/>
      <w:szCs w:val="20"/>
    </w:rPr>
  </w:style>
  <w:style w:type="character" w:customStyle="1" w:styleId="FootnoteTextChar">
    <w:name w:val="Footnote Text Char"/>
    <w:basedOn w:val="DefaultParagraphFont"/>
    <w:link w:val="FootnoteText"/>
    <w:uiPriority w:val="99"/>
    <w:rsid w:val="00D132E6"/>
    <w:rPr>
      <w:sz w:val="20"/>
      <w:szCs w:val="20"/>
    </w:rPr>
  </w:style>
  <w:style w:type="character" w:styleId="FootnoteReference">
    <w:name w:val="footnote reference"/>
    <w:basedOn w:val="DefaultParagraphFont"/>
    <w:uiPriority w:val="99"/>
    <w:semiHidden/>
    <w:unhideWhenUsed/>
    <w:rsid w:val="00D132E6"/>
    <w:rPr>
      <w:vertAlign w:val="superscript"/>
    </w:rPr>
  </w:style>
  <w:style w:type="character" w:styleId="Hyperlink">
    <w:name w:val="Hyperlink"/>
    <w:basedOn w:val="DefaultParagraphFont"/>
    <w:uiPriority w:val="99"/>
    <w:unhideWhenUsed/>
    <w:rsid w:val="00D132E6"/>
    <w:rPr>
      <w:color w:val="0563C1" w:themeColor="hyperlink"/>
      <w:u w:val="single"/>
    </w:rPr>
  </w:style>
  <w:style w:type="paragraph" w:styleId="ListParagraph">
    <w:name w:val="List Paragraph"/>
    <w:basedOn w:val="Normal"/>
    <w:uiPriority w:val="34"/>
    <w:qFormat/>
    <w:rsid w:val="00802864"/>
    <w:pPr>
      <w:ind w:left="720"/>
      <w:contextualSpacing/>
    </w:pPr>
  </w:style>
  <w:style w:type="character" w:styleId="UnresolvedMention">
    <w:name w:val="Unresolved Mention"/>
    <w:basedOn w:val="DefaultParagraphFont"/>
    <w:uiPriority w:val="99"/>
    <w:semiHidden/>
    <w:unhideWhenUsed/>
    <w:rsid w:val="00715625"/>
    <w:rPr>
      <w:color w:val="605E5C"/>
      <w:shd w:val="clear" w:color="auto" w:fill="E1DFDD"/>
    </w:rPr>
  </w:style>
  <w:style w:type="paragraph" w:styleId="TOCHeading">
    <w:name w:val="TOC Heading"/>
    <w:basedOn w:val="Heading1"/>
    <w:next w:val="Normal"/>
    <w:uiPriority w:val="39"/>
    <w:unhideWhenUsed/>
    <w:qFormat/>
    <w:rsid w:val="0051219D"/>
    <w:pPr>
      <w:outlineLvl w:val="9"/>
    </w:pPr>
    <w:rPr>
      <w:b w:val="0"/>
      <w:lang w:val="en-US"/>
    </w:rPr>
  </w:style>
  <w:style w:type="paragraph" w:styleId="TOC1">
    <w:name w:val="toc 1"/>
    <w:basedOn w:val="Normal"/>
    <w:next w:val="Normal"/>
    <w:autoRedefine/>
    <w:uiPriority w:val="39"/>
    <w:unhideWhenUsed/>
    <w:rsid w:val="0051219D"/>
    <w:pPr>
      <w:spacing w:after="100"/>
    </w:pPr>
  </w:style>
  <w:style w:type="paragraph" w:styleId="TOC2">
    <w:name w:val="toc 2"/>
    <w:basedOn w:val="Normal"/>
    <w:next w:val="Normal"/>
    <w:autoRedefine/>
    <w:uiPriority w:val="39"/>
    <w:unhideWhenUsed/>
    <w:rsid w:val="0051219D"/>
    <w:pPr>
      <w:spacing w:after="100"/>
      <w:ind w:left="220"/>
    </w:pPr>
  </w:style>
  <w:style w:type="paragraph" w:styleId="TOC3">
    <w:name w:val="toc 3"/>
    <w:basedOn w:val="Normal"/>
    <w:next w:val="Normal"/>
    <w:autoRedefine/>
    <w:uiPriority w:val="39"/>
    <w:unhideWhenUsed/>
    <w:rsid w:val="0051219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5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aw.uwa.edu.au/__data/assets/pdf_file/0006/3096744/03-Robert-French,-Executive-Power-in-Australia-COMPLETED-PDF.pdf" TargetMode="External"/><Relationship Id="rId13" Type="http://schemas.openxmlformats.org/officeDocument/2006/relationships/hyperlink" Target="https://www.thejadebeagle.com/emergency-achieved.html" TargetMode="External"/><Relationship Id="rId18" Type="http://schemas.openxmlformats.org/officeDocument/2006/relationships/hyperlink" Target="https://apo.org.au/node/41087" TargetMode="External"/><Relationship Id="rId26" Type="http://schemas.openxmlformats.org/officeDocument/2006/relationships/hyperlink" Target="https://parlwork.aph.gov.au/bills/secondreadings/s1350#%7B%22Page%22%3A3%2C%22Take%22%3A10%2C%22Sort%22%3A0%2C%22Keyword%22%3Anull%2C%22QuestionNumber%22%3Anull%2C%22IsTitleSearch%22%3Atrue%2C%22DateRangeFrom%22%3Anull%2C%22DateRangeTo%22%3Anull%7D" TargetMode="External"/><Relationship Id="rId3" Type="http://schemas.openxmlformats.org/officeDocument/2006/relationships/hyperlink" Target="https://www.ministriesinquiry.gov.au/" TargetMode="External"/><Relationship Id="rId21" Type="http://schemas.openxmlformats.org/officeDocument/2006/relationships/hyperlink" Target="https://parlinfo.aph.gov.au/parlInfo/search/display/display.w3p;query=Id%3A%22chamber%2Fhansardr%2F07c1718f-8e51-4958-9cc9-f8492bfb5c93%2F0019%22" TargetMode="External"/><Relationship Id="rId7" Type="http://schemas.openxmlformats.org/officeDocument/2006/relationships/hyperlink" Target="https://www.cjccl.ca/wp-content/uploads/2021/05/10-Twomey.pdf" TargetMode="External"/><Relationship Id="rId12" Type="http://schemas.openxmlformats.org/officeDocument/2006/relationships/hyperlink" Target="https://thenewdaily.com.au/news/politics/2022/05/09/scott-morrison-labor-ad-spending/" TargetMode="External"/><Relationship Id="rId17" Type="http://schemas.openxmlformats.org/officeDocument/2006/relationships/hyperlink" Target="https://www.thejadebeagle.com/emergency-achieved.html" TargetMode="External"/><Relationship Id="rId25" Type="http://schemas.openxmlformats.org/officeDocument/2006/relationships/hyperlink" Target="file:///C:/Users/jadeb/Downloads/d07_22.pdf" TargetMode="External"/><Relationship Id="rId2" Type="http://schemas.openxmlformats.org/officeDocument/2006/relationships/hyperlink" Target="https://www.thejadebeagle.com/mma.html" TargetMode="External"/><Relationship Id="rId16" Type="http://schemas.openxmlformats.org/officeDocument/2006/relationships/hyperlink" Target="https://www.legislation.gov.au/Details/C2020C00127" TargetMode="External"/><Relationship Id="rId20" Type="http://schemas.openxmlformats.org/officeDocument/2006/relationships/hyperlink" Target="https://parlinfo.aph.gov.au/parlInfo/search/display%2020fordisplay.w3p;query=Id%3A%22chamber%2Fhansards%2Ffe616c1c-5dd1-448f-888c-8165d8ccf7de%2F0171%22" TargetMode="External"/><Relationship Id="rId29" Type="http://schemas.openxmlformats.org/officeDocument/2006/relationships/hyperlink" Target="https://theconversation.com/two-years-in-even-supporters-despair-of-abbotts-feeble-government-46797" TargetMode="External"/><Relationship Id="rId1" Type="http://schemas.openxmlformats.org/officeDocument/2006/relationships/hyperlink" Target="https://www.thejadebeagle.com/mma.html" TargetMode="External"/><Relationship Id="rId6" Type="http://schemas.openxmlformats.org/officeDocument/2006/relationships/hyperlink" Target="https://www.aph.gov.au/Parliamentary_Business/Hansard/Hansard_Display?bid=chamber/hansardr/26233/&amp;sid=0015" TargetMode="External"/><Relationship Id="rId11" Type="http://schemas.openxmlformats.org/officeDocument/2006/relationships/hyperlink" Target="https://parlinfo.aph.gov.au/parlInfo/search/display/display.w3p;db=CHAMBER;id=chamber%2Fhansardr%2F008878e2-702c-4017-beac-97696e5ca1d0%2F0284;query=Id%3A%22chamber%2Fhansardr%2F008878e2-702c-4017-beac-97696e5ca1d0%2F0355%22" TargetMode="External"/><Relationship Id="rId24" Type="http://schemas.openxmlformats.org/officeDocument/2006/relationships/hyperlink" Target="https://www.thejadebeagle.com/tip-fire-a.html" TargetMode="External"/><Relationship Id="rId32" Type="http://schemas.openxmlformats.org/officeDocument/2006/relationships/hyperlink" Target="https://theconversation.com/abbott-takes-poll-hit-over-budget-as-shorten-surges-as-preferred-pm-26856" TargetMode="External"/><Relationship Id="rId5" Type="http://schemas.openxmlformats.org/officeDocument/2006/relationships/hyperlink" Target="https://www.unswlawjournal.unsw.edu.au/wp-content/uploads/2020/03/04-Carter.pdf" TargetMode="External"/><Relationship Id="rId15" Type="http://schemas.openxmlformats.org/officeDocument/2006/relationships/hyperlink" Target="https://www.abc.net.au/news/2022-08-18/scott-morrison-secret-ministerial-roles-lack-trust-extraordinary/101343202" TargetMode="External"/><Relationship Id="rId23" Type="http://schemas.openxmlformats.org/officeDocument/2006/relationships/hyperlink" Target="https://parlinfo.aph.gov.au/parlInfo/search/display/display.w3p;query=Id%3A%22chamber%2Fhansards%2F26174%2F0176%22" TargetMode="External"/><Relationship Id="rId28" Type="http://schemas.openxmlformats.org/officeDocument/2006/relationships/hyperlink" Target="https://www.thejadebeagle.com/tipfire-d---infrastructure.html" TargetMode="External"/><Relationship Id="rId10" Type="http://schemas.openxmlformats.org/officeDocument/2006/relationships/hyperlink" Target="https://www.thejadebeagle.com/tip-fire-a.html" TargetMode="External"/><Relationship Id="rId19" Type="http://schemas.openxmlformats.org/officeDocument/2006/relationships/hyperlink" Target="https://www.royalcommission.gov.au/trade-union" TargetMode="External"/><Relationship Id="rId31" Type="http://schemas.openxmlformats.org/officeDocument/2006/relationships/hyperlink" Target="https://www.theguardian.com/australia-news/2022/dec/13/essential-poll-three-quarters-of-voters-believe-cost-of-living-crisis-will-worsen-but-majority-give-albanese-thumbs-up" TargetMode="External"/><Relationship Id="rId4" Type="http://schemas.openxmlformats.org/officeDocument/2006/relationships/hyperlink" Target="https://www.theaustralian.com.au/commentary/emergency-powers-secret-ministries-avoid-scrutiny-of-parliament/news-story/5c8580593ff6319994d9625a3b0f8a99" TargetMode="External"/><Relationship Id="rId9" Type="http://schemas.openxmlformats.org/officeDocument/2006/relationships/hyperlink" Target="https://www.alrc.gov.au/publication/traditional-rights-and-freedoms-encroachments-by-commonwealth-laws-alrc-report-129/14-procedural-fairness-2/procedural-fairness-the-duty-and-its-content/" TargetMode="External"/><Relationship Id="rId14" Type="http://schemas.openxmlformats.org/officeDocument/2006/relationships/hyperlink" Target="https://www.aph.gov.au/About_Parliament/House_of_Representatives/Powers_practice_and_procedure/Practice7/HTML/Chapter2/Cabinet" TargetMode="External"/><Relationship Id="rId22" Type="http://schemas.openxmlformats.org/officeDocument/2006/relationships/hyperlink" Target="https://parlwork.aph.gov.au/bills/s1350#:~:text=to%3A%20enable%20the%20minister%20to,establish%20civil%20penalty%20provisions%20for" TargetMode="External"/><Relationship Id="rId27" Type="http://schemas.openxmlformats.org/officeDocument/2006/relationships/hyperlink" Target="https://www.thejadebeagle.com/emergency-achieved.html" TargetMode="External"/><Relationship Id="rId30" Type="http://schemas.openxmlformats.org/officeDocument/2006/relationships/hyperlink" Target="https://www.theguardian.com/world/2013/oct/29/tony-abbotts-popularity-on-post-election-high-says-p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46414-580F-4E47-B2E9-888F7AF7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16403</TotalTime>
  <Pages>11</Pages>
  <Words>3610</Words>
  <Characters>20582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42</cp:revision>
  <dcterms:created xsi:type="dcterms:W3CDTF">2022-12-20T04:35:00Z</dcterms:created>
  <dcterms:modified xsi:type="dcterms:W3CDTF">2023-01-01T02:58:00Z</dcterms:modified>
</cp:coreProperties>
</file>