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8D7E" w14:textId="128D7CA7" w:rsidR="00785EB5" w:rsidRDefault="00785EB5" w:rsidP="008056C4">
      <w:pPr>
        <w:pStyle w:val="Heading1"/>
      </w:pPr>
      <w:bookmarkStart w:id="0" w:name="_Hlk14972161"/>
      <w:bookmarkStart w:id="1" w:name="_Toc15287781"/>
      <w:proofErr w:type="spellStart"/>
      <w:r>
        <w:t>Referendums</w:t>
      </w:r>
      <w:r w:rsidR="00DE7020">
        <w:t xml:space="preserve"> </w:t>
      </w:r>
      <w:proofErr w:type="spellEnd"/>
      <w:r w:rsidR="00DE7020">
        <w:t>1</w:t>
      </w:r>
      <w:bookmarkStart w:id="2" w:name="_GoBack"/>
      <w:bookmarkEnd w:id="1"/>
      <w:bookmarkEnd w:id="2"/>
    </w:p>
    <w:sdt>
      <w:sdtPr>
        <w:rPr>
          <w:rFonts w:asciiTheme="minorHAnsi" w:eastAsiaTheme="minorHAnsi" w:hAnsiTheme="minorHAnsi" w:cstheme="minorBidi"/>
          <w:color w:val="auto"/>
          <w:sz w:val="22"/>
          <w:szCs w:val="22"/>
          <w:lang w:val="en-AU"/>
        </w:rPr>
        <w:id w:val="947888910"/>
        <w:docPartObj>
          <w:docPartGallery w:val="Table of Contents"/>
          <w:docPartUnique/>
        </w:docPartObj>
      </w:sdtPr>
      <w:sdtEndPr>
        <w:rPr>
          <w:b/>
          <w:bCs/>
          <w:noProof/>
        </w:rPr>
      </w:sdtEndPr>
      <w:sdtContent>
        <w:p w14:paraId="4CB185A0" w14:textId="01C98700" w:rsidR="00687A0A" w:rsidRDefault="00687A0A">
          <w:pPr>
            <w:pStyle w:val="TOCHeading"/>
          </w:pPr>
          <w:r>
            <w:t>Contents</w:t>
          </w:r>
        </w:p>
        <w:p w14:paraId="588C08BF" w14:textId="09B05D44" w:rsidR="000D56E0" w:rsidRDefault="00687A0A">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5287781" w:history="1">
            <w:r w:rsidR="000D56E0" w:rsidRPr="00A81F10">
              <w:rPr>
                <w:rStyle w:val="Hyperlink"/>
                <w:noProof/>
              </w:rPr>
              <w:t>Referendums 1</w:t>
            </w:r>
            <w:r w:rsidR="000D56E0">
              <w:rPr>
                <w:noProof/>
                <w:webHidden/>
              </w:rPr>
              <w:tab/>
            </w:r>
            <w:r w:rsidR="000D56E0">
              <w:rPr>
                <w:noProof/>
                <w:webHidden/>
              </w:rPr>
              <w:fldChar w:fldCharType="begin"/>
            </w:r>
            <w:r w:rsidR="000D56E0">
              <w:rPr>
                <w:noProof/>
                <w:webHidden/>
              </w:rPr>
              <w:instrText xml:space="preserve"> PAGEREF _Toc15287781 \h </w:instrText>
            </w:r>
            <w:r w:rsidR="000D56E0">
              <w:rPr>
                <w:noProof/>
                <w:webHidden/>
              </w:rPr>
            </w:r>
            <w:r w:rsidR="000D56E0">
              <w:rPr>
                <w:noProof/>
                <w:webHidden/>
              </w:rPr>
              <w:fldChar w:fldCharType="separate"/>
            </w:r>
            <w:r w:rsidR="000D56E0">
              <w:rPr>
                <w:noProof/>
                <w:webHidden/>
              </w:rPr>
              <w:t>1</w:t>
            </w:r>
            <w:r w:rsidR="000D56E0">
              <w:rPr>
                <w:noProof/>
                <w:webHidden/>
              </w:rPr>
              <w:fldChar w:fldCharType="end"/>
            </w:r>
          </w:hyperlink>
        </w:p>
        <w:p w14:paraId="0F38643A" w14:textId="6320173B" w:rsidR="000D56E0" w:rsidRDefault="000D56E0">
          <w:pPr>
            <w:pStyle w:val="TOC2"/>
            <w:tabs>
              <w:tab w:val="left" w:pos="660"/>
              <w:tab w:val="right" w:leader="dot" w:pos="9016"/>
            </w:tabs>
            <w:rPr>
              <w:rFonts w:eastAsiaTheme="minorEastAsia"/>
              <w:noProof/>
              <w:lang w:eastAsia="en-AU"/>
            </w:rPr>
          </w:pPr>
          <w:hyperlink w:anchor="_Toc15287782" w:history="1">
            <w:r w:rsidRPr="00A81F10">
              <w:rPr>
                <w:rStyle w:val="Hyperlink"/>
                <w:noProof/>
              </w:rPr>
              <w:t>1.</w:t>
            </w:r>
            <w:r>
              <w:rPr>
                <w:rFonts w:eastAsiaTheme="minorEastAsia"/>
                <w:noProof/>
                <w:lang w:eastAsia="en-AU"/>
              </w:rPr>
              <w:tab/>
            </w:r>
            <w:r w:rsidRPr="00A81F10">
              <w:rPr>
                <w:rStyle w:val="Hyperlink"/>
                <w:noProof/>
              </w:rPr>
              <w:t>Introduction</w:t>
            </w:r>
            <w:r>
              <w:rPr>
                <w:noProof/>
                <w:webHidden/>
              </w:rPr>
              <w:tab/>
            </w:r>
            <w:r>
              <w:rPr>
                <w:noProof/>
                <w:webHidden/>
              </w:rPr>
              <w:fldChar w:fldCharType="begin"/>
            </w:r>
            <w:r>
              <w:rPr>
                <w:noProof/>
                <w:webHidden/>
              </w:rPr>
              <w:instrText xml:space="preserve"> PAGEREF _Toc15287782 \h </w:instrText>
            </w:r>
            <w:r>
              <w:rPr>
                <w:noProof/>
                <w:webHidden/>
              </w:rPr>
            </w:r>
            <w:r>
              <w:rPr>
                <w:noProof/>
                <w:webHidden/>
              </w:rPr>
              <w:fldChar w:fldCharType="separate"/>
            </w:r>
            <w:r>
              <w:rPr>
                <w:noProof/>
                <w:webHidden/>
              </w:rPr>
              <w:t>2</w:t>
            </w:r>
            <w:r>
              <w:rPr>
                <w:noProof/>
                <w:webHidden/>
              </w:rPr>
              <w:fldChar w:fldCharType="end"/>
            </w:r>
          </w:hyperlink>
        </w:p>
        <w:p w14:paraId="0169BA93" w14:textId="26C4A33B" w:rsidR="000D56E0" w:rsidRDefault="000D56E0">
          <w:pPr>
            <w:pStyle w:val="TOC2"/>
            <w:tabs>
              <w:tab w:val="left" w:pos="660"/>
              <w:tab w:val="right" w:leader="dot" w:pos="9016"/>
            </w:tabs>
            <w:rPr>
              <w:rFonts w:eastAsiaTheme="minorEastAsia"/>
              <w:noProof/>
              <w:lang w:eastAsia="en-AU"/>
            </w:rPr>
          </w:pPr>
          <w:hyperlink w:anchor="_Toc15287783" w:history="1">
            <w:r w:rsidRPr="00A81F10">
              <w:rPr>
                <w:rStyle w:val="Hyperlink"/>
                <w:noProof/>
              </w:rPr>
              <w:t>2.</w:t>
            </w:r>
            <w:r>
              <w:rPr>
                <w:rFonts w:eastAsiaTheme="minorEastAsia"/>
                <w:noProof/>
                <w:lang w:eastAsia="en-AU"/>
              </w:rPr>
              <w:tab/>
            </w:r>
            <w:r w:rsidRPr="00A81F10">
              <w:rPr>
                <w:rStyle w:val="Hyperlink"/>
                <w:noProof/>
              </w:rPr>
              <w:t>Bringing promises back to legality</w:t>
            </w:r>
            <w:r>
              <w:rPr>
                <w:noProof/>
                <w:webHidden/>
              </w:rPr>
              <w:tab/>
            </w:r>
            <w:r>
              <w:rPr>
                <w:noProof/>
                <w:webHidden/>
              </w:rPr>
              <w:fldChar w:fldCharType="begin"/>
            </w:r>
            <w:r>
              <w:rPr>
                <w:noProof/>
                <w:webHidden/>
              </w:rPr>
              <w:instrText xml:space="preserve"> PAGEREF _Toc15287783 \h </w:instrText>
            </w:r>
            <w:r>
              <w:rPr>
                <w:noProof/>
                <w:webHidden/>
              </w:rPr>
            </w:r>
            <w:r>
              <w:rPr>
                <w:noProof/>
                <w:webHidden/>
              </w:rPr>
              <w:fldChar w:fldCharType="separate"/>
            </w:r>
            <w:r>
              <w:rPr>
                <w:noProof/>
                <w:webHidden/>
              </w:rPr>
              <w:t>3</w:t>
            </w:r>
            <w:r>
              <w:rPr>
                <w:noProof/>
                <w:webHidden/>
              </w:rPr>
              <w:fldChar w:fldCharType="end"/>
            </w:r>
          </w:hyperlink>
        </w:p>
        <w:p w14:paraId="5027410A" w14:textId="36323944" w:rsidR="000D56E0" w:rsidRDefault="000D56E0">
          <w:pPr>
            <w:pStyle w:val="TOC3"/>
            <w:tabs>
              <w:tab w:val="left" w:pos="1100"/>
              <w:tab w:val="right" w:leader="dot" w:pos="9016"/>
            </w:tabs>
            <w:rPr>
              <w:rFonts w:eastAsiaTheme="minorEastAsia"/>
              <w:noProof/>
              <w:lang w:eastAsia="en-AU"/>
            </w:rPr>
          </w:pPr>
          <w:hyperlink w:anchor="_Toc15287784" w:history="1">
            <w:r w:rsidRPr="00A81F10">
              <w:rPr>
                <w:rStyle w:val="Hyperlink"/>
                <w:noProof/>
              </w:rPr>
              <w:t>2.1</w:t>
            </w:r>
            <w:r>
              <w:rPr>
                <w:rFonts w:eastAsiaTheme="minorEastAsia"/>
                <w:noProof/>
                <w:lang w:eastAsia="en-AU"/>
              </w:rPr>
              <w:tab/>
            </w:r>
            <w:r w:rsidRPr="00A81F10">
              <w:rPr>
                <w:rStyle w:val="Hyperlink"/>
                <w:noProof/>
              </w:rPr>
              <w:t>Issues</w:t>
            </w:r>
            <w:r>
              <w:rPr>
                <w:noProof/>
                <w:webHidden/>
              </w:rPr>
              <w:tab/>
            </w:r>
            <w:r>
              <w:rPr>
                <w:noProof/>
                <w:webHidden/>
              </w:rPr>
              <w:fldChar w:fldCharType="begin"/>
            </w:r>
            <w:r>
              <w:rPr>
                <w:noProof/>
                <w:webHidden/>
              </w:rPr>
              <w:instrText xml:space="preserve"> PAGEREF _Toc15287784 \h </w:instrText>
            </w:r>
            <w:r>
              <w:rPr>
                <w:noProof/>
                <w:webHidden/>
              </w:rPr>
            </w:r>
            <w:r>
              <w:rPr>
                <w:noProof/>
                <w:webHidden/>
              </w:rPr>
              <w:fldChar w:fldCharType="separate"/>
            </w:r>
            <w:r>
              <w:rPr>
                <w:noProof/>
                <w:webHidden/>
              </w:rPr>
              <w:t>3</w:t>
            </w:r>
            <w:r>
              <w:rPr>
                <w:noProof/>
                <w:webHidden/>
              </w:rPr>
              <w:fldChar w:fldCharType="end"/>
            </w:r>
          </w:hyperlink>
        </w:p>
        <w:p w14:paraId="0CF6F9D9" w14:textId="562942B1" w:rsidR="000D56E0" w:rsidRDefault="000D56E0">
          <w:pPr>
            <w:pStyle w:val="TOC3"/>
            <w:tabs>
              <w:tab w:val="left" w:pos="1100"/>
              <w:tab w:val="right" w:leader="dot" w:pos="9016"/>
            </w:tabs>
            <w:rPr>
              <w:rFonts w:eastAsiaTheme="minorEastAsia"/>
              <w:noProof/>
              <w:lang w:eastAsia="en-AU"/>
            </w:rPr>
          </w:pPr>
          <w:hyperlink w:anchor="_Toc15287785" w:history="1">
            <w:r w:rsidRPr="00A81F10">
              <w:rPr>
                <w:rStyle w:val="Hyperlink"/>
                <w:noProof/>
              </w:rPr>
              <w:t>2.2</w:t>
            </w:r>
            <w:r>
              <w:rPr>
                <w:rFonts w:eastAsiaTheme="minorEastAsia"/>
                <w:noProof/>
                <w:lang w:eastAsia="en-AU"/>
              </w:rPr>
              <w:tab/>
            </w:r>
            <w:r w:rsidRPr="00A81F10">
              <w:rPr>
                <w:rStyle w:val="Hyperlink"/>
                <w:noProof/>
              </w:rPr>
              <w:t>Mechanisms</w:t>
            </w:r>
            <w:r>
              <w:rPr>
                <w:noProof/>
                <w:webHidden/>
              </w:rPr>
              <w:tab/>
            </w:r>
            <w:r>
              <w:rPr>
                <w:noProof/>
                <w:webHidden/>
              </w:rPr>
              <w:fldChar w:fldCharType="begin"/>
            </w:r>
            <w:r>
              <w:rPr>
                <w:noProof/>
                <w:webHidden/>
              </w:rPr>
              <w:instrText xml:space="preserve"> PAGEREF _Toc15287785 \h </w:instrText>
            </w:r>
            <w:r>
              <w:rPr>
                <w:noProof/>
                <w:webHidden/>
              </w:rPr>
            </w:r>
            <w:r>
              <w:rPr>
                <w:noProof/>
                <w:webHidden/>
              </w:rPr>
              <w:fldChar w:fldCharType="separate"/>
            </w:r>
            <w:r>
              <w:rPr>
                <w:noProof/>
                <w:webHidden/>
              </w:rPr>
              <w:t>3</w:t>
            </w:r>
            <w:r>
              <w:rPr>
                <w:noProof/>
                <w:webHidden/>
              </w:rPr>
              <w:fldChar w:fldCharType="end"/>
            </w:r>
          </w:hyperlink>
        </w:p>
        <w:p w14:paraId="79DBB745" w14:textId="6BCF049C" w:rsidR="000D56E0" w:rsidRDefault="000D56E0">
          <w:pPr>
            <w:pStyle w:val="TOC2"/>
            <w:tabs>
              <w:tab w:val="left" w:pos="660"/>
              <w:tab w:val="right" w:leader="dot" w:pos="9016"/>
            </w:tabs>
            <w:rPr>
              <w:rFonts w:eastAsiaTheme="minorEastAsia"/>
              <w:noProof/>
              <w:lang w:eastAsia="en-AU"/>
            </w:rPr>
          </w:pPr>
          <w:hyperlink w:anchor="_Toc15287786" w:history="1">
            <w:r w:rsidRPr="00A81F10">
              <w:rPr>
                <w:rStyle w:val="Hyperlink"/>
                <w:noProof/>
              </w:rPr>
              <w:t>3.</w:t>
            </w:r>
            <w:r>
              <w:rPr>
                <w:rFonts w:eastAsiaTheme="minorEastAsia"/>
                <w:noProof/>
                <w:lang w:eastAsia="en-AU"/>
              </w:rPr>
              <w:tab/>
            </w:r>
            <w:r w:rsidRPr="00A81F10">
              <w:rPr>
                <w:rStyle w:val="Hyperlink"/>
                <w:noProof/>
              </w:rPr>
              <w:t>Referendums</w:t>
            </w:r>
            <w:r>
              <w:rPr>
                <w:noProof/>
                <w:webHidden/>
              </w:rPr>
              <w:tab/>
            </w:r>
            <w:r>
              <w:rPr>
                <w:noProof/>
                <w:webHidden/>
              </w:rPr>
              <w:fldChar w:fldCharType="begin"/>
            </w:r>
            <w:r>
              <w:rPr>
                <w:noProof/>
                <w:webHidden/>
              </w:rPr>
              <w:instrText xml:space="preserve"> PAGEREF _Toc15287786 \h </w:instrText>
            </w:r>
            <w:r>
              <w:rPr>
                <w:noProof/>
                <w:webHidden/>
              </w:rPr>
            </w:r>
            <w:r>
              <w:rPr>
                <w:noProof/>
                <w:webHidden/>
              </w:rPr>
              <w:fldChar w:fldCharType="separate"/>
            </w:r>
            <w:r>
              <w:rPr>
                <w:noProof/>
                <w:webHidden/>
              </w:rPr>
              <w:t>5</w:t>
            </w:r>
            <w:r>
              <w:rPr>
                <w:noProof/>
                <w:webHidden/>
              </w:rPr>
              <w:fldChar w:fldCharType="end"/>
            </w:r>
          </w:hyperlink>
        </w:p>
        <w:p w14:paraId="7D12D02B" w14:textId="27FB90A6" w:rsidR="000D56E0" w:rsidRDefault="000D56E0">
          <w:pPr>
            <w:pStyle w:val="TOC2"/>
            <w:tabs>
              <w:tab w:val="left" w:pos="660"/>
              <w:tab w:val="right" w:leader="dot" w:pos="9016"/>
            </w:tabs>
            <w:rPr>
              <w:rFonts w:eastAsiaTheme="minorEastAsia"/>
              <w:noProof/>
              <w:lang w:eastAsia="en-AU"/>
            </w:rPr>
          </w:pPr>
          <w:hyperlink w:anchor="_Toc15287787" w:history="1">
            <w:r w:rsidRPr="00A81F10">
              <w:rPr>
                <w:rStyle w:val="Hyperlink"/>
                <w:noProof/>
              </w:rPr>
              <w:t>4.</w:t>
            </w:r>
            <w:r>
              <w:rPr>
                <w:rFonts w:eastAsiaTheme="minorEastAsia"/>
                <w:noProof/>
                <w:lang w:eastAsia="en-AU"/>
              </w:rPr>
              <w:tab/>
            </w:r>
            <w:r w:rsidRPr="00A81F10">
              <w:rPr>
                <w:rStyle w:val="Hyperlink"/>
                <w:noProof/>
              </w:rPr>
              <w:t>Criteria and proposals</w:t>
            </w:r>
            <w:r>
              <w:rPr>
                <w:noProof/>
                <w:webHidden/>
              </w:rPr>
              <w:tab/>
            </w:r>
            <w:r>
              <w:rPr>
                <w:noProof/>
                <w:webHidden/>
              </w:rPr>
              <w:fldChar w:fldCharType="begin"/>
            </w:r>
            <w:r>
              <w:rPr>
                <w:noProof/>
                <w:webHidden/>
              </w:rPr>
              <w:instrText xml:space="preserve"> PAGEREF _Toc15287787 \h </w:instrText>
            </w:r>
            <w:r>
              <w:rPr>
                <w:noProof/>
                <w:webHidden/>
              </w:rPr>
            </w:r>
            <w:r>
              <w:rPr>
                <w:noProof/>
                <w:webHidden/>
              </w:rPr>
              <w:fldChar w:fldCharType="separate"/>
            </w:r>
            <w:r>
              <w:rPr>
                <w:noProof/>
                <w:webHidden/>
              </w:rPr>
              <w:t>6</w:t>
            </w:r>
            <w:r>
              <w:rPr>
                <w:noProof/>
                <w:webHidden/>
              </w:rPr>
              <w:fldChar w:fldCharType="end"/>
            </w:r>
          </w:hyperlink>
        </w:p>
        <w:p w14:paraId="55C8F66F" w14:textId="783518A3" w:rsidR="000D56E0" w:rsidRDefault="000D56E0">
          <w:pPr>
            <w:pStyle w:val="TOC3"/>
            <w:tabs>
              <w:tab w:val="left" w:pos="1100"/>
              <w:tab w:val="right" w:leader="dot" w:pos="9016"/>
            </w:tabs>
            <w:rPr>
              <w:rFonts w:eastAsiaTheme="minorEastAsia"/>
              <w:noProof/>
              <w:lang w:eastAsia="en-AU"/>
            </w:rPr>
          </w:pPr>
          <w:hyperlink w:anchor="_Toc15287788" w:history="1">
            <w:r w:rsidRPr="00A81F10">
              <w:rPr>
                <w:rStyle w:val="Hyperlink"/>
                <w:noProof/>
              </w:rPr>
              <w:t xml:space="preserve">4.1 </w:t>
            </w:r>
            <w:r>
              <w:rPr>
                <w:rFonts w:eastAsiaTheme="minorEastAsia"/>
                <w:noProof/>
                <w:lang w:eastAsia="en-AU"/>
              </w:rPr>
              <w:tab/>
            </w:r>
            <w:r w:rsidRPr="00A81F10">
              <w:rPr>
                <w:rStyle w:val="Hyperlink"/>
                <w:noProof/>
              </w:rPr>
              <w:t>Criteria</w:t>
            </w:r>
            <w:r>
              <w:rPr>
                <w:noProof/>
                <w:webHidden/>
              </w:rPr>
              <w:tab/>
            </w:r>
            <w:r>
              <w:rPr>
                <w:noProof/>
                <w:webHidden/>
              </w:rPr>
              <w:fldChar w:fldCharType="begin"/>
            </w:r>
            <w:r>
              <w:rPr>
                <w:noProof/>
                <w:webHidden/>
              </w:rPr>
              <w:instrText xml:space="preserve"> PAGEREF _Toc15287788 \h </w:instrText>
            </w:r>
            <w:r>
              <w:rPr>
                <w:noProof/>
                <w:webHidden/>
              </w:rPr>
            </w:r>
            <w:r>
              <w:rPr>
                <w:noProof/>
                <w:webHidden/>
              </w:rPr>
              <w:fldChar w:fldCharType="separate"/>
            </w:r>
            <w:r>
              <w:rPr>
                <w:noProof/>
                <w:webHidden/>
              </w:rPr>
              <w:t>6</w:t>
            </w:r>
            <w:r>
              <w:rPr>
                <w:noProof/>
                <w:webHidden/>
              </w:rPr>
              <w:fldChar w:fldCharType="end"/>
            </w:r>
          </w:hyperlink>
        </w:p>
        <w:p w14:paraId="19A2E10F" w14:textId="668D2A9D" w:rsidR="000D56E0" w:rsidRDefault="000D56E0">
          <w:pPr>
            <w:pStyle w:val="TOC3"/>
            <w:tabs>
              <w:tab w:val="left" w:pos="1100"/>
              <w:tab w:val="right" w:leader="dot" w:pos="9016"/>
            </w:tabs>
            <w:rPr>
              <w:rFonts w:eastAsiaTheme="minorEastAsia"/>
              <w:noProof/>
              <w:lang w:eastAsia="en-AU"/>
            </w:rPr>
          </w:pPr>
          <w:hyperlink w:anchor="_Toc15287789" w:history="1">
            <w:r w:rsidRPr="00A81F10">
              <w:rPr>
                <w:rStyle w:val="Hyperlink"/>
                <w:noProof/>
              </w:rPr>
              <w:t>4.2</w:t>
            </w:r>
            <w:r>
              <w:rPr>
                <w:rFonts w:eastAsiaTheme="minorEastAsia"/>
                <w:noProof/>
                <w:lang w:eastAsia="en-AU"/>
              </w:rPr>
              <w:tab/>
            </w:r>
            <w:r w:rsidRPr="00A81F10">
              <w:rPr>
                <w:rStyle w:val="Hyperlink"/>
                <w:noProof/>
              </w:rPr>
              <w:t>Application of criteria, summary</w:t>
            </w:r>
            <w:r>
              <w:rPr>
                <w:noProof/>
                <w:webHidden/>
              </w:rPr>
              <w:tab/>
            </w:r>
            <w:r>
              <w:rPr>
                <w:noProof/>
                <w:webHidden/>
              </w:rPr>
              <w:fldChar w:fldCharType="begin"/>
            </w:r>
            <w:r>
              <w:rPr>
                <w:noProof/>
                <w:webHidden/>
              </w:rPr>
              <w:instrText xml:space="preserve"> PAGEREF _Toc15287789 \h </w:instrText>
            </w:r>
            <w:r>
              <w:rPr>
                <w:noProof/>
                <w:webHidden/>
              </w:rPr>
            </w:r>
            <w:r>
              <w:rPr>
                <w:noProof/>
                <w:webHidden/>
              </w:rPr>
              <w:fldChar w:fldCharType="separate"/>
            </w:r>
            <w:r>
              <w:rPr>
                <w:noProof/>
                <w:webHidden/>
              </w:rPr>
              <w:t>6</w:t>
            </w:r>
            <w:r>
              <w:rPr>
                <w:noProof/>
                <w:webHidden/>
              </w:rPr>
              <w:fldChar w:fldCharType="end"/>
            </w:r>
          </w:hyperlink>
        </w:p>
        <w:p w14:paraId="18A0C309" w14:textId="10EDB256" w:rsidR="000D56E0" w:rsidRDefault="000D56E0">
          <w:pPr>
            <w:pStyle w:val="TOC2"/>
            <w:tabs>
              <w:tab w:val="left" w:pos="660"/>
              <w:tab w:val="right" w:leader="dot" w:pos="9016"/>
            </w:tabs>
            <w:rPr>
              <w:rFonts w:eastAsiaTheme="minorEastAsia"/>
              <w:noProof/>
              <w:lang w:eastAsia="en-AU"/>
            </w:rPr>
          </w:pPr>
          <w:hyperlink w:anchor="_Toc15287790" w:history="1">
            <w:r w:rsidRPr="00A81F10">
              <w:rPr>
                <w:rStyle w:val="Hyperlink"/>
                <w:noProof/>
              </w:rPr>
              <w:t>5.</w:t>
            </w:r>
            <w:r>
              <w:rPr>
                <w:rFonts w:eastAsiaTheme="minorEastAsia"/>
                <w:noProof/>
                <w:lang w:eastAsia="en-AU"/>
              </w:rPr>
              <w:tab/>
            </w:r>
            <w:r w:rsidRPr="00A81F10">
              <w:rPr>
                <w:rStyle w:val="Hyperlink"/>
                <w:noProof/>
              </w:rPr>
              <w:t>Some referendum proposals</w:t>
            </w:r>
            <w:r>
              <w:rPr>
                <w:noProof/>
                <w:webHidden/>
              </w:rPr>
              <w:tab/>
            </w:r>
            <w:r>
              <w:rPr>
                <w:noProof/>
                <w:webHidden/>
              </w:rPr>
              <w:fldChar w:fldCharType="begin"/>
            </w:r>
            <w:r>
              <w:rPr>
                <w:noProof/>
                <w:webHidden/>
              </w:rPr>
              <w:instrText xml:space="preserve"> PAGEREF _Toc15287790 \h </w:instrText>
            </w:r>
            <w:r>
              <w:rPr>
                <w:noProof/>
                <w:webHidden/>
              </w:rPr>
            </w:r>
            <w:r>
              <w:rPr>
                <w:noProof/>
                <w:webHidden/>
              </w:rPr>
              <w:fldChar w:fldCharType="separate"/>
            </w:r>
            <w:r>
              <w:rPr>
                <w:noProof/>
                <w:webHidden/>
              </w:rPr>
              <w:t>7</w:t>
            </w:r>
            <w:r>
              <w:rPr>
                <w:noProof/>
                <w:webHidden/>
              </w:rPr>
              <w:fldChar w:fldCharType="end"/>
            </w:r>
          </w:hyperlink>
        </w:p>
        <w:p w14:paraId="6A66E7CA" w14:textId="708C1D73" w:rsidR="000D56E0" w:rsidRDefault="000D56E0">
          <w:pPr>
            <w:pStyle w:val="TOC3"/>
            <w:tabs>
              <w:tab w:val="left" w:pos="1100"/>
              <w:tab w:val="right" w:leader="dot" w:pos="9016"/>
            </w:tabs>
            <w:rPr>
              <w:rFonts w:eastAsiaTheme="minorEastAsia"/>
              <w:noProof/>
              <w:lang w:eastAsia="en-AU"/>
            </w:rPr>
          </w:pPr>
          <w:hyperlink w:anchor="_Toc15287791" w:history="1">
            <w:r w:rsidRPr="00A81F10">
              <w:rPr>
                <w:rStyle w:val="Hyperlink"/>
                <w:noProof/>
              </w:rPr>
              <w:t>5.1</w:t>
            </w:r>
            <w:r>
              <w:rPr>
                <w:rFonts w:eastAsiaTheme="minorEastAsia"/>
                <w:noProof/>
                <w:lang w:eastAsia="en-AU"/>
              </w:rPr>
              <w:tab/>
            </w:r>
            <w:r w:rsidRPr="00A81F10">
              <w:rPr>
                <w:rStyle w:val="Hyperlink"/>
                <w:noProof/>
              </w:rPr>
              <w:t xml:space="preserve"> Fixed-terms of Parliament</w:t>
            </w:r>
            <w:r>
              <w:rPr>
                <w:noProof/>
                <w:webHidden/>
              </w:rPr>
              <w:tab/>
            </w:r>
            <w:r>
              <w:rPr>
                <w:noProof/>
                <w:webHidden/>
              </w:rPr>
              <w:fldChar w:fldCharType="begin"/>
            </w:r>
            <w:r>
              <w:rPr>
                <w:noProof/>
                <w:webHidden/>
              </w:rPr>
              <w:instrText xml:space="preserve"> PAGEREF _Toc15287791 \h </w:instrText>
            </w:r>
            <w:r>
              <w:rPr>
                <w:noProof/>
                <w:webHidden/>
              </w:rPr>
            </w:r>
            <w:r>
              <w:rPr>
                <w:noProof/>
                <w:webHidden/>
              </w:rPr>
              <w:fldChar w:fldCharType="separate"/>
            </w:r>
            <w:r>
              <w:rPr>
                <w:noProof/>
                <w:webHidden/>
              </w:rPr>
              <w:t>7</w:t>
            </w:r>
            <w:r>
              <w:rPr>
                <w:noProof/>
                <w:webHidden/>
              </w:rPr>
              <w:fldChar w:fldCharType="end"/>
            </w:r>
          </w:hyperlink>
        </w:p>
        <w:p w14:paraId="08D72114" w14:textId="23E5868E" w:rsidR="000D56E0" w:rsidRDefault="000D56E0">
          <w:pPr>
            <w:pStyle w:val="TOC3"/>
            <w:tabs>
              <w:tab w:val="left" w:pos="1100"/>
              <w:tab w:val="right" w:leader="dot" w:pos="9016"/>
            </w:tabs>
            <w:rPr>
              <w:rFonts w:eastAsiaTheme="minorEastAsia"/>
              <w:noProof/>
              <w:lang w:eastAsia="en-AU"/>
            </w:rPr>
          </w:pPr>
          <w:hyperlink w:anchor="_Toc15287792" w:history="1">
            <w:r w:rsidRPr="00A81F10">
              <w:rPr>
                <w:rStyle w:val="Hyperlink"/>
                <w:noProof/>
              </w:rPr>
              <w:t>5.2</w:t>
            </w:r>
            <w:r>
              <w:rPr>
                <w:rFonts w:eastAsiaTheme="minorEastAsia"/>
                <w:noProof/>
                <w:lang w:eastAsia="en-AU"/>
              </w:rPr>
              <w:tab/>
            </w:r>
            <w:r w:rsidRPr="00A81F10">
              <w:rPr>
                <w:rStyle w:val="Hyperlink"/>
                <w:noProof/>
              </w:rPr>
              <w:t>Republic</w:t>
            </w:r>
            <w:r>
              <w:rPr>
                <w:noProof/>
                <w:webHidden/>
              </w:rPr>
              <w:tab/>
            </w:r>
            <w:r>
              <w:rPr>
                <w:noProof/>
                <w:webHidden/>
              </w:rPr>
              <w:fldChar w:fldCharType="begin"/>
            </w:r>
            <w:r>
              <w:rPr>
                <w:noProof/>
                <w:webHidden/>
              </w:rPr>
              <w:instrText xml:space="preserve"> PAGEREF _Toc15287792 \h </w:instrText>
            </w:r>
            <w:r>
              <w:rPr>
                <w:noProof/>
                <w:webHidden/>
              </w:rPr>
            </w:r>
            <w:r>
              <w:rPr>
                <w:noProof/>
                <w:webHidden/>
              </w:rPr>
              <w:fldChar w:fldCharType="separate"/>
            </w:r>
            <w:r>
              <w:rPr>
                <w:noProof/>
                <w:webHidden/>
              </w:rPr>
              <w:t>7</w:t>
            </w:r>
            <w:r>
              <w:rPr>
                <w:noProof/>
                <w:webHidden/>
              </w:rPr>
              <w:fldChar w:fldCharType="end"/>
            </w:r>
          </w:hyperlink>
        </w:p>
        <w:p w14:paraId="401CB6EF" w14:textId="61B80830" w:rsidR="000D56E0" w:rsidRDefault="000D56E0">
          <w:pPr>
            <w:pStyle w:val="TOC3"/>
            <w:tabs>
              <w:tab w:val="left" w:pos="1100"/>
              <w:tab w:val="right" w:leader="dot" w:pos="9016"/>
            </w:tabs>
            <w:rPr>
              <w:rFonts w:eastAsiaTheme="minorEastAsia"/>
              <w:noProof/>
              <w:lang w:eastAsia="en-AU"/>
            </w:rPr>
          </w:pPr>
          <w:hyperlink w:anchor="_Toc15287793" w:history="1">
            <w:r w:rsidRPr="00A81F10">
              <w:rPr>
                <w:rStyle w:val="Hyperlink"/>
                <w:noProof/>
              </w:rPr>
              <w:t>5.3</w:t>
            </w:r>
            <w:r>
              <w:rPr>
                <w:rFonts w:eastAsiaTheme="minorEastAsia"/>
                <w:noProof/>
                <w:lang w:eastAsia="en-AU"/>
              </w:rPr>
              <w:tab/>
            </w:r>
            <w:r w:rsidRPr="00A81F10">
              <w:rPr>
                <w:rStyle w:val="Hyperlink"/>
                <w:noProof/>
              </w:rPr>
              <w:t>Indigenous matters</w:t>
            </w:r>
            <w:r>
              <w:rPr>
                <w:noProof/>
                <w:webHidden/>
              </w:rPr>
              <w:tab/>
            </w:r>
            <w:r>
              <w:rPr>
                <w:noProof/>
                <w:webHidden/>
              </w:rPr>
              <w:fldChar w:fldCharType="begin"/>
            </w:r>
            <w:r>
              <w:rPr>
                <w:noProof/>
                <w:webHidden/>
              </w:rPr>
              <w:instrText xml:space="preserve"> PAGEREF _Toc15287793 \h </w:instrText>
            </w:r>
            <w:r>
              <w:rPr>
                <w:noProof/>
                <w:webHidden/>
              </w:rPr>
            </w:r>
            <w:r>
              <w:rPr>
                <w:noProof/>
                <w:webHidden/>
              </w:rPr>
              <w:fldChar w:fldCharType="separate"/>
            </w:r>
            <w:r>
              <w:rPr>
                <w:noProof/>
                <w:webHidden/>
              </w:rPr>
              <w:t>7</w:t>
            </w:r>
            <w:r>
              <w:rPr>
                <w:noProof/>
                <w:webHidden/>
              </w:rPr>
              <w:fldChar w:fldCharType="end"/>
            </w:r>
          </w:hyperlink>
        </w:p>
        <w:p w14:paraId="28A2D148" w14:textId="701B8DE1" w:rsidR="000D56E0" w:rsidRDefault="000D56E0">
          <w:pPr>
            <w:pStyle w:val="TOC3"/>
            <w:tabs>
              <w:tab w:val="left" w:pos="1100"/>
              <w:tab w:val="right" w:leader="dot" w:pos="9016"/>
            </w:tabs>
            <w:rPr>
              <w:rFonts w:eastAsiaTheme="minorEastAsia"/>
              <w:noProof/>
              <w:lang w:eastAsia="en-AU"/>
            </w:rPr>
          </w:pPr>
          <w:hyperlink w:anchor="_Toc15287794" w:history="1">
            <w:r w:rsidRPr="00A81F10">
              <w:rPr>
                <w:rStyle w:val="Hyperlink"/>
                <w:noProof/>
              </w:rPr>
              <w:t>5.4</w:t>
            </w:r>
            <w:r>
              <w:rPr>
                <w:rFonts w:eastAsiaTheme="minorEastAsia"/>
                <w:noProof/>
                <w:lang w:eastAsia="en-AU"/>
              </w:rPr>
              <w:tab/>
            </w:r>
            <w:r w:rsidRPr="00A81F10">
              <w:rPr>
                <w:rStyle w:val="Hyperlink"/>
                <w:noProof/>
              </w:rPr>
              <w:t>Preamble</w:t>
            </w:r>
            <w:r>
              <w:rPr>
                <w:noProof/>
                <w:webHidden/>
              </w:rPr>
              <w:tab/>
            </w:r>
            <w:r>
              <w:rPr>
                <w:noProof/>
                <w:webHidden/>
              </w:rPr>
              <w:fldChar w:fldCharType="begin"/>
            </w:r>
            <w:r>
              <w:rPr>
                <w:noProof/>
                <w:webHidden/>
              </w:rPr>
              <w:instrText xml:space="preserve"> PAGEREF _Toc15287794 \h </w:instrText>
            </w:r>
            <w:r>
              <w:rPr>
                <w:noProof/>
                <w:webHidden/>
              </w:rPr>
            </w:r>
            <w:r>
              <w:rPr>
                <w:noProof/>
                <w:webHidden/>
              </w:rPr>
              <w:fldChar w:fldCharType="separate"/>
            </w:r>
            <w:r>
              <w:rPr>
                <w:noProof/>
                <w:webHidden/>
              </w:rPr>
              <w:t>9</w:t>
            </w:r>
            <w:r>
              <w:rPr>
                <w:noProof/>
                <w:webHidden/>
              </w:rPr>
              <w:fldChar w:fldCharType="end"/>
            </w:r>
          </w:hyperlink>
        </w:p>
        <w:p w14:paraId="09438490" w14:textId="016E6FC7" w:rsidR="000D56E0" w:rsidRDefault="000D56E0">
          <w:pPr>
            <w:pStyle w:val="TOC3"/>
            <w:tabs>
              <w:tab w:val="left" w:pos="1100"/>
              <w:tab w:val="right" w:leader="dot" w:pos="9016"/>
            </w:tabs>
            <w:rPr>
              <w:rFonts w:eastAsiaTheme="minorEastAsia"/>
              <w:noProof/>
              <w:lang w:eastAsia="en-AU"/>
            </w:rPr>
          </w:pPr>
          <w:hyperlink w:anchor="_Toc15287795" w:history="1">
            <w:r w:rsidRPr="00A81F10">
              <w:rPr>
                <w:rStyle w:val="Hyperlink"/>
                <w:noProof/>
              </w:rPr>
              <w:t>5.5</w:t>
            </w:r>
            <w:r>
              <w:rPr>
                <w:rFonts w:eastAsiaTheme="minorEastAsia"/>
                <w:noProof/>
                <w:lang w:eastAsia="en-AU"/>
              </w:rPr>
              <w:tab/>
            </w:r>
            <w:r w:rsidRPr="00A81F10">
              <w:rPr>
                <w:rStyle w:val="Hyperlink"/>
                <w:noProof/>
              </w:rPr>
              <w:t>Local government</w:t>
            </w:r>
            <w:r>
              <w:rPr>
                <w:noProof/>
                <w:webHidden/>
              </w:rPr>
              <w:tab/>
            </w:r>
            <w:r>
              <w:rPr>
                <w:noProof/>
                <w:webHidden/>
              </w:rPr>
              <w:fldChar w:fldCharType="begin"/>
            </w:r>
            <w:r>
              <w:rPr>
                <w:noProof/>
                <w:webHidden/>
              </w:rPr>
              <w:instrText xml:space="preserve"> PAGEREF _Toc15287795 \h </w:instrText>
            </w:r>
            <w:r>
              <w:rPr>
                <w:noProof/>
                <w:webHidden/>
              </w:rPr>
            </w:r>
            <w:r>
              <w:rPr>
                <w:noProof/>
                <w:webHidden/>
              </w:rPr>
              <w:fldChar w:fldCharType="separate"/>
            </w:r>
            <w:r>
              <w:rPr>
                <w:noProof/>
                <w:webHidden/>
              </w:rPr>
              <w:t>10</w:t>
            </w:r>
            <w:r>
              <w:rPr>
                <w:noProof/>
                <w:webHidden/>
              </w:rPr>
              <w:fldChar w:fldCharType="end"/>
            </w:r>
          </w:hyperlink>
        </w:p>
        <w:p w14:paraId="7E412DC6" w14:textId="01C6023B" w:rsidR="000D56E0" w:rsidRDefault="000D56E0">
          <w:pPr>
            <w:pStyle w:val="TOC3"/>
            <w:tabs>
              <w:tab w:val="left" w:pos="1100"/>
              <w:tab w:val="right" w:leader="dot" w:pos="9016"/>
            </w:tabs>
            <w:rPr>
              <w:rFonts w:eastAsiaTheme="minorEastAsia"/>
              <w:noProof/>
              <w:lang w:eastAsia="en-AU"/>
            </w:rPr>
          </w:pPr>
          <w:hyperlink w:anchor="_Toc15287796" w:history="1">
            <w:r w:rsidRPr="00A81F10">
              <w:rPr>
                <w:rStyle w:val="Hyperlink"/>
                <w:noProof/>
              </w:rPr>
              <w:t>5.6</w:t>
            </w:r>
            <w:r>
              <w:rPr>
                <w:rFonts w:eastAsiaTheme="minorEastAsia"/>
                <w:noProof/>
                <w:lang w:eastAsia="en-AU"/>
              </w:rPr>
              <w:tab/>
            </w:r>
            <w:r w:rsidRPr="00A81F10">
              <w:rPr>
                <w:rStyle w:val="Hyperlink"/>
                <w:noProof/>
              </w:rPr>
              <w:t>Regions, cities</w:t>
            </w:r>
            <w:r>
              <w:rPr>
                <w:noProof/>
                <w:webHidden/>
              </w:rPr>
              <w:tab/>
            </w:r>
            <w:r>
              <w:rPr>
                <w:noProof/>
                <w:webHidden/>
              </w:rPr>
              <w:fldChar w:fldCharType="begin"/>
            </w:r>
            <w:r>
              <w:rPr>
                <w:noProof/>
                <w:webHidden/>
              </w:rPr>
              <w:instrText xml:space="preserve"> PAGEREF _Toc15287796 \h </w:instrText>
            </w:r>
            <w:r>
              <w:rPr>
                <w:noProof/>
                <w:webHidden/>
              </w:rPr>
            </w:r>
            <w:r>
              <w:rPr>
                <w:noProof/>
                <w:webHidden/>
              </w:rPr>
              <w:fldChar w:fldCharType="separate"/>
            </w:r>
            <w:r>
              <w:rPr>
                <w:noProof/>
                <w:webHidden/>
              </w:rPr>
              <w:t>10</w:t>
            </w:r>
            <w:r>
              <w:rPr>
                <w:noProof/>
                <w:webHidden/>
              </w:rPr>
              <w:fldChar w:fldCharType="end"/>
            </w:r>
          </w:hyperlink>
        </w:p>
        <w:p w14:paraId="2585FE3E" w14:textId="64CEBEC3" w:rsidR="000D56E0" w:rsidRDefault="000D56E0">
          <w:pPr>
            <w:pStyle w:val="TOC3"/>
            <w:tabs>
              <w:tab w:val="left" w:pos="1100"/>
              <w:tab w:val="right" w:leader="dot" w:pos="9016"/>
            </w:tabs>
            <w:rPr>
              <w:rFonts w:eastAsiaTheme="minorEastAsia"/>
              <w:noProof/>
              <w:lang w:eastAsia="en-AU"/>
            </w:rPr>
          </w:pPr>
          <w:hyperlink w:anchor="_Toc15287797" w:history="1">
            <w:r w:rsidRPr="00A81F10">
              <w:rPr>
                <w:rStyle w:val="Hyperlink"/>
                <w:noProof/>
              </w:rPr>
              <w:t xml:space="preserve">5.7 </w:t>
            </w:r>
            <w:r>
              <w:rPr>
                <w:rFonts w:eastAsiaTheme="minorEastAsia"/>
                <w:noProof/>
                <w:lang w:eastAsia="en-AU"/>
              </w:rPr>
              <w:tab/>
            </w:r>
            <w:r w:rsidRPr="00A81F10">
              <w:rPr>
                <w:rStyle w:val="Hyperlink"/>
                <w:noProof/>
              </w:rPr>
              <w:t>Transport and related infrastructure</w:t>
            </w:r>
            <w:r>
              <w:rPr>
                <w:noProof/>
                <w:webHidden/>
              </w:rPr>
              <w:tab/>
            </w:r>
            <w:r>
              <w:rPr>
                <w:noProof/>
                <w:webHidden/>
              </w:rPr>
              <w:fldChar w:fldCharType="begin"/>
            </w:r>
            <w:r>
              <w:rPr>
                <w:noProof/>
                <w:webHidden/>
              </w:rPr>
              <w:instrText xml:space="preserve"> PAGEREF _Toc15287797 \h </w:instrText>
            </w:r>
            <w:r>
              <w:rPr>
                <w:noProof/>
                <w:webHidden/>
              </w:rPr>
            </w:r>
            <w:r>
              <w:rPr>
                <w:noProof/>
                <w:webHidden/>
              </w:rPr>
              <w:fldChar w:fldCharType="separate"/>
            </w:r>
            <w:r>
              <w:rPr>
                <w:noProof/>
                <w:webHidden/>
              </w:rPr>
              <w:t>11</w:t>
            </w:r>
            <w:r>
              <w:rPr>
                <w:noProof/>
                <w:webHidden/>
              </w:rPr>
              <w:fldChar w:fldCharType="end"/>
            </w:r>
          </w:hyperlink>
        </w:p>
        <w:p w14:paraId="20774700" w14:textId="29054A62" w:rsidR="000D56E0" w:rsidRDefault="000D56E0">
          <w:pPr>
            <w:pStyle w:val="TOC2"/>
            <w:tabs>
              <w:tab w:val="left" w:pos="660"/>
              <w:tab w:val="right" w:leader="dot" w:pos="9016"/>
            </w:tabs>
            <w:rPr>
              <w:rFonts w:eastAsiaTheme="minorEastAsia"/>
              <w:noProof/>
              <w:lang w:eastAsia="en-AU"/>
            </w:rPr>
          </w:pPr>
          <w:hyperlink w:anchor="_Toc15287798" w:history="1">
            <w:r w:rsidRPr="00A81F10">
              <w:rPr>
                <w:rStyle w:val="Hyperlink"/>
                <w:noProof/>
              </w:rPr>
              <w:t>6.</w:t>
            </w:r>
            <w:r>
              <w:rPr>
                <w:rFonts w:eastAsiaTheme="minorEastAsia"/>
                <w:noProof/>
                <w:lang w:eastAsia="en-AU"/>
              </w:rPr>
              <w:tab/>
            </w:r>
            <w:r w:rsidRPr="00A81F10">
              <w:rPr>
                <w:rStyle w:val="Hyperlink"/>
                <w:noProof/>
              </w:rPr>
              <w:t>Conclusions</w:t>
            </w:r>
            <w:r>
              <w:rPr>
                <w:noProof/>
                <w:webHidden/>
              </w:rPr>
              <w:tab/>
            </w:r>
            <w:r>
              <w:rPr>
                <w:noProof/>
                <w:webHidden/>
              </w:rPr>
              <w:fldChar w:fldCharType="begin"/>
            </w:r>
            <w:r>
              <w:rPr>
                <w:noProof/>
                <w:webHidden/>
              </w:rPr>
              <w:instrText xml:space="preserve"> PAGEREF _Toc15287798 \h </w:instrText>
            </w:r>
            <w:r>
              <w:rPr>
                <w:noProof/>
                <w:webHidden/>
              </w:rPr>
            </w:r>
            <w:r>
              <w:rPr>
                <w:noProof/>
                <w:webHidden/>
              </w:rPr>
              <w:fldChar w:fldCharType="separate"/>
            </w:r>
            <w:r>
              <w:rPr>
                <w:noProof/>
                <w:webHidden/>
              </w:rPr>
              <w:t>11</w:t>
            </w:r>
            <w:r>
              <w:rPr>
                <w:noProof/>
                <w:webHidden/>
              </w:rPr>
              <w:fldChar w:fldCharType="end"/>
            </w:r>
          </w:hyperlink>
        </w:p>
        <w:p w14:paraId="51602A0F" w14:textId="6C5D7630" w:rsidR="00687A0A" w:rsidRDefault="00687A0A">
          <w:r>
            <w:rPr>
              <w:b/>
              <w:bCs/>
              <w:noProof/>
            </w:rPr>
            <w:fldChar w:fldCharType="end"/>
          </w:r>
        </w:p>
      </w:sdtContent>
    </w:sdt>
    <w:p w14:paraId="62EDB5FA" w14:textId="77777777" w:rsidR="00687A0A" w:rsidRDefault="00687A0A">
      <w:r>
        <w:br w:type="page"/>
      </w:r>
    </w:p>
    <w:p w14:paraId="5AE3B207" w14:textId="540E862C" w:rsidR="008056C4" w:rsidRDefault="00D03621" w:rsidP="00D03621">
      <w:pPr>
        <w:pStyle w:val="Heading2"/>
      </w:pPr>
      <w:bookmarkStart w:id="3" w:name="_Toc15287782"/>
      <w:r w:rsidRPr="00D03621">
        <w:lastRenderedPageBreak/>
        <w:t>1.</w:t>
      </w:r>
      <w:r>
        <w:tab/>
      </w:r>
      <w:r w:rsidR="008056C4">
        <w:t>Introduction</w:t>
      </w:r>
      <w:bookmarkEnd w:id="3"/>
    </w:p>
    <w:p w14:paraId="614DDCB6" w14:textId="4E4F5FDC" w:rsidR="00183D06" w:rsidRDefault="00183D06">
      <w:r>
        <w:t>The 2019 Federal election saw pro</w:t>
      </w:r>
      <w:r w:rsidR="002C2293">
        <w:t>posals</w:t>
      </w:r>
      <w:r>
        <w:t xml:space="preserve"> the Commonwealth is unable to fulfil because of Australia’s system of Government established by the Constitution.  Australian referendums on substantive Commonwealth powers might be needed to enable </w:t>
      </w:r>
      <w:r w:rsidR="00AD60F8">
        <w:t>such</w:t>
      </w:r>
      <w:r>
        <w:t xml:space="preserve"> promises to be </w:t>
      </w:r>
      <w:r w:rsidR="00AD60F8">
        <w:t>kept</w:t>
      </w:r>
      <w:r>
        <w:t>.</w:t>
      </w:r>
    </w:p>
    <w:p w14:paraId="5737DF9D" w14:textId="048E92DE" w:rsidR="00B946BB" w:rsidRDefault="00AD3AED">
      <w:r>
        <w:t xml:space="preserve">Instead, </w:t>
      </w:r>
      <w:r w:rsidR="00DA06FC">
        <w:t>Labor promise</w:t>
      </w:r>
      <w:r w:rsidR="00F77329">
        <w:t>d</w:t>
      </w:r>
      <w:r w:rsidR="00DA06FC">
        <w:t xml:space="preserve"> referendums on: Australia becoming a republic; Indigenous recognition; four-year Parliamentary terms.  </w:t>
      </w:r>
      <w:r w:rsidR="00B946BB">
        <w:t>Other parties did not bother with referendum topics.</w:t>
      </w:r>
      <w:r w:rsidR="00145792">
        <w:rPr>
          <w:rStyle w:val="EndnoteReference"/>
        </w:rPr>
        <w:endnoteReference w:id="1"/>
      </w:r>
    </w:p>
    <w:p w14:paraId="2E869BD7" w14:textId="20D61081" w:rsidR="00183D06" w:rsidRDefault="00183D06">
      <w:r>
        <w:t xml:space="preserve">The re-elected Coalition Government recently signalled an intention </w:t>
      </w:r>
      <w:r w:rsidR="002C2293">
        <w:t>for</w:t>
      </w:r>
      <w:r>
        <w:t xml:space="preserve"> an Australian referendum on Indigenous recognition </w:t>
      </w:r>
      <w:r w:rsidR="002C2293">
        <w:t xml:space="preserve">to </w:t>
      </w:r>
      <w:r>
        <w:t>be held within three years.</w:t>
      </w:r>
      <w:r>
        <w:rPr>
          <w:rStyle w:val="EndnoteReference"/>
        </w:rPr>
        <w:endnoteReference w:id="2"/>
      </w:r>
    </w:p>
    <w:p w14:paraId="7DD69404" w14:textId="1FAA9DEF" w:rsidR="00F0591C" w:rsidRDefault="007473D6">
      <w:r>
        <w:t>A</w:t>
      </w:r>
      <w:r w:rsidR="00B414EC">
        <w:t xml:space="preserve"> charitable interpretation of the </w:t>
      </w:r>
      <w:r w:rsidR="00DA06FC">
        <w:t xml:space="preserve">failure to propose referendums </w:t>
      </w:r>
      <w:r w:rsidR="00AD60F8">
        <w:t>on</w:t>
      </w:r>
      <w:r w:rsidR="00F77329">
        <w:t xml:space="preserve"> </w:t>
      </w:r>
      <w:r w:rsidR="00DA06FC">
        <w:t xml:space="preserve">substantive </w:t>
      </w:r>
      <w:r w:rsidR="00B414EC">
        <w:t xml:space="preserve">powers is wishful groupthink.  Other explanations include </w:t>
      </w:r>
      <w:r w:rsidR="00DA06FC">
        <w:t xml:space="preserve">democratic </w:t>
      </w:r>
      <w:r w:rsidR="00AD60F8">
        <w:t>ignorance</w:t>
      </w:r>
      <w:r w:rsidR="00B946BB">
        <w:t>,</w:t>
      </w:r>
      <w:r w:rsidR="00DA06FC">
        <w:t xml:space="preserve"> </w:t>
      </w:r>
      <w:r w:rsidR="00F77329">
        <w:t>myopi</w:t>
      </w:r>
      <w:r w:rsidR="00AD60F8">
        <w:t>a</w:t>
      </w:r>
      <w:r w:rsidR="00B946BB">
        <w:t xml:space="preserve"> and </w:t>
      </w:r>
      <w:r w:rsidR="00F77329">
        <w:t xml:space="preserve">absence of </w:t>
      </w:r>
      <w:r w:rsidR="00AD3AED">
        <w:t>real</w:t>
      </w:r>
      <w:r w:rsidR="00F77329">
        <w:t xml:space="preserve"> leaders</w:t>
      </w:r>
      <w:r w:rsidR="00B946BB">
        <w:t>.</w:t>
      </w:r>
    </w:p>
    <w:p w14:paraId="6EA11D14" w14:textId="3DC253A7" w:rsidR="008C389E" w:rsidRDefault="00B33AB0">
      <w:r>
        <w:t>Several articles at the jadebeagle</w:t>
      </w:r>
      <w:r w:rsidR="002C2293">
        <w:t>.com</w:t>
      </w:r>
      <w:r>
        <w:t xml:space="preserve"> </w:t>
      </w:r>
      <w:r w:rsidR="00F45E58">
        <w:t>c</w:t>
      </w:r>
      <w:r>
        <w:t>hallenged proponents of Commonwe</w:t>
      </w:r>
      <w:r w:rsidR="00AD60F8">
        <w:t>a</w:t>
      </w:r>
      <w:r>
        <w:t xml:space="preserve">lth roles for cities </w:t>
      </w:r>
      <w:r w:rsidR="00AD60F8">
        <w:t xml:space="preserve">etc. </w:t>
      </w:r>
      <w:r>
        <w:t>to draft referendum proposal</w:t>
      </w:r>
      <w:r w:rsidR="00F45E58">
        <w:t>s</w:t>
      </w:r>
      <w:r>
        <w:t xml:space="preserve">.  </w:t>
      </w:r>
      <w:r w:rsidR="00F77329">
        <w:t>D</w:t>
      </w:r>
      <w:r>
        <w:t>rafting would clarify what th</w:t>
      </w:r>
      <w:r w:rsidR="008C389E">
        <w:t>eir</w:t>
      </w:r>
      <w:r>
        <w:t xml:space="preserve"> wishes might be. </w:t>
      </w:r>
    </w:p>
    <w:p w14:paraId="74A0AE2B" w14:textId="33DBDB43" w:rsidR="00AC76C3" w:rsidRDefault="008C389E">
      <w:r>
        <w:t>To progress th</w:t>
      </w:r>
      <w:r w:rsidR="00AD60F8">
        <w:t>at</w:t>
      </w:r>
      <w:r>
        <w:t xml:space="preserve"> challenge, this article looks at some matters pertaining to Australian referendums.  </w:t>
      </w:r>
      <w:r w:rsidR="0009142E">
        <w:t xml:space="preserve"> </w:t>
      </w:r>
    </w:p>
    <w:p w14:paraId="2458B59B" w14:textId="0AAE98C0" w:rsidR="00183D06" w:rsidRDefault="0009142E">
      <w:r>
        <w:t>A successful referendum change</w:t>
      </w:r>
      <w:r w:rsidR="00AD60F8">
        <w:t>s</w:t>
      </w:r>
      <w:r>
        <w:t xml:space="preserve"> the </w:t>
      </w:r>
      <w:r w:rsidR="00183D06">
        <w:t xml:space="preserve">Australian </w:t>
      </w:r>
      <w:r>
        <w:t>Constitution.  The Constitution largely determines the distribution of power within the Federation</w:t>
      </w:r>
      <w:r w:rsidR="00183D06">
        <w:t>:</w:t>
      </w:r>
      <w:r>
        <w:t xml:space="preserve"> between Commonwealth and States</w:t>
      </w:r>
      <w:r w:rsidR="00183D06">
        <w:t>;</w:t>
      </w:r>
      <w:r>
        <w:t xml:space="preserve"> within the Commonwealth </w:t>
      </w:r>
      <w:r w:rsidR="00AC76C3">
        <w:t>among</w:t>
      </w:r>
      <w:r>
        <w:t xml:space="preserve"> Parliament, Government and judiciary.  </w:t>
      </w:r>
      <w:r w:rsidR="00AD60F8">
        <w:t>A</w:t>
      </w:r>
      <w:r>
        <w:t xml:space="preserve"> referendum </w:t>
      </w:r>
      <w:r w:rsidR="00AD60F8">
        <w:t>allows</w:t>
      </w:r>
      <w:r>
        <w:t xml:space="preserve"> the public to </w:t>
      </w:r>
      <w:r w:rsidR="00F77329">
        <w:t>re-</w:t>
      </w:r>
      <w:r>
        <w:t>consider th</w:t>
      </w:r>
      <w:r w:rsidR="00AD60F8">
        <w:t>is</w:t>
      </w:r>
      <w:r>
        <w:t xml:space="preserve"> </w:t>
      </w:r>
      <w:r w:rsidR="00AD60F8">
        <w:t>distribution</w:t>
      </w:r>
      <w:r>
        <w:t xml:space="preserve">.  </w:t>
      </w:r>
    </w:p>
    <w:p w14:paraId="61D3FA5F" w14:textId="0DC8EA71" w:rsidR="008C389E" w:rsidRDefault="0009142E">
      <w:r>
        <w:t>The objective case to support a referendum proposal has two essential elements: distribution of power needs to be changed; the pro</w:t>
      </w:r>
      <w:r w:rsidR="00AD60F8">
        <w:t>posal</w:t>
      </w:r>
      <w:r>
        <w:t xml:space="preserve"> satisfies this need.  </w:t>
      </w:r>
    </w:p>
    <w:p w14:paraId="0684BCFB" w14:textId="2705C246" w:rsidR="0009142E" w:rsidRDefault="0009142E">
      <w:r>
        <w:t xml:space="preserve">Power is exercised through legislation, administrative actions and court decisions.   </w:t>
      </w:r>
      <w:r w:rsidR="00AC76C3">
        <w:t xml:space="preserve">Alteration of power has indirect but </w:t>
      </w:r>
      <w:r w:rsidR="00757C43">
        <w:t xml:space="preserve">durable and </w:t>
      </w:r>
      <w:r w:rsidR="00AC76C3">
        <w:t xml:space="preserve">pervasive effects.  </w:t>
      </w:r>
      <w:r w:rsidR="00757C43">
        <w:t>Only rarely could</w:t>
      </w:r>
      <w:r w:rsidR="00AC76C3">
        <w:t xml:space="preserve"> a crisis justify </w:t>
      </w:r>
      <w:r w:rsidR="00757C43">
        <w:t xml:space="preserve">such alteration </w:t>
      </w:r>
      <w:r w:rsidR="00AC76C3">
        <w:t xml:space="preserve">and therefore a </w:t>
      </w:r>
      <w:r w:rsidR="005A4746">
        <w:t xml:space="preserve">(urgent) </w:t>
      </w:r>
      <w:r w:rsidR="00AC76C3">
        <w:t>referendum.  Rather, justification</w:t>
      </w:r>
      <w:r w:rsidR="00757C43">
        <w:t>s</w:t>
      </w:r>
      <w:r w:rsidR="00AC76C3">
        <w:t xml:space="preserve"> need to be </w:t>
      </w:r>
      <w:r w:rsidR="00AD3AED">
        <w:t xml:space="preserve">in </w:t>
      </w:r>
      <w:r w:rsidR="00AC76C3">
        <w:t xml:space="preserve">systemic deficiencies evidenced by patterns of poor behaviour or results across Australia </w:t>
      </w:r>
      <w:r w:rsidR="00AD60F8">
        <w:t xml:space="preserve">over </w:t>
      </w:r>
      <w:r w:rsidR="005A4746">
        <w:t>an extended period</w:t>
      </w:r>
      <w:r w:rsidR="00AC76C3">
        <w:t xml:space="preserve">.  </w:t>
      </w:r>
    </w:p>
    <w:p w14:paraId="4C191757" w14:textId="58D8911E" w:rsidR="008C389E" w:rsidRDefault="008C389E">
      <w:r>
        <w:t>Others, notably Williams and Hume, concentrated on matters relevant to the success or failure of such referendums.  While they note</w:t>
      </w:r>
      <w:r w:rsidR="00EA0399">
        <w:t>d</w:t>
      </w:r>
      <w:r>
        <w:t xml:space="preserve"> the low success rate of referendums in Australia, they </w:t>
      </w:r>
      <w:r w:rsidR="00EA0399">
        <w:t>we</w:t>
      </w:r>
      <w:r>
        <w:t>re optimistic for the prospects of better constructed, presented and more necessary proposals.</w:t>
      </w:r>
      <w:r>
        <w:rPr>
          <w:rStyle w:val="EndnoteReference"/>
        </w:rPr>
        <w:endnoteReference w:id="3"/>
      </w:r>
      <w:r>
        <w:t xml:space="preserve"> </w:t>
      </w:r>
    </w:p>
    <w:p w14:paraId="66B292DD" w14:textId="77777777" w:rsidR="008C389E" w:rsidRDefault="008C389E">
      <w:r>
        <w:t>Rather than revisit that, this article offers thoughts on what subjects should be put to referendums.</w:t>
      </w:r>
    </w:p>
    <w:p w14:paraId="6FEBABDF" w14:textId="4F951C09" w:rsidR="00F45E58" w:rsidRDefault="008C389E">
      <w:r>
        <w:t xml:space="preserve">Section 2 </w:t>
      </w:r>
      <w:r w:rsidR="00AD60F8">
        <w:t>outlines</w:t>
      </w:r>
      <w:r>
        <w:t xml:space="preserve"> </w:t>
      </w:r>
      <w:r w:rsidR="00F45E58">
        <w:t>ways t</w:t>
      </w:r>
      <w:r>
        <w:t xml:space="preserve">o bring Commonwealth practice back to the spirit of Australian law.  </w:t>
      </w:r>
    </w:p>
    <w:p w14:paraId="68A80EBA" w14:textId="0A23A4C4" w:rsidR="008C389E" w:rsidRDefault="00F45E58">
      <w:r>
        <w:t xml:space="preserve">Section 3 </w:t>
      </w:r>
      <w:r w:rsidR="00AD60F8">
        <w:t>sets</w:t>
      </w:r>
      <w:r>
        <w:t xml:space="preserve"> some background matters for referendums.</w:t>
      </w:r>
    </w:p>
    <w:p w14:paraId="657F39E3" w14:textId="54AE66AB" w:rsidR="006E7E9E" w:rsidRDefault="008C389E">
      <w:r>
        <w:t xml:space="preserve">Section </w:t>
      </w:r>
      <w:r w:rsidR="00F45E58">
        <w:t xml:space="preserve">4 proposes criteria to identify Commonwealth </w:t>
      </w:r>
      <w:r w:rsidR="003F4AB3">
        <w:t>issues</w:t>
      </w:r>
      <w:r w:rsidR="00F45E58">
        <w:t xml:space="preserve"> </w:t>
      </w:r>
      <w:r w:rsidR="003F4AB3">
        <w:t>to</w:t>
      </w:r>
      <w:r w:rsidR="00F45E58">
        <w:t xml:space="preserve"> be addressed by referendum.  </w:t>
      </w:r>
    </w:p>
    <w:p w14:paraId="7E6CE0BE" w14:textId="15CF0A76" w:rsidR="009555BB" w:rsidRDefault="006E7E9E">
      <w:r>
        <w:t>Section 5</w:t>
      </w:r>
      <w:r w:rsidR="00F45E58">
        <w:t xml:space="preserve"> applie</w:t>
      </w:r>
      <w:r w:rsidR="00AC76C3">
        <w:t>s</w:t>
      </w:r>
      <w:r w:rsidR="00F45E58">
        <w:t xml:space="preserve"> these criteria to: matters </w:t>
      </w:r>
      <w:r w:rsidR="009555BB">
        <w:t>that have been under consideration for referendums</w:t>
      </w:r>
      <w:r w:rsidR="00F45E58">
        <w:t>; some extra-Constitutional Commonwealth practices.</w:t>
      </w:r>
    </w:p>
    <w:p w14:paraId="43D8F753" w14:textId="4E30591A" w:rsidR="00F0591C" w:rsidRDefault="002C1EFD">
      <w:r>
        <w:t>The Appendices give b</w:t>
      </w:r>
      <w:r w:rsidR="00BA7A3B">
        <w:t>ackground</w:t>
      </w:r>
      <w:r w:rsidR="009555BB">
        <w:t xml:space="preserve"> to section </w:t>
      </w:r>
      <w:r w:rsidR="003F4AB3">
        <w:t>5</w:t>
      </w:r>
      <w:r>
        <w:t>.</w:t>
      </w:r>
      <w:r w:rsidR="003F4AB3">
        <w:t xml:space="preserve">  </w:t>
      </w:r>
      <w:r w:rsidR="009555BB">
        <w:t>Comments and corrections are welcome.</w:t>
      </w:r>
      <w:r w:rsidR="00B33AB0">
        <w:t xml:space="preserve"> </w:t>
      </w:r>
      <w:r w:rsidR="00F0591C">
        <w:br w:type="page"/>
      </w:r>
    </w:p>
    <w:p w14:paraId="2DFBE4D0" w14:textId="00CA7366" w:rsidR="002A7D08" w:rsidRDefault="00D03621" w:rsidP="008056C4">
      <w:pPr>
        <w:pStyle w:val="Heading2"/>
      </w:pPr>
      <w:bookmarkStart w:id="4" w:name="_Toc15287783"/>
      <w:r>
        <w:lastRenderedPageBreak/>
        <w:t>2.</w:t>
      </w:r>
      <w:r>
        <w:tab/>
      </w:r>
      <w:r w:rsidR="008056C4">
        <w:t>Bringing promises back to legality</w:t>
      </w:r>
      <w:bookmarkEnd w:id="4"/>
      <w:r w:rsidR="002A7D08">
        <w:t xml:space="preserve">  </w:t>
      </w:r>
    </w:p>
    <w:p w14:paraId="42220036" w14:textId="77777777" w:rsidR="004E4362" w:rsidRDefault="00906259" w:rsidP="00906259">
      <w:pPr>
        <w:pStyle w:val="Heading3"/>
      </w:pPr>
      <w:bookmarkStart w:id="5" w:name="_Toc15287784"/>
      <w:r>
        <w:t>2.1</w:t>
      </w:r>
      <w:r>
        <w:tab/>
      </w:r>
      <w:r w:rsidR="004E4362">
        <w:t>Issues</w:t>
      </w:r>
      <w:bookmarkEnd w:id="5"/>
    </w:p>
    <w:p w14:paraId="570CDCD1" w14:textId="7461A05E" w:rsidR="004E4362" w:rsidRDefault="004E4362" w:rsidP="004E4362">
      <w:r>
        <w:t>The 2019 Federal election campaign saw all manner of promises for the Commonwealth Government to do this or that.</w:t>
      </w:r>
      <w:r w:rsidR="00D61145">
        <w:t xml:space="preserve">  </w:t>
      </w:r>
      <w:r>
        <w:t>The usual objection to such promises is they are local pork barrelling.  Commonwealth attention and public monies are diverted from important national tasks to toilet block construction, sport facilities and pothole fixing.</w:t>
      </w:r>
      <w:r w:rsidR="008A5F02">
        <w:t xml:space="preserve">  And the carpark at Woy Woy.</w:t>
      </w:r>
      <w:r>
        <w:t xml:space="preserve">  </w:t>
      </w:r>
    </w:p>
    <w:p w14:paraId="4BEAF787" w14:textId="52220B0F" w:rsidR="008A5F02" w:rsidRDefault="004E4362" w:rsidP="004E4362">
      <w:r>
        <w:t xml:space="preserve">Leaving aside ‘merit’, since 2014 it has been clear most such </w:t>
      </w:r>
      <w:r w:rsidR="002C1EFD">
        <w:t>promises</w:t>
      </w:r>
      <w:r>
        <w:t xml:space="preserve"> cannot be dealt with lawfully by the Commonwealth or public monies, except via Constitution s.96 grants to the States.  Even then Parliament, </w:t>
      </w:r>
      <w:r w:rsidR="008A5F02">
        <w:t>not</w:t>
      </w:r>
      <w:r>
        <w:t xml:space="preserve"> the Government, </w:t>
      </w:r>
      <w:r w:rsidR="008A5F02">
        <w:t>determines these</w:t>
      </w:r>
      <w:r>
        <w:t>.</w:t>
      </w:r>
      <w:r w:rsidR="00E44F18">
        <w:t xml:space="preserve"> </w:t>
      </w:r>
      <w:r w:rsidR="00EA0399">
        <w:t>S</w:t>
      </w:r>
      <w:r>
        <w:t>enate</w:t>
      </w:r>
      <w:r w:rsidR="00EA0399">
        <w:t xml:space="preserve"> approval is needed </w:t>
      </w:r>
      <w:r w:rsidR="008A5F02">
        <w:t>to deliver</w:t>
      </w:r>
      <w:r w:rsidR="00EA0399">
        <w:t xml:space="preserve"> promises</w:t>
      </w:r>
      <w:r>
        <w:t xml:space="preserve">.  </w:t>
      </w:r>
    </w:p>
    <w:p w14:paraId="051244AA" w14:textId="5D21355E" w:rsidR="004E4362" w:rsidRDefault="00674B14" w:rsidP="004E4362">
      <w:r>
        <w:t>P</w:t>
      </w:r>
      <w:r w:rsidR="00EA0399">
        <w:t>romises</w:t>
      </w:r>
      <w:r w:rsidR="004E4362">
        <w:t xml:space="preserve"> </w:t>
      </w:r>
      <w:r w:rsidR="008A5F02">
        <w:t xml:space="preserve">that </w:t>
      </w:r>
      <w:r w:rsidR="00EA0399">
        <w:t>ignore</w:t>
      </w:r>
      <w:r w:rsidR="008A5F02">
        <w:t xml:space="preserve"> </w:t>
      </w:r>
      <w:r>
        <w:t xml:space="preserve">limits to </w:t>
      </w:r>
      <w:r w:rsidR="008A5F02">
        <w:t>Commonwealth powers</w:t>
      </w:r>
      <w:r w:rsidR="00EA0399">
        <w:t xml:space="preserve"> </w:t>
      </w:r>
      <w:r w:rsidR="004E4362">
        <w:t>should be considered ‘extra-Constitutional’.</w:t>
      </w:r>
      <w:r w:rsidR="00E44F18">
        <w:t xml:space="preserve">  </w:t>
      </w:r>
      <w:r w:rsidR="008A5F02">
        <w:t>One example was</w:t>
      </w:r>
      <w:r w:rsidR="004E4362">
        <w:t xml:space="preserve"> the United Australia Party offer</w:t>
      </w:r>
      <w:r w:rsidR="008A5F02">
        <w:t xml:space="preserve"> of </w:t>
      </w:r>
      <w:r w:rsidR="00D61145">
        <w:t>lower</w:t>
      </w:r>
      <w:r w:rsidR="004E4362">
        <w:t xml:space="preserve"> </w:t>
      </w:r>
      <w:r w:rsidR="008A5F02">
        <w:t xml:space="preserve">regional </w:t>
      </w:r>
      <w:r w:rsidR="004E4362">
        <w:t>taxes.  This does not sit well with Constitution s.51(ii) which prohibits the Commonwealth levying different taxes in different places.</w:t>
      </w:r>
      <w:r w:rsidR="004E4362">
        <w:rPr>
          <w:rStyle w:val="EndnoteReference"/>
        </w:rPr>
        <w:endnoteReference w:id="4"/>
      </w:r>
    </w:p>
    <w:p w14:paraId="28E0D2C6" w14:textId="43A239DE" w:rsidR="004E4362" w:rsidRDefault="008A5F02" w:rsidP="004E4362">
      <w:r>
        <w:t>A</w:t>
      </w:r>
      <w:r w:rsidR="004E4362">
        <w:t>nother</w:t>
      </w:r>
      <w:r>
        <w:t xml:space="preserve"> was</w:t>
      </w:r>
      <w:r w:rsidR="004E4362">
        <w:t xml:space="preserve"> </w:t>
      </w:r>
      <w:proofErr w:type="spellStart"/>
      <w:r w:rsidR="004E4362">
        <w:t>Labor</w:t>
      </w:r>
      <w:r>
        <w:t>’s</w:t>
      </w:r>
      <w:proofErr w:type="spellEnd"/>
      <w:r w:rsidR="004E4362">
        <w:t xml:space="preserve"> offer</w:t>
      </w:r>
      <w:r>
        <w:t xml:space="preserve"> of</w:t>
      </w:r>
      <w:r w:rsidR="004E4362">
        <w:t xml:space="preserve"> Government wage payments to child-care workers.  It did not say how this might be done.  The ‘how’ is significant</w:t>
      </w:r>
      <w:r w:rsidR="00D61145">
        <w:t xml:space="preserve"> -</w:t>
      </w:r>
      <w:r w:rsidR="004E4362">
        <w:t xml:space="preserve"> the Commonwealth can</w:t>
      </w:r>
      <w:r>
        <w:t>’t</w:t>
      </w:r>
      <w:r w:rsidR="004E4362">
        <w:t xml:space="preserve"> </w:t>
      </w:r>
      <w:r w:rsidR="00D61145">
        <w:t>just</w:t>
      </w:r>
      <w:r w:rsidR="004E4362">
        <w:t xml:space="preserve"> </w:t>
      </w:r>
      <w:r>
        <w:t>give money</w:t>
      </w:r>
      <w:r w:rsidR="004E4362">
        <w:t xml:space="preserve"> to people.</w:t>
      </w:r>
      <w:r w:rsidR="004E4362">
        <w:rPr>
          <w:rStyle w:val="EndnoteReference"/>
        </w:rPr>
        <w:endnoteReference w:id="5"/>
      </w:r>
    </w:p>
    <w:p w14:paraId="5402C56D" w14:textId="297E83EB" w:rsidR="004E4362" w:rsidRDefault="004E4362" w:rsidP="004E4362">
      <w:r>
        <w:t xml:space="preserve">A third </w:t>
      </w:r>
      <w:r w:rsidR="008A5F02">
        <w:t>was</w:t>
      </w:r>
      <w:r>
        <w:t xml:space="preserve"> the Prime Minister’s promise to provide $4.5m </w:t>
      </w:r>
      <w:r w:rsidR="00674B14">
        <w:t>for</w:t>
      </w:r>
      <w:r>
        <w:t xml:space="preserve"> a ‘tidal pool’ at Port Macquarie.  This is none of the Commonwealth’s business</w:t>
      </w:r>
      <w:r w:rsidR="00674B14">
        <w:t>.  And</w:t>
      </w:r>
      <w:r w:rsidR="00D61145">
        <w:t xml:space="preserve"> </w:t>
      </w:r>
      <w:r>
        <w:t xml:space="preserve">the </w:t>
      </w:r>
      <w:r w:rsidR="00D61145">
        <w:t>site</w:t>
      </w:r>
      <w:r>
        <w:t xml:space="preserve"> of the pool is </w:t>
      </w:r>
      <w:r w:rsidR="00D61145">
        <w:t xml:space="preserve">still </w:t>
      </w:r>
      <w:r>
        <w:t>unknown.</w:t>
      </w:r>
      <w:r>
        <w:rPr>
          <w:rStyle w:val="EndnoteReference"/>
        </w:rPr>
        <w:endnoteReference w:id="6"/>
      </w:r>
    </w:p>
    <w:p w14:paraId="095CDC17" w14:textId="732D51B2" w:rsidR="004E4362" w:rsidRDefault="004E4362" w:rsidP="004E4362">
      <w:r>
        <w:t>The overall picture is of candidates losing sight of Commonwealth purposes</w:t>
      </w:r>
      <w:r w:rsidR="00E44F18">
        <w:t xml:space="preserve"> and processes</w:t>
      </w:r>
      <w:r>
        <w:t>.  This does not bode well as it: distracts from Commonwealth responsibilities; inculcates irresponsibility and is conducive to corruption; works to denude Government and Parliament of proper advice.</w:t>
      </w:r>
      <w:r>
        <w:rPr>
          <w:rStyle w:val="EndnoteReference"/>
        </w:rPr>
        <w:endnoteReference w:id="7"/>
      </w:r>
    </w:p>
    <w:p w14:paraId="0876601E" w14:textId="7D03CDB5" w:rsidR="00906259" w:rsidRDefault="004E4362" w:rsidP="00906259">
      <w:pPr>
        <w:pStyle w:val="Heading3"/>
      </w:pPr>
      <w:bookmarkStart w:id="6" w:name="_Toc15287785"/>
      <w:r>
        <w:t>2.2</w:t>
      </w:r>
      <w:r>
        <w:tab/>
      </w:r>
      <w:r w:rsidR="00906259">
        <w:t>Mechanisms</w:t>
      </w:r>
      <w:bookmarkEnd w:id="6"/>
    </w:p>
    <w:p w14:paraId="7DAB008A" w14:textId="77777777" w:rsidR="00C132F2" w:rsidRDefault="00C132F2" w:rsidP="00C132F2">
      <w:pPr>
        <w:pStyle w:val="Heading4"/>
      </w:pPr>
      <w:r>
        <w:t>2.2.1</w:t>
      </w:r>
      <w:r>
        <w:tab/>
        <w:t>Federalism reform</w:t>
      </w:r>
    </w:p>
    <w:p w14:paraId="37192966" w14:textId="1823F770" w:rsidR="0043329F" w:rsidRDefault="00B82809" w:rsidP="00E44F18">
      <w:r>
        <w:t>In 2013-14, t</w:t>
      </w:r>
      <w:r w:rsidR="0043329F">
        <w:t xml:space="preserve">he Abbott Government promised – but did not </w:t>
      </w:r>
      <w:r w:rsidR="00883A8B">
        <w:t xml:space="preserve">start to </w:t>
      </w:r>
      <w:r w:rsidR="0043329F">
        <w:t xml:space="preserve">deliver – </w:t>
      </w:r>
      <w:r w:rsidR="00883A8B">
        <w:t xml:space="preserve">reform </w:t>
      </w:r>
      <w:r w:rsidR="0043329F">
        <w:t>of the Federation.</w:t>
      </w:r>
      <w:r w:rsidR="00C4113F">
        <w:t xml:space="preserve"> </w:t>
      </w:r>
      <w:r w:rsidR="002460EF">
        <w:t xml:space="preserve"> </w:t>
      </w:r>
      <w:r w:rsidR="00C4113F">
        <w:t>A</w:t>
      </w:r>
      <w:r>
        <w:t>round the same time, a</w:t>
      </w:r>
      <w:r w:rsidR="00C4113F">
        <w:t xml:space="preserve"> partial ‘review’ </w:t>
      </w:r>
      <w:r w:rsidR="002460EF">
        <w:t>o</w:t>
      </w:r>
      <w:r w:rsidR="00C4113F">
        <w:t xml:space="preserve">f </w:t>
      </w:r>
      <w:r>
        <w:t xml:space="preserve">various </w:t>
      </w:r>
      <w:r w:rsidR="00573E1D">
        <w:t xml:space="preserve">Commonwealth </w:t>
      </w:r>
      <w:r>
        <w:t>activities</w:t>
      </w:r>
      <w:r w:rsidR="00C4113F">
        <w:t xml:space="preserve"> </w:t>
      </w:r>
      <w:r w:rsidR="002460EF">
        <w:t xml:space="preserve">was delivered </w:t>
      </w:r>
      <w:r>
        <w:t>in the National Commission of Audit</w:t>
      </w:r>
      <w:r w:rsidR="00674B14">
        <w:t xml:space="preserve">.  This review called for reform of the Federation yet was </w:t>
      </w:r>
      <w:r w:rsidR="002460EF">
        <w:t>remarkable</w:t>
      </w:r>
      <w:r>
        <w:t xml:space="preserve"> </w:t>
      </w:r>
      <w:r w:rsidR="00573E1D">
        <w:t xml:space="preserve">for its </w:t>
      </w:r>
      <w:r>
        <w:t>ignor</w:t>
      </w:r>
      <w:r w:rsidR="00573E1D">
        <w:t>ance of</w:t>
      </w:r>
      <w:r w:rsidR="002460EF">
        <w:t xml:space="preserve"> current Constitutional i</w:t>
      </w:r>
      <w:r>
        <w:t>ssues (among other things)</w:t>
      </w:r>
      <w:r w:rsidR="002460EF">
        <w:t>.</w:t>
      </w:r>
      <w:r w:rsidR="0043329F">
        <w:rPr>
          <w:rStyle w:val="EndnoteReference"/>
        </w:rPr>
        <w:endnoteReference w:id="8"/>
      </w:r>
    </w:p>
    <w:p w14:paraId="360806EF" w14:textId="66DB6CF8" w:rsidR="00E44F18" w:rsidRDefault="002460EF" w:rsidP="00E44F18">
      <w:r>
        <w:t>More recent and l</w:t>
      </w:r>
      <w:r w:rsidR="00E44F18">
        <w:t xml:space="preserve">auded comments to the </w:t>
      </w:r>
      <w:r>
        <w:t>Australian</w:t>
      </w:r>
      <w:r w:rsidR="00E44F18">
        <w:t xml:space="preserve"> public service review </w:t>
      </w:r>
      <w:r>
        <w:t>(</w:t>
      </w:r>
      <w:proofErr w:type="spellStart"/>
      <w:r>
        <w:t>Thodey</w:t>
      </w:r>
      <w:proofErr w:type="spellEnd"/>
      <w:r>
        <w:t xml:space="preserve">) </w:t>
      </w:r>
      <w:r w:rsidR="00E44F18">
        <w:t>claimed a</w:t>
      </w:r>
      <w:r w:rsidR="00592CD7">
        <w:t>n ongoing</w:t>
      </w:r>
      <w:r w:rsidR="00E44F18">
        <w:t xml:space="preserve"> trend towards greater power for the Commonwealth Government.  </w:t>
      </w:r>
      <w:r>
        <w:t xml:space="preserve">These seem </w:t>
      </w:r>
      <w:r w:rsidR="00603B0B">
        <w:t>to reflect an out</w:t>
      </w:r>
      <w:r w:rsidR="00592CD7">
        <w:t>dated</w:t>
      </w:r>
      <w:r w:rsidR="00603B0B">
        <w:t xml:space="preserve"> view</w:t>
      </w:r>
      <w:r>
        <w:t xml:space="preserve">. </w:t>
      </w:r>
      <w:r w:rsidR="00E44F18">
        <w:t>While such a trend is popular (</w:t>
      </w:r>
      <w:proofErr w:type="spellStart"/>
      <w:r w:rsidR="00E44F18">
        <w:t>ly</w:t>
      </w:r>
      <w:proofErr w:type="spellEnd"/>
      <w:r w:rsidR="00E44F18">
        <w:t xml:space="preserve"> believed) among officials and politicians, recent decisions of the High Court suggest otherwise.  </w:t>
      </w:r>
      <w:r w:rsidR="00592CD7">
        <w:t>E</w:t>
      </w:r>
      <w:r w:rsidR="00E44F18">
        <w:t xml:space="preserve">xperts </w:t>
      </w:r>
      <w:r w:rsidR="00592CD7">
        <w:t>see</w:t>
      </w:r>
      <w:r w:rsidR="00E44F18">
        <w:t xml:space="preserve"> a rebalancing of the Federation; of </w:t>
      </w:r>
      <w:r w:rsidR="0043329F">
        <w:t xml:space="preserve">requirements </w:t>
      </w:r>
      <w:r w:rsidR="00592CD7">
        <w:t xml:space="preserve">for the </w:t>
      </w:r>
      <w:r w:rsidR="00E44F18">
        <w:t xml:space="preserve">Commonwealth </w:t>
      </w:r>
      <w:r w:rsidR="00592CD7">
        <w:t>-</w:t>
      </w:r>
      <w:r w:rsidR="00E44F18">
        <w:t xml:space="preserve"> especially </w:t>
      </w:r>
      <w:r w:rsidR="00AD3C9E">
        <w:t xml:space="preserve">its </w:t>
      </w:r>
      <w:r w:rsidR="00E44F18">
        <w:t>Government</w:t>
      </w:r>
      <w:r w:rsidR="00592CD7">
        <w:t xml:space="preserve"> – to follow proper process</w:t>
      </w:r>
      <w:r w:rsidR="00E44F18">
        <w:t>.</w:t>
      </w:r>
      <w:r w:rsidR="00E44F18">
        <w:rPr>
          <w:rStyle w:val="EndnoteReference"/>
        </w:rPr>
        <w:endnoteReference w:id="9"/>
      </w:r>
      <w:r w:rsidR="00E44F18">
        <w:t xml:space="preserve">  </w:t>
      </w:r>
    </w:p>
    <w:p w14:paraId="194886B4" w14:textId="53A682D7" w:rsidR="00AD3AED" w:rsidRDefault="00D61145">
      <w:r>
        <w:t>C</w:t>
      </w:r>
      <w:r w:rsidR="00904095">
        <w:t xml:space="preserve">laims of Commonwealth Government legality cannot be </w:t>
      </w:r>
      <w:r w:rsidR="00AD3AED">
        <w:t xml:space="preserve">justified </w:t>
      </w:r>
      <w:r w:rsidR="00E44F18">
        <w:t>merely</w:t>
      </w:r>
      <w:r w:rsidR="00AD3AED">
        <w:t xml:space="preserve"> by</w:t>
      </w:r>
      <w:r w:rsidR="00904095">
        <w:t xml:space="preserve"> convenience, practice, importance, national significance or even express State acquiescence.</w:t>
      </w:r>
      <w:r w:rsidR="00AD3AED">
        <w:t xml:space="preserve">  </w:t>
      </w:r>
      <w:r w:rsidR="00904095">
        <w:t xml:space="preserve">Rather, </w:t>
      </w:r>
      <w:r w:rsidR="008056C4">
        <w:t xml:space="preserve">there are three mechanisms for bringing extra-Constitutional </w:t>
      </w:r>
      <w:r w:rsidR="00AD3C9E">
        <w:t>promises</w:t>
      </w:r>
      <w:r w:rsidR="008056C4">
        <w:t xml:space="preserve"> into legality. </w:t>
      </w:r>
    </w:p>
    <w:p w14:paraId="20BD46C0" w14:textId="77777777" w:rsidR="00C132F2" w:rsidRDefault="00C132F2" w:rsidP="00C132F2">
      <w:pPr>
        <w:pStyle w:val="Heading4"/>
      </w:pPr>
      <w:r>
        <w:t>2.2.2</w:t>
      </w:r>
      <w:r>
        <w:tab/>
        <w:t>Constitution section 96</w:t>
      </w:r>
    </w:p>
    <w:p w14:paraId="0764588F" w14:textId="586C4621" w:rsidR="00E44F18" w:rsidRDefault="00904095" w:rsidP="00E44F18">
      <w:r>
        <w:t xml:space="preserve">One </w:t>
      </w:r>
      <w:r w:rsidR="002460EF">
        <w:t xml:space="preserve">mechanism </w:t>
      </w:r>
      <w:r>
        <w:t xml:space="preserve">is s.96 </w:t>
      </w:r>
      <w:r w:rsidR="0043329F">
        <w:t xml:space="preserve">tied </w:t>
      </w:r>
      <w:r>
        <w:t>grants to the States</w:t>
      </w:r>
      <w:r w:rsidR="0043329F">
        <w:t xml:space="preserve"> – specific purpose payments</w:t>
      </w:r>
      <w:r>
        <w:t xml:space="preserve">.  This is </w:t>
      </w:r>
      <w:r w:rsidR="0043329F">
        <w:t>mentioned</w:t>
      </w:r>
      <w:r>
        <w:t xml:space="preserve"> in the </w:t>
      </w:r>
      <w:r w:rsidR="00674B14">
        <w:t xml:space="preserve">beagle’s </w:t>
      </w:r>
      <w:r>
        <w:t>submission</w:t>
      </w:r>
      <w:r w:rsidR="002460EF">
        <w:t xml:space="preserve"> to </w:t>
      </w:r>
      <w:proofErr w:type="spellStart"/>
      <w:r w:rsidR="002460EF">
        <w:t>Thodey</w:t>
      </w:r>
      <w:proofErr w:type="spellEnd"/>
      <w:r>
        <w:t>.</w:t>
      </w:r>
      <w:r w:rsidR="00E44F18">
        <w:t xml:space="preserve">  </w:t>
      </w:r>
      <w:r w:rsidR="00AD3C9E">
        <w:t>To that we add</w:t>
      </w:r>
      <w:r w:rsidR="0043329F">
        <w:t xml:space="preserve"> a </w:t>
      </w:r>
      <w:r w:rsidR="00E44F18">
        <w:t>premonition from 1899</w:t>
      </w:r>
      <w:r w:rsidR="00AD3C9E">
        <w:t xml:space="preserve"> -</w:t>
      </w:r>
      <w:r w:rsidR="0043329F">
        <w:t xml:space="preserve"> that s.96 was</w:t>
      </w:r>
      <w:r w:rsidR="00E44F18">
        <w:t>:</w:t>
      </w:r>
    </w:p>
    <w:p w14:paraId="08B3C2C3" w14:textId="77777777" w:rsidR="0043329F" w:rsidRDefault="00E44F18" w:rsidP="0043329F">
      <w:pPr>
        <w:ind w:firstLine="720"/>
        <w:rPr>
          <w:i/>
          <w:iCs/>
          <w:sz w:val="20"/>
          <w:szCs w:val="20"/>
        </w:rPr>
      </w:pPr>
      <w:r w:rsidRPr="002C1EFD">
        <w:rPr>
          <w:i/>
          <w:iCs/>
          <w:sz w:val="20"/>
          <w:szCs w:val="20"/>
        </w:rPr>
        <w:t xml:space="preserve">‘certain to cause jealousy, provincialism [and] logrolling and [to] debase federal </w:t>
      </w:r>
      <w:proofErr w:type="gramStart"/>
      <w:r w:rsidRPr="002C1EFD">
        <w:rPr>
          <w:i/>
          <w:iCs/>
          <w:sz w:val="20"/>
          <w:szCs w:val="20"/>
        </w:rPr>
        <w:t>politics’</w:t>
      </w:r>
      <w:proofErr w:type="gramEnd"/>
      <w:r w:rsidRPr="002C1EFD">
        <w:rPr>
          <w:i/>
          <w:iCs/>
          <w:sz w:val="20"/>
          <w:szCs w:val="20"/>
        </w:rPr>
        <w:t>.</w:t>
      </w:r>
      <w:r w:rsidRPr="002C1EFD">
        <w:rPr>
          <w:rStyle w:val="EndnoteReference"/>
          <w:i/>
          <w:iCs/>
          <w:sz w:val="20"/>
          <w:szCs w:val="20"/>
        </w:rPr>
        <w:endnoteReference w:id="10"/>
      </w:r>
    </w:p>
    <w:p w14:paraId="2272C0F8" w14:textId="290E885F" w:rsidR="002A3F76" w:rsidRDefault="002A3F76" w:rsidP="0043329F">
      <w:r>
        <w:t>It</w:t>
      </w:r>
      <w:r w:rsidR="00396B1F">
        <w:t xml:space="preserve"> </w:t>
      </w:r>
      <w:r w:rsidR="00603B0B">
        <w:t>has been</w:t>
      </w:r>
      <w:r w:rsidR="00396B1F">
        <w:t xml:space="preserve"> a</w:t>
      </w:r>
      <w:r w:rsidR="00C132F2">
        <w:t>cknowledged as a</w:t>
      </w:r>
      <w:r w:rsidR="00396B1F">
        <w:t xml:space="preserve"> Constitutional outlier</w:t>
      </w:r>
      <w:r w:rsidR="00603B0B">
        <w:t xml:space="preserve"> since the 1950s.</w:t>
      </w:r>
      <w:r>
        <w:t xml:space="preserve">  Chief Justice Dixon observed: </w:t>
      </w:r>
    </w:p>
    <w:p w14:paraId="1DE55148" w14:textId="464C010D" w:rsidR="00603B0B" w:rsidRDefault="002A3F76" w:rsidP="002A3F76">
      <w:pPr>
        <w:ind w:left="720"/>
      </w:pPr>
      <w:r>
        <w:rPr>
          <w:i/>
          <w:iCs/>
          <w:sz w:val="20"/>
          <w:szCs w:val="20"/>
          <w:shd w:val="clear" w:color="auto" w:fill="FFFFFF"/>
        </w:rPr>
        <w:t>‘</w:t>
      </w:r>
      <w:r w:rsidRPr="002A3F76">
        <w:rPr>
          <w:i/>
          <w:iCs/>
          <w:sz w:val="20"/>
          <w:szCs w:val="20"/>
          <w:shd w:val="clear" w:color="auto" w:fill="FFFFFF"/>
        </w:rPr>
        <w:t>Before the meaning of s.96 and the scope of the power it gives had been the subject of judicial decision no one seems to have been prepared to speak with any confidence as to its place in the constitutional plan and its intended operation.</w:t>
      </w:r>
      <w:r>
        <w:rPr>
          <w:i/>
          <w:iCs/>
          <w:sz w:val="20"/>
          <w:szCs w:val="20"/>
          <w:shd w:val="clear" w:color="auto" w:fill="FFFFFF"/>
        </w:rPr>
        <w:t>’</w:t>
      </w:r>
      <w:r w:rsidR="00603B0B">
        <w:rPr>
          <w:rStyle w:val="EndnoteReference"/>
        </w:rPr>
        <w:endnoteReference w:id="11"/>
      </w:r>
      <w:r w:rsidR="00603B0B">
        <w:t xml:space="preserve">  </w:t>
      </w:r>
    </w:p>
    <w:p w14:paraId="3400A5A6" w14:textId="0E04A266" w:rsidR="00B82809" w:rsidRDefault="00396B1F" w:rsidP="0043329F">
      <w:r>
        <w:lastRenderedPageBreak/>
        <w:t>Its</w:t>
      </w:r>
      <w:r w:rsidR="0043329F">
        <w:t xml:space="preserve"> use is now under </w:t>
      </w:r>
      <w:r>
        <w:t xml:space="preserve">some </w:t>
      </w:r>
      <w:r w:rsidR="0043329F">
        <w:t xml:space="preserve">academic doubt.  </w:t>
      </w:r>
      <w:r w:rsidR="002A3F76">
        <w:t xml:space="preserve">Chief </w:t>
      </w:r>
      <w:r w:rsidR="00B430BB">
        <w:t>J</w:t>
      </w:r>
      <w:r w:rsidR="00B82809">
        <w:t xml:space="preserve">ustice Dixon </w:t>
      </w:r>
      <w:r w:rsidR="00B430BB">
        <w:t>only allow</w:t>
      </w:r>
      <w:r w:rsidR="002A3F76">
        <w:t>ed</w:t>
      </w:r>
      <w:r w:rsidR="00B430BB">
        <w:t xml:space="preserve"> </w:t>
      </w:r>
      <w:r w:rsidR="002A3F76">
        <w:t>its (</w:t>
      </w:r>
      <w:r w:rsidR="00B430BB">
        <w:t>current</w:t>
      </w:r>
      <w:r w:rsidR="002A3F76">
        <w:t>)</w:t>
      </w:r>
      <w:r w:rsidR="00B430BB">
        <w:t xml:space="preserve"> </w:t>
      </w:r>
      <w:r w:rsidR="002A3F76">
        <w:t xml:space="preserve">wide </w:t>
      </w:r>
      <w:r w:rsidR="00B430BB">
        <w:t xml:space="preserve">interpretation </w:t>
      </w:r>
      <w:r w:rsidR="002A3F76">
        <w:t>because of prior decisions – which he implicitly criticised.</w:t>
      </w:r>
    </w:p>
    <w:p w14:paraId="0F8A502E" w14:textId="2078F322" w:rsidR="00C52054" w:rsidRDefault="0043329F" w:rsidP="0043329F">
      <w:r>
        <w:t xml:space="preserve">There are claims the High Court is moving from literal to more purposive </w:t>
      </w:r>
      <w:r w:rsidR="008263CC">
        <w:t xml:space="preserve">Constitutional </w:t>
      </w:r>
      <w:r>
        <w:t xml:space="preserve">interpretations </w:t>
      </w:r>
      <w:r w:rsidR="002460EF">
        <w:t>and may</w:t>
      </w:r>
      <w:r>
        <w:t xml:space="preserve"> </w:t>
      </w:r>
      <w:r w:rsidR="00396B1F">
        <w:t>consider</w:t>
      </w:r>
      <w:r>
        <w:t xml:space="preserve"> intentions</w:t>
      </w:r>
      <w:r w:rsidR="00396B1F">
        <w:t xml:space="preserve"> </w:t>
      </w:r>
      <w:r w:rsidR="00674B14">
        <w:t xml:space="preserve">- </w:t>
      </w:r>
      <w:r w:rsidR="008263CC">
        <w:t xml:space="preserve">via e.g. debates at the Constitutional Conventions </w:t>
      </w:r>
      <w:r w:rsidR="00674B14">
        <w:t xml:space="preserve">- </w:t>
      </w:r>
      <w:r w:rsidR="00396B1F">
        <w:t xml:space="preserve">in </w:t>
      </w:r>
      <w:r w:rsidR="008263CC">
        <w:t>deciding</w:t>
      </w:r>
      <w:r w:rsidR="00396B1F">
        <w:t xml:space="preserve"> cases</w:t>
      </w:r>
      <w:r>
        <w:t>.</w:t>
      </w:r>
      <w:r w:rsidR="002460EF">
        <w:t xml:space="preserve"> </w:t>
      </w:r>
      <w:r w:rsidR="00C52054">
        <w:t xml:space="preserve"> The Court has also been </w:t>
      </w:r>
      <w:r w:rsidR="00674B14">
        <w:t xml:space="preserve">more </w:t>
      </w:r>
      <w:r w:rsidR="00C52054">
        <w:t>prepared to overturn some long-standing precedents.</w:t>
      </w:r>
    </w:p>
    <w:p w14:paraId="25897ABC" w14:textId="53EEEFBC" w:rsidR="00E21178" w:rsidRDefault="002460EF" w:rsidP="0043329F">
      <w:r>
        <w:t>Together with new capabilities of examining historical records, this may pose difficult questions for proponents of s.96</w:t>
      </w:r>
      <w:r w:rsidR="00396B1F">
        <w:t xml:space="preserve"> </w:t>
      </w:r>
      <w:r w:rsidR="00674B14">
        <w:t>to validate otherwise extra-Constitutional Commonwealth funding</w:t>
      </w:r>
      <w:r w:rsidR="00396B1F">
        <w:t>.</w:t>
      </w:r>
      <w:r w:rsidR="002A3F76">
        <w:rPr>
          <w:rStyle w:val="EndnoteReference"/>
        </w:rPr>
        <w:endnoteReference w:id="12"/>
      </w:r>
      <w:r w:rsidR="00396B1F">
        <w:t xml:space="preserve">  </w:t>
      </w:r>
    </w:p>
    <w:p w14:paraId="15BF3113" w14:textId="737638BE" w:rsidR="00904095" w:rsidRDefault="00396B1F" w:rsidP="0043329F">
      <w:r>
        <w:t>The</w:t>
      </w:r>
      <w:r w:rsidR="00883A8B">
        <w:t xml:space="preserve"> questions</w:t>
      </w:r>
      <w:r>
        <w:t xml:space="preserve"> start with whether </w:t>
      </w:r>
      <w:r w:rsidR="00E21178">
        <w:t>s.96</w:t>
      </w:r>
      <w:r>
        <w:t xml:space="preserve"> </w:t>
      </w:r>
      <w:r w:rsidR="002A3F76">
        <w:t xml:space="preserve">was </w:t>
      </w:r>
      <w:r>
        <w:t xml:space="preserve">merely intended to assure solvency of the States, particularly Queensland, while they adjusted to the loss of customs revenue </w:t>
      </w:r>
      <w:r w:rsidR="00D14D3F">
        <w:t>after</w:t>
      </w:r>
      <w:r>
        <w:t xml:space="preserve"> Federation.</w:t>
      </w:r>
      <w:r w:rsidR="008A6790">
        <w:rPr>
          <w:rStyle w:val="EndnoteReference"/>
        </w:rPr>
        <w:endnoteReference w:id="13"/>
      </w:r>
    </w:p>
    <w:p w14:paraId="2B376911" w14:textId="77777777" w:rsidR="00C132F2" w:rsidRDefault="00C132F2" w:rsidP="00C132F2">
      <w:pPr>
        <w:pStyle w:val="Heading4"/>
      </w:pPr>
      <w:r>
        <w:t>2.2.3</w:t>
      </w:r>
      <w:r>
        <w:tab/>
        <w:t>Referral of powers, referendums</w:t>
      </w:r>
    </w:p>
    <w:p w14:paraId="7EC773CC" w14:textId="54F33053" w:rsidR="00E44F18" w:rsidRDefault="00E44F18" w:rsidP="00E44F18">
      <w:r>
        <w:t xml:space="preserve">In these circumstances, the </w:t>
      </w:r>
      <w:r w:rsidR="00C52054">
        <w:t>most</w:t>
      </w:r>
      <w:r>
        <w:t xml:space="preserve"> reliable methods for </w:t>
      </w:r>
      <w:r w:rsidR="00D14D3F">
        <w:t>legitimising</w:t>
      </w:r>
      <w:r>
        <w:t xml:space="preserve"> </w:t>
      </w:r>
      <w:r w:rsidR="00D14D3F">
        <w:t>extra-Constitutional promises</w:t>
      </w:r>
      <w:r>
        <w:t xml:space="preserve"> </w:t>
      </w:r>
      <w:r w:rsidR="00C52054">
        <w:t xml:space="preserve">– and </w:t>
      </w:r>
      <w:r w:rsidR="00646F3C">
        <w:t>methods</w:t>
      </w:r>
      <w:r w:rsidR="00C52054">
        <w:t xml:space="preserve"> most consistent with the Constitution’s principles </w:t>
      </w:r>
      <w:r>
        <w:t xml:space="preserve">are: support </w:t>
      </w:r>
      <w:r w:rsidR="00674B14">
        <w:t>from</w:t>
      </w:r>
      <w:r>
        <w:t xml:space="preserve"> the State Parliaments via referrals of power; support </w:t>
      </w:r>
      <w:r w:rsidR="00674B14">
        <w:t>from</w:t>
      </w:r>
      <w:r>
        <w:t xml:space="preserve"> the public via referendums.</w:t>
      </w:r>
    </w:p>
    <w:p w14:paraId="1FBD80D6" w14:textId="6DAFC708" w:rsidR="00904095" w:rsidRDefault="00C52054">
      <w:r>
        <w:t>R</w:t>
      </w:r>
      <w:r w:rsidR="00904095">
        <w:t>eferral of relevant powers from State</w:t>
      </w:r>
      <w:r w:rsidR="004F1B27">
        <w:t xml:space="preserve"> Parliaments</w:t>
      </w:r>
      <w:r w:rsidR="00904095">
        <w:t xml:space="preserve"> to the Commonwealth</w:t>
      </w:r>
      <w:r>
        <w:t xml:space="preserve"> sit alongside co-operative or mirror legislation and </w:t>
      </w:r>
      <w:r w:rsidR="00567FE4">
        <w:t>State referendums.</w:t>
      </w:r>
      <w:r>
        <w:t xml:space="preserve">  These involve co-operation between the Commonwealth and States, </w:t>
      </w:r>
      <w:r w:rsidR="00674B14">
        <w:t>often through the Council of Australian Governments.  They</w:t>
      </w:r>
      <w:r>
        <w:t xml:space="preserve"> may be a matter for later.</w:t>
      </w:r>
      <w:r w:rsidR="004F1B27">
        <w:rPr>
          <w:rStyle w:val="EndnoteReference"/>
        </w:rPr>
        <w:endnoteReference w:id="14"/>
      </w:r>
    </w:p>
    <w:p w14:paraId="5BC09033" w14:textId="77777777" w:rsidR="00C52054" w:rsidRDefault="00904095">
      <w:r>
        <w:t xml:space="preserve">The </w:t>
      </w:r>
      <w:r w:rsidR="00C52054">
        <w:t>other mechanism,</w:t>
      </w:r>
      <w:r>
        <w:t xml:space="preserve"> </w:t>
      </w:r>
      <w:r w:rsidR="00567FE4">
        <w:t xml:space="preserve">Australian </w:t>
      </w:r>
      <w:r>
        <w:t>referendum</w:t>
      </w:r>
      <w:r w:rsidR="002F4D75">
        <w:t>s</w:t>
      </w:r>
      <w:r>
        <w:t xml:space="preserve"> to </w:t>
      </w:r>
      <w:r w:rsidR="00576740">
        <w:t xml:space="preserve">relevantly </w:t>
      </w:r>
      <w:r>
        <w:t>enlarge Commonwealth and</w:t>
      </w:r>
      <w:r w:rsidR="00576740">
        <w:t>/</w:t>
      </w:r>
      <w:r>
        <w:t>or Government powers</w:t>
      </w:r>
      <w:r w:rsidR="00C52054">
        <w:t>,</w:t>
      </w:r>
      <w:r w:rsidR="00906259">
        <w:t xml:space="preserve"> is the subject of the present article.</w:t>
      </w:r>
    </w:p>
    <w:p w14:paraId="1BE4DAD4" w14:textId="48F5AE6A" w:rsidR="00EC7D14" w:rsidRDefault="00EC7D14">
      <w:pPr>
        <w:rPr>
          <w:rFonts w:asciiTheme="majorHAnsi" w:eastAsiaTheme="majorEastAsia" w:hAnsiTheme="majorHAnsi" w:cstheme="majorBidi"/>
          <w:color w:val="2F5496" w:themeColor="accent1" w:themeShade="BF"/>
          <w:sz w:val="26"/>
          <w:szCs w:val="26"/>
        </w:rPr>
      </w:pPr>
      <w:r>
        <w:br w:type="page"/>
      </w:r>
    </w:p>
    <w:p w14:paraId="6865507D" w14:textId="6C7D3EF3" w:rsidR="00F100DD" w:rsidRDefault="00906259" w:rsidP="00F100DD">
      <w:pPr>
        <w:pStyle w:val="Heading2"/>
      </w:pPr>
      <w:bookmarkStart w:id="7" w:name="_Toc15287786"/>
      <w:r>
        <w:lastRenderedPageBreak/>
        <w:t>3</w:t>
      </w:r>
      <w:r w:rsidR="00F35DEA">
        <w:t>.</w:t>
      </w:r>
      <w:r w:rsidR="00F35DEA">
        <w:tab/>
      </w:r>
      <w:r w:rsidR="00F100DD">
        <w:t>Referendums</w:t>
      </w:r>
      <w:bookmarkEnd w:id="7"/>
    </w:p>
    <w:p w14:paraId="3747F44D" w14:textId="49EDDA51" w:rsidR="006766E9" w:rsidRDefault="00215DE7">
      <w:r>
        <w:t>The</w:t>
      </w:r>
      <w:r w:rsidR="002C2293">
        <w:t xml:space="preserve"> </w:t>
      </w:r>
      <w:r>
        <w:t xml:space="preserve">purpose </w:t>
      </w:r>
      <w:r w:rsidR="002C2293">
        <w:t xml:space="preserve">of an Australian referendum </w:t>
      </w:r>
      <w:r w:rsidR="00AE3390">
        <w:t>i</w:t>
      </w:r>
      <w:r>
        <w:t xml:space="preserve">s to </w:t>
      </w:r>
      <w:r w:rsidR="002C2293">
        <w:t xml:space="preserve">seek to </w:t>
      </w:r>
      <w:r>
        <w:t xml:space="preserve">change the </w:t>
      </w:r>
      <w:r w:rsidR="002C44B7">
        <w:t xml:space="preserve">Australian </w:t>
      </w:r>
      <w:r>
        <w:t xml:space="preserve">Constitution, which provides the framework for Australian laws and organisation of society. </w:t>
      </w:r>
      <w:r w:rsidR="006766E9">
        <w:t xml:space="preserve"> Apart from procedural matters, </w:t>
      </w:r>
      <w:r w:rsidR="002C2293">
        <w:t xml:space="preserve">referendum proposals generally seek to </w:t>
      </w:r>
      <w:r w:rsidR="006766E9">
        <w:t>relocate powers from States to the Commonwealth</w:t>
      </w:r>
      <w:r w:rsidR="00AC76C3">
        <w:t xml:space="preserve"> or within the Commonwealth and its institutions of Parliament, Executive and Judiciary</w:t>
      </w:r>
      <w:r w:rsidR="006766E9">
        <w:t>.  Very rarely they create new powers for government.</w:t>
      </w:r>
      <w:r w:rsidR="002D2868">
        <w:rPr>
          <w:rStyle w:val="EndnoteReference"/>
        </w:rPr>
        <w:endnoteReference w:id="15"/>
      </w:r>
    </w:p>
    <w:p w14:paraId="740BE83C" w14:textId="63868262" w:rsidR="00866EF6" w:rsidRDefault="002C44B7">
      <w:r>
        <w:t>A</w:t>
      </w:r>
      <w:r w:rsidR="00215DE7">
        <w:t>mendments</w:t>
      </w:r>
      <w:r>
        <w:t xml:space="preserve"> to the Constitution</w:t>
      </w:r>
      <w:r w:rsidR="00215DE7">
        <w:t>, like the rest of th</w:t>
      </w:r>
      <w:r>
        <w:t>at document</w:t>
      </w:r>
      <w:r w:rsidR="00215DE7">
        <w:t xml:space="preserve">, </w:t>
      </w:r>
      <w:r w:rsidR="000E6266">
        <w:t>are</w:t>
      </w:r>
      <w:r w:rsidR="00215DE7">
        <w:t xml:space="preserve"> subject to interpretation by the High Court</w:t>
      </w:r>
      <w:r w:rsidR="0031709A">
        <w:t xml:space="preserve">.  </w:t>
      </w:r>
      <w:r w:rsidR="00866EF6">
        <w:t xml:space="preserve">Constitution s.128 governs </w:t>
      </w:r>
      <w:r w:rsidR="00EA0399">
        <w:t xml:space="preserve">amendments made by </w:t>
      </w:r>
      <w:r w:rsidR="00866EF6">
        <w:t>referendums.</w:t>
      </w:r>
      <w:r w:rsidR="00866EF6">
        <w:rPr>
          <w:rStyle w:val="EndnoteReference"/>
        </w:rPr>
        <w:endnoteReference w:id="16"/>
      </w:r>
    </w:p>
    <w:p w14:paraId="226D91C7" w14:textId="1AB02F1B" w:rsidR="0031709A" w:rsidRDefault="00C81E8A">
      <w:r>
        <w:t>Australian r</w:t>
      </w:r>
      <w:r w:rsidR="00215DE7">
        <w:t>eferendums</w:t>
      </w:r>
      <w:r w:rsidR="00F100DD">
        <w:t xml:space="preserve"> involve a two-stage process.  </w:t>
      </w:r>
      <w:r w:rsidR="00DF0AD1">
        <w:t>In the f</w:t>
      </w:r>
      <w:r w:rsidR="00F100DD">
        <w:t>irst</w:t>
      </w:r>
      <w:r w:rsidR="00DF0AD1">
        <w:t xml:space="preserve"> stage</w:t>
      </w:r>
      <w:r w:rsidR="00F100DD">
        <w:t xml:space="preserve">, the proposal to be put to the electorate must be passed by the House of Representatives and the Senate.  </w:t>
      </w:r>
    </w:p>
    <w:p w14:paraId="055EEA54" w14:textId="6F307BD0" w:rsidR="00866EF6" w:rsidRDefault="00DF0AD1">
      <w:r>
        <w:t>The s</w:t>
      </w:r>
      <w:r w:rsidR="00F100DD">
        <w:t>econd</w:t>
      </w:r>
      <w:r>
        <w:t xml:space="preserve"> stage involves putting </w:t>
      </w:r>
      <w:r w:rsidR="003E6664">
        <w:t xml:space="preserve">the </w:t>
      </w:r>
      <w:r>
        <w:t xml:space="preserve">proposal to all </w:t>
      </w:r>
      <w:r w:rsidR="00866EF6">
        <w:t>voters in the States and Territories</w:t>
      </w:r>
      <w:r w:rsidR="00AE3390">
        <w:t xml:space="preserve"> in the form of a question which </w:t>
      </w:r>
      <w:r w:rsidR="003602ED">
        <w:t>ad</w:t>
      </w:r>
      <w:r w:rsidR="00AE3390">
        <w:t xml:space="preserve">mits a </w:t>
      </w:r>
      <w:r w:rsidR="00694793">
        <w:t>‘</w:t>
      </w:r>
      <w:r w:rsidR="00AE3390">
        <w:t>yes</w:t>
      </w:r>
      <w:r w:rsidR="00694793">
        <w:t>’</w:t>
      </w:r>
      <w:r w:rsidR="00AE3390">
        <w:t xml:space="preserve"> or </w:t>
      </w:r>
      <w:r w:rsidR="00694793">
        <w:t>‘</w:t>
      </w:r>
      <w:r w:rsidR="00AE3390">
        <w:t>no</w:t>
      </w:r>
      <w:r w:rsidR="00694793">
        <w:t>’</w:t>
      </w:r>
      <w:r w:rsidR="00AE3390">
        <w:t xml:space="preserve"> answer</w:t>
      </w:r>
      <w:r>
        <w:t xml:space="preserve">.  </w:t>
      </w:r>
      <w:r w:rsidR="002D2868">
        <w:t>For the proposal to be adopted, t</w:t>
      </w:r>
      <w:r w:rsidR="00AE3390">
        <w:t>he question</w:t>
      </w:r>
      <w:r w:rsidR="00F100DD">
        <w:t xml:space="preserve"> </w:t>
      </w:r>
      <w:r w:rsidR="00D61145">
        <w:t xml:space="preserve">usually </w:t>
      </w:r>
      <w:r w:rsidR="00F100DD">
        <w:t xml:space="preserve">must be </w:t>
      </w:r>
      <w:r w:rsidR="00AE3390">
        <w:t>answered yes</w:t>
      </w:r>
      <w:r w:rsidR="00F100DD">
        <w:t xml:space="preserve"> by a majority of </w:t>
      </w:r>
      <w:r>
        <w:t>electors</w:t>
      </w:r>
      <w:r w:rsidR="00F100DD">
        <w:t xml:space="preserve"> nationwide and in a majority of States.</w:t>
      </w:r>
      <w:r w:rsidR="00D61145">
        <w:rPr>
          <w:rStyle w:val="EndnoteReference"/>
        </w:rPr>
        <w:endnoteReference w:id="17"/>
      </w:r>
      <w:r w:rsidR="002C44B7">
        <w:t xml:space="preserve">  </w:t>
      </w:r>
    </w:p>
    <w:p w14:paraId="0C8231FA" w14:textId="2DB36AE4" w:rsidR="0086608A" w:rsidRDefault="00AE3390">
      <w:r>
        <w:t xml:space="preserve">The </w:t>
      </w:r>
      <w:r w:rsidR="003602ED">
        <w:t xml:space="preserve">referendum </w:t>
      </w:r>
      <w:r>
        <w:t xml:space="preserve">question need not spell out the details of the proposal. </w:t>
      </w:r>
      <w:r w:rsidR="0086608A">
        <w:t xml:space="preserve"> It is possible for the question to mislead (some) about the proposal.  For example, a </w:t>
      </w:r>
      <w:r w:rsidR="003602ED">
        <w:t xml:space="preserve">1988 </w:t>
      </w:r>
      <w:r w:rsidR="0086608A">
        <w:t xml:space="preserve">question as to ‘fair elections’ related to a proposal for a particular view of fairness; limiting the variance of the number of electors among Commonwealth </w:t>
      </w:r>
      <w:r w:rsidR="003602ED">
        <w:t xml:space="preserve">electorates </w:t>
      </w:r>
      <w:r w:rsidR="0086608A">
        <w:t>and among State electorates to a certain percentage.</w:t>
      </w:r>
    </w:p>
    <w:p w14:paraId="7B93293E" w14:textId="77777777" w:rsidR="002C44B7" w:rsidRDefault="0086608A">
      <w:r>
        <w:t>The question is put to a vote</w:t>
      </w:r>
      <w:r w:rsidR="003E29AD">
        <w:t xml:space="preserve"> via ballot papers</w:t>
      </w:r>
      <w:r>
        <w:t xml:space="preserve">.  Several questions can be put at once, and the vote can take place alongside a Federal election.  </w:t>
      </w:r>
    </w:p>
    <w:p w14:paraId="32613D62" w14:textId="2ADE4291" w:rsidR="003E29AD" w:rsidRDefault="0086608A">
      <w:r>
        <w:t>Typically</w:t>
      </w:r>
      <w:r w:rsidR="003E29AD">
        <w:t>,</w:t>
      </w:r>
      <w:r>
        <w:t xml:space="preserve"> there are campaigns for and against the question – yes and no</w:t>
      </w:r>
      <w:r w:rsidR="003E29AD">
        <w:t>.  T</w:t>
      </w:r>
      <w:r>
        <w:t>he Government usually support</w:t>
      </w:r>
      <w:r w:rsidR="003E29AD">
        <w:t>s</w:t>
      </w:r>
      <w:r>
        <w:t xml:space="preserve"> the ‘yes’ case.  There is an official pamphlet outli</w:t>
      </w:r>
      <w:r w:rsidR="003E29AD">
        <w:t>n</w:t>
      </w:r>
      <w:r>
        <w:t>ing the yes and no</w:t>
      </w:r>
      <w:r w:rsidR="003E29AD">
        <w:t xml:space="preserve"> </w:t>
      </w:r>
      <w:r>
        <w:t>cases</w:t>
      </w:r>
      <w:r w:rsidR="003E29AD">
        <w:t>.  The cases in the pamphlet are separately drafted by proponents and are not vetted for accuracy or truth.</w:t>
      </w:r>
    </w:p>
    <w:p w14:paraId="46CB8800" w14:textId="77777777" w:rsidR="00CB22E5" w:rsidRDefault="002C44B7">
      <w:r>
        <w:t xml:space="preserve">Since Federation there have been forty-four referendum proposals, eight of which were carried.  </w:t>
      </w:r>
    </w:p>
    <w:p w14:paraId="6554AF0D" w14:textId="0DD53128" w:rsidR="00215DE7" w:rsidRDefault="00F100DD">
      <w:r>
        <w:t xml:space="preserve">Achievement of success is reputedly problematic.  This has been variously ascribed to: a process which is designedly difficult; </w:t>
      </w:r>
      <w:r w:rsidR="00687A0A">
        <w:t xml:space="preserve">the electorate’s </w:t>
      </w:r>
      <w:r>
        <w:t xml:space="preserve">conservative, even suspicious, </w:t>
      </w:r>
      <w:r w:rsidR="00687A0A">
        <w:t>views about</w:t>
      </w:r>
      <w:r>
        <w:t xml:space="preserve"> </w:t>
      </w:r>
      <w:r w:rsidR="00687A0A">
        <w:t>changes in</w:t>
      </w:r>
      <w:r>
        <w:t xml:space="preserve"> political power; </w:t>
      </w:r>
      <w:r w:rsidR="00AE3390">
        <w:t xml:space="preserve">weak proposals; </w:t>
      </w:r>
      <w:r w:rsidR="00040A56">
        <w:t>poor</w:t>
      </w:r>
      <w:r>
        <w:t xml:space="preserve"> </w:t>
      </w:r>
      <w:r w:rsidR="00040A56">
        <w:t>(</w:t>
      </w:r>
      <w:r>
        <w:t>framing of</w:t>
      </w:r>
      <w:r w:rsidR="00040A56">
        <w:t>)</w:t>
      </w:r>
      <w:r>
        <w:t xml:space="preserve"> </w:t>
      </w:r>
      <w:r w:rsidR="00AE3390">
        <w:t>questions</w:t>
      </w:r>
      <w:r>
        <w:t>.</w:t>
      </w:r>
      <w:r w:rsidR="00040A56">
        <w:t xml:space="preserve">  </w:t>
      </w:r>
      <w:r w:rsidR="007473D6">
        <w:t>Former Prime Minister Turnbull, who has some experience in the field</w:t>
      </w:r>
      <w:r w:rsidR="007F290C">
        <w:t>,</w:t>
      </w:r>
      <w:r w:rsidR="00215DE7">
        <w:t xml:space="preserve"> claimed </w:t>
      </w:r>
      <w:r w:rsidR="000E6266">
        <w:t>pr</w:t>
      </w:r>
      <w:r w:rsidR="00215DE7">
        <w:t>oposal</w:t>
      </w:r>
      <w:r w:rsidR="00C81E8A">
        <w:t>s</w:t>
      </w:r>
      <w:r w:rsidR="00215DE7">
        <w:t xml:space="preserve"> can tolerate no more than tepid opposition.</w:t>
      </w:r>
      <w:r w:rsidR="007473D6">
        <w:rPr>
          <w:rStyle w:val="EndnoteReference"/>
        </w:rPr>
        <w:endnoteReference w:id="18"/>
      </w:r>
    </w:p>
    <w:p w14:paraId="5C315041" w14:textId="77777777" w:rsidR="003E29AD" w:rsidRDefault="003E29AD">
      <w:r>
        <w:t>Lack of voter interest can be an important factor.  There is a telling ‘no’ slogan:</w:t>
      </w:r>
    </w:p>
    <w:p w14:paraId="771724D0" w14:textId="77777777" w:rsidR="003E29AD" w:rsidRDefault="003E29AD" w:rsidP="003E29AD">
      <w:pPr>
        <w:ind w:firstLine="720"/>
      </w:pPr>
      <w:r w:rsidRPr="003E29AD">
        <w:rPr>
          <w:i/>
          <w:iCs/>
          <w:sz w:val="20"/>
          <w:szCs w:val="20"/>
        </w:rPr>
        <w:t>Don’t know – vote ‘no’</w:t>
      </w:r>
      <w:r>
        <w:t>.</w:t>
      </w:r>
    </w:p>
    <w:p w14:paraId="5CCDD765" w14:textId="5B4EBF8B" w:rsidR="00F100DD" w:rsidRDefault="00040A56" w:rsidP="003E29AD">
      <w:r>
        <w:t xml:space="preserve">Among </w:t>
      </w:r>
      <w:r w:rsidR="00687A0A">
        <w:t xml:space="preserve">rejected </w:t>
      </w:r>
      <w:r>
        <w:t>proposals: ability to make laws regarding communists; prices and incomes controls; recognition of local governments; interchange of Commonwealth and State powers; a right to trial by jury; fixed terms for Parliament.</w:t>
      </w:r>
    </w:p>
    <w:p w14:paraId="33F2F5D9" w14:textId="779E7C08" w:rsidR="002C44B7" w:rsidRDefault="00040A56">
      <w:r>
        <w:t>The proposal enjoying the strongest support</w:t>
      </w:r>
      <w:r w:rsidR="000E6266">
        <w:t>,</w:t>
      </w:r>
      <w:r>
        <w:t xml:space="preserve"> in 1967</w:t>
      </w:r>
      <w:r w:rsidR="000E6266">
        <w:t>,</w:t>
      </w:r>
      <w:r>
        <w:t xml:space="preserve"> was </w:t>
      </w:r>
      <w:r w:rsidR="00B15067">
        <w:t>to give the Commonwealth an</w:t>
      </w:r>
      <w:r>
        <w:t xml:space="preserve"> ability to make laws for Aboriginal people and for </w:t>
      </w:r>
      <w:r w:rsidR="002C44B7">
        <w:t>those</w:t>
      </w:r>
      <w:r>
        <w:t xml:space="preserve"> people to be included in </w:t>
      </w:r>
      <w:r w:rsidR="00E663B9">
        <w:t xml:space="preserve">national </w:t>
      </w:r>
      <w:r>
        <w:t>population counts.</w:t>
      </w:r>
      <w:r w:rsidR="00DF0AD1">
        <w:t xml:space="preserve">  </w:t>
      </w:r>
    </w:p>
    <w:p w14:paraId="3119C440" w14:textId="48A3969D" w:rsidR="00EC7D14" w:rsidRDefault="00DF0AD1">
      <w:pPr>
        <w:rPr>
          <w:rStyle w:val="EndnoteReference"/>
        </w:rPr>
      </w:pPr>
      <w:r>
        <w:t>The most recent successful proposals were in 1977</w:t>
      </w:r>
      <w:r w:rsidR="000E6266">
        <w:t xml:space="preserve">.  </w:t>
      </w:r>
      <w:r>
        <w:t>Since th</w:t>
      </w:r>
      <w:r w:rsidR="00687A0A">
        <w:t>en</w:t>
      </w:r>
      <w:r w:rsidR="002C44B7">
        <w:t>,</w:t>
      </w:r>
      <w:r>
        <w:t xml:space="preserve"> </w:t>
      </w:r>
      <w:r w:rsidR="002C44B7">
        <w:t>eight</w:t>
      </w:r>
      <w:r>
        <w:t xml:space="preserve"> proposals have been put.</w:t>
      </w:r>
      <w:r w:rsidR="002C44B7" w:rsidRPr="002C44B7">
        <w:rPr>
          <w:rStyle w:val="EndnoteReference"/>
        </w:rPr>
        <w:t xml:space="preserve"> </w:t>
      </w:r>
      <w:r w:rsidR="002C44B7">
        <w:rPr>
          <w:rStyle w:val="EndnoteReference"/>
        </w:rPr>
        <w:endnoteReference w:id="19"/>
      </w:r>
    </w:p>
    <w:p w14:paraId="46D5E684" w14:textId="77777777" w:rsidR="00EC7D14" w:rsidRDefault="00EC7D14">
      <w:pPr>
        <w:rPr>
          <w:rStyle w:val="EndnoteReference"/>
        </w:rPr>
      </w:pPr>
      <w:r>
        <w:rPr>
          <w:rStyle w:val="EndnoteReference"/>
        </w:rPr>
        <w:br w:type="page"/>
      </w:r>
    </w:p>
    <w:p w14:paraId="4F4E1725" w14:textId="6B2BB4CD" w:rsidR="00F45E58" w:rsidRDefault="00F45E58" w:rsidP="00656607">
      <w:pPr>
        <w:pStyle w:val="Heading2"/>
      </w:pPr>
      <w:bookmarkStart w:id="8" w:name="_Toc15287787"/>
      <w:r>
        <w:lastRenderedPageBreak/>
        <w:t>4.</w:t>
      </w:r>
      <w:r>
        <w:tab/>
      </w:r>
      <w:r w:rsidR="00656607">
        <w:t>Criteria and proposal</w:t>
      </w:r>
      <w:r w:rsidR="00462C79">
        <w:t>s</w:t>
      </w:r>
      <w:bookmarkEnd w:id="8"/>
    </w:p>
    <w:p w14:paraId="030024BB" w14:textId="37E271A1" w:rsidR="00F45E58" w:rsidRDefault="00656607" w:rsidP="00F45E58">
      <w:pPr>
        <w:pStyle w:val="Heading3"/>
      </w:pPr>
      <w:bookmarkStart w:id="9" w:name="_Toc15287788"/>
      <w:r>
        <w:t>4.1</w:t>
      </w:r>
      <w:r w:rsidR="00F45E58">
        <w:t xml:space="preserve"> </w:t>
      </w:r>
      <w:r>
        <w:tab/>
      </w:r>
      <w:r w:rsidR="00F45E58">
        <w:t>Criteria</w:t>
      </w:r>
      <w:bookmarkEnd w:id="9"/>
    </w:p>
    <w:p w14:paraId="378DC338" w14:textId="77777777" w:rsidR="00F45E58" w:rsidRDefault="00F45E58" w:rsidP="00F45E58">
      <w:pPr>
        <w:spacing w:after="0"/>
      </w:pPr>
      <w:r>
        <w:t>I propose four considerations in developing a proposal for an Australian referendum:</w:t>
      </w:r>
    </w:p>
    <w:p w14:paraId="54871868" w14:textId="77777777" w:rsidR="00F45E58" w:rsidRDefault="00F45E58" w:rsidP="00F45E58">
      <w:pPr>
        <w:pStyle w:val="ListParagraph"/>
        <w:numPr>
          <w:ilvl w:val="0"/>
          <w:numId w:val="3"/>
        </w:numPr>
        <w:ind w:left="720"/>
      </w:pPr>
      <w:r>
        <w:t>importance of the issue;</w:t>
      </w:r>
    </w:p>
    <w:p w14:paraId="5DC02F30" w14:textId="379B8701" w:rsidR="00F45E58" w:rsidRDefault="00721BAF" w:rsidP="00F45E58">
      <w:pPr>
        <w:pStyle w:val="ListParagraph"/>
        <w:numPr>
          <w:ilvl w:val="0"/>
          <w:numId w:val="3"/>
        </w:numPr>
        <w:ind w:left="720"/>
      </w:pPr>
      <w:r>
        <w:t>clarity of the proposal</w:t>
      </w:r>
      <w:r w:rsidR="00F45E58">
        <w:t>;</w:t>
      </w:r>
    </w:p>
    <w:p w14:paraId="30DF235F" w14:textId="77777777" w:rsidR="00F45E58" w:rsidRDefault="00F45E58" w:rsidP="00F45E58">
      <w:pPr>
        <w:pStyle w:val="ListParagraph"/>
        <w:numPr>
          <w:ilvl w:val="0"/>
          <w:numId w:val="3"/>
        </w:numPr>
        <w:ind w:left="720"/>
      </w:pPr>
      <w:r>
        <w:t>consequences of failure;</w:t>
      </w:r>
    </w:p>
    <w:p w14:paraId="7B5CD2AB" w14:textId="77777777" w:rsidR="00F45E58" w:rsidRDefault="00F45E58" w:rsidP="00F45E58">
      <w:pPr>
        <w:pStyle w:val="ListParagraph"/>
        <w:numPr>
          <w:ilvl w:val="0"/>
          <w:numId w:val="3"/>
        </w:numPr>
        <w:ind w:left="720"/>
      </w:pPr>
      <w:r>
        <w:t>likelihood of success.</w:t>
      </w:r>
    </w:p>
    <w:p w14:paraId="330ADE30" w14:textId="4DC6ADA3" w:rsidR="00F45E58" w:rsidRDefault="00F45E58" w:rsidP="00F45E58">
      <w:r>
        <w:t>Importance relates to the degree to which society would be improved by changes to Commonwealth practices</w:t>
      </w:r>
      <w:r w:rsidR="003F4AB3">
        <w:t xml:space="preserve"> and laws</w:t>
      </w:r>
      <w:r>
        <w:t>.  Examples of important matters are those in which the Commonwealth Government seeks to operate extra-Constitutionally, for example in transport infrastructure.</w:t>
      </w:r>
    </w:p>
    <w:p w14:paraId="42FA98DA" w14:textId="62B218B1" w:rsidR="00F45E58" w:rsidRDefault="00721BAF" w:rsidP="00F45E58">
      <w:r>
        <w:t>Clarity</w:t>
      </w:r>
      <w:r w:rsidR="00F45E58">
        <w:t xml:space="preserve"> is whether a proposal would (has) properly inform the public about the consequences of the changes sought.  </w:t>
      </w:r>
      <w:r w:rsidR="002C44B7">
        <w:t xml:space="preserve">It is not </w:t>
      </w:r>
      <w:r w:rsidR="00EA0399">
        <w:t>a</w:t>
      </w:r>
      <w:r w:rsidR="002C44B7">
        <w:t xml:space="preserve"> view as to whether the proposal should be accepted.</w:t>
      </w:r>
      <w:r w:rsidR="003F4AB3">
        <w:t xml:space="preserve">  </w:t>
      </w:r>
      <w:r w:rsidR="00F45E58">
        <w:t xml:space="preserve">An example of lack of </w:t>
      </w:r>
      <w:r>
        <w:t>clarity</w:t>
      </w:r>
      <w:r w:rsidR="00F45E58">
        <w:t xml:space="preserve"> is the 1999 republic proposal which </w:t>
      </w:r>
      <w:r w:rsidR="00694793">
        <w:t>was said</w:t>
      </w:r>
      <w:r w:rsidR="00F45E58">
        <w:t xml:space="preserve"> to have the Parliament appoint</w:t>
      </w:r>
      <w:r w:rsidR="00E0776B">
        <w:t>ing</w:t>
      </w:r>
      <w:r w:rsidR="00F45E58">
        <w:t xml:space="preserve"> a Head of State.  While technically correct, in practice the Government would determine the Head of State because power of dismissal was to rest with the House of Representatives.</w:t>
      </w:r>
    </w:p>
    <w:p w14:paraId="22C6ACA1" w14:textId="6BA9AA82" w:rsidR="00F45E58" w:rsidRDefault="00F45E58" w:rsidP="00F45E58">
      <w:r>
        <w:t xml:space="preserve">Consequence of failure relates to the impact on proponents of rejection of a proposal.  This is particularly relevant to ‘symbolic’ matters.  Some might see rejection of such proposals as disapproval of proponents and their underlying principles </w:t>
      </w:r>
      <w:r w:rsidR="005A7CC5">
        <w:t>-</w:t>
      </w:r>
      <w:r>
        <w:t xml:space="preserve"> not merely disagree</w:t>
      </w:r>
      <w:r w:rsidR="005A7CC5">
        <w:t>ing to</w:t>
      </w:r>
      <w:r>
        <w:t xml:space="preserve"> alter Commonwealth powers.  </w:t>
      </w:r>
    </w:p>
    <w:p w14:paraId="3AD95044" w14:textId="59DE26E6" w:rsidR="00F45E58" w:rsidRDefault="00F45E58" w:rsidP="00F45E58">
      <w:r>
        <w:t xml:space="preserve">Likelihood of success relates to factors identified by </w:t>
      </w:r>
      <w:r w:rsidR="003602ED">
        <w:t xml:space="preserve">Professor </w:t>
      </w:r>
      <w:r>
        <w:t>Williams</w:t>
      </w:r>
      <w:r w:rsidR="00CF1746">
        <w:t xml:space="preserve"> and Hume</w:t>
      </w:r>
      <w:r>
        <w:t xml:space="preserve">.  These are: bipartisan support; popular ownership; popular education; sound and sensible proposals; a modern process.  The last relates to allowing the Commonwealth to advocate a proposal, an informative rather than argumentative official yes/no explanation </w:t>
      </w:r>
      <w:r w:rsidR="002E037F">
        <w:t xml:space="preserve">and </w:t>
      </w:r>
      <w:r>
        <w:t xml:space="preserve">committees to </w:t>
      </w:r>
      <w:r w:rsidR="002E037F">
        <w:t>put</w:t>
      </w:r>
      <w:r>
        <w:t xml:space="preserve"> the yes and no cases.</w:t>
      </w:r>
      <w:r>
        <w:rPr>
          <w:rStyle w:val="EndnoteReference"/>
        </w:rPr>
        <w:endnoteReference w:id="20"/>
      </w:r>
    </w:p>
    <w:p w14:paraId="3DE907E3" w14:textId="77777777" w:rsidR="00F45E58" w:rsidRDefault="00F45E58" w:rsidP="00F45E58">
      <w:r>
        <w:t>These four considerations could be used to test the suitability of propositions for referendums.</w:t>
      </w:r>
    </w:p>
    <w:p w14:paraId="2FE0585F" w14:textId="01734340" w:rsidR="00F45E58" w:rsidRDefault="00F45E58" w:rsidP="00F45E58">
      <w:pPr>
        <w:pStyle w:val="Heading3"/>
      </w:pPr>
      <w:bookmarkStart w:id="10" w:name="_Toc15287789"/>
      <w:r>
        <w:t>4.2</w:t>
      </w:r>
      <w:r>
        <w:tab/>
      </w:r>
      <w:r w:rsidR="00656607">
        <w:t xml:space="preserve">Application of criteria, </w:t>
      </w:r>
      <w:r>
        <w:t>summary</w:t>
      </w:r>
      <w:bookmarkEnd w:id="10"/>
    </w:p>
    <w:p w14:paraId="4CAB043C" w14:textId="77777777" w:rsidR="00F45E58" w:rsidRDefault="00F45E58" w:rsidP="00F45E58">
      <w:r>
        <w:t>The following table gives my indicative rating of several referendum topics using the criteria of section 2.2 above.   Red text indicates a possible failure point.</w:t>
      </w:r>
    </w:p>
    <w:p w14:paraId="47AA87FC" w14:textId="77777777" w:rsidR="00F45E58" w:rsidRPr="00971B23" w:rsidRDefault="00F45E58" w:rsidP="00F45E58">
      <w:pPr>
        <w:spacing w:after="0"/>
        <w:rPr>
          <w:b/>
        </w:rPr>
      </w:pPr>
      <w:r w:rsidRPr="00971B23">
        <w:rPr>
          <w:b/>
        </w:rPr>
        <w:t xml:space="preserve">Table: </w:t>
      </w:r>
      <w:r>
        <w:rPr>
          <w:b/>
        </w:rPr>
        <w:t>S</w:t>
      </w:r>
      <w:r w:rsidRPr="00971B23">
        <w:rPr>
          <w:b/>
        </w:rPr>
        <w:t>ummary rating</w:t>
      </w:r>
    </w:p>
    <w:tbl>
      <w:tblPr>
        <w:tblStyle w:val="TableGrid"/>
        <w:tblW w:w="0" w:type="auto"/>
        <w:tblLook w:val="04A0" w:firstRow="1" w:lastRow="0" w:firstColumn="1" w:lastColumn="0" w:noHBand="0" w:noVBand="1"/>
      </w:tblPr>
      <w:tblGrid>
        <w:gridCol w:w="2673"/>
        <w:gridCol w:w="1415"/>
        <w:gridCol w:w="1030"/>
        <w:gridCol w:w="1834"/>
        <w:gridCol w:w="2064"/>
      </w:tblGrid>
      <w:tr w:rsidR="00F45E58" w14:paraId="33EB42B8" w14:textId="77777777" w:rsidTr="00CB22E5">
        <w:tc>
          <w:tcPr>
            <w:tcW w:w="2673" w:type="dxa"/>
          </w:tcPr>
          <w:p w14:paraId="742FA95B" w14:textId="77777777" w:rsidR="00F45E58" w:rsidRPr="00F0591C" w:rsidRDefault="00F45E58" w:rsidP="0009142E">
            <w:pPr>
              <w:rPr>
                <w:b/>
                <w:sz w:val="20"/>
                <w:szCs w:val="20"/>
              </w:rPr>
            </w:pPr>
            <w:r w:rsidRPr="00F0591C">
              <w:rPr>
                <w:b/>
                <w:sz w:val="20"/>
                <w:szCs w:val="20"/>
              </w:rPr>
              <w:t>Topic</w:t>
            </w:r>
          </w:p>
        </w:tc>
        <w:tc>
          <w:tcPr>
            <w:tcW w:w="1415" w:type="dxa"/>
          </w:tcPr>
          <w:p w14:paraId="63810DF4" w14:textId="77777777" w:rsidR="00F45E58" w:rsidRPr="00F0591C" w:rsidRDefault="00F45E58" w:rsidP="0009142E">
            <w:pPr>
              <w:rPr>
                <w:b/>
                <w:sz w:val="20"/>
                <w:szCs w:val="20"/>
              </w:rPr>
            </w:pPr>
            <w:r w:rsidRPr="00F0591C">
              <w:rPr>
                <w:b/>
                <w:sz w:val="20"/>
                <w:szCs w:val="20"/>
              </w:rPr>
              <w:t>a. Importance</w:t>
            </w:r>
          </w:p>
        </w:tc>
        <w:tc>
          <w:tcPr>
            <w:tcW w:w="1030" w:type="dxa"/>
          </w:tcPr>
          <w:p w14:paraId="69013A41" w14:textId="0887D8AB" w:rsidR="00F45E58" w:rsidRPr="00F0591C" w:rsidRDefault="00F45E58" w:rsidP="0009142E">
            <w:pPr>
              <w:rPr>
                <w:b/>
                <w:sz w:val="20"/>
                <w:szCs w:val="20"/>
              </w:rPr>
            </w:pPr>
            <w:r w:rsidRPr="00F0591C">
              <w:rPr>
                <w:b/>
                <w:sz w:val="20"/>
                <w:szCs w:val="20"/>
              </w:rPr>
              <w:t xml:space="preserve">b. </w:t>
            </w:r>
            <w:r w:rsidR="00721BAF">
              <w:rPr>
                <w:b/>
                <w:sz w:val="20"/>
                <w:szCs w:val="20"/>
              </w:rPr>
              <w:t>Clarity</w:t>
            </w:r>
          </w:p>
        </w:tc>
        <w:tc>
          <w:tcPr>
            <w:tcW w:w="1834" w:type="dxa"/>
          </w:tcPr>
          <w:p w14:paraId="6F24D00A" w14:textId="77777777" w:rsidR="00F45E58" w:rsidRPr="00F0591C" w:rsidRDefault="00F45E58" w:rsidP="0009142E">
            <w:pPr>
              <w:rPr>
                <w:b/>
                <w:sz w:val="20"/>
                <w:szCs w:val="20"/>
              </w:rPr>
            </w:pPr>
            <w:r w:rsidRPr="00F0591C">
              <w:rPr>
                <w:b/>
                <w:sz w:val="20"/>
                <w:szCs w:val="20"/>
              </w:rPr>
              <w:t xml:space="preserve">c. Failure </w:t>
            </w:r>
            <w:r>
              <w:rPr>
                <w:b/>
                <w:sz w:val="20"/>
                <w:szCs w:val="20"/>
              </w:rPr>
              <w:t>effect</w:t>
            </w:r>
            <w:r w:rsidRPr="00F0591C">
              <w:rPr>
                <w:b/>
                <w:sz w:val="20"/>
                <w:szCs w:val="20"/>
              </w:rPr>
              <w:t xml:space="preserve"> </w:t>
            </w:r>
          </w:p>
        </w:tc>
        <w:tc>
          <w:tcPr>
            <w:tcW w:w="2064" w:type="dxa"/>
          </w:tcPr>
          <w:p w14:paraId="724DF635" w14:textId="77777777" w:rsidR="00F45E58" w:rsidRPr="00F0591C" w:rsidRDefault="00F45E58" w:rsidP="0009142E">
            <w:pPr>
              <w:rPr>
                <w:b/>
                <w:sz w:val="20"/>
                <w:szCs w:val="20"/>
              </w:rPr>
            </w:pPr>
            <w:r w:rsidRPr="00F0591C">
              <w:rPr>
                <w:b/>
                <w:sz w:val="20"/>
                <w:szCs w:val="20"/>
              </w:rPr>
              <w:t>d. Success likelihood</w:t>
            </w:r>
          </w:p>
        </w:tc>
      </w:tr>
      <w:tr w:rsidR="00F45E58" w14:paraId="7EC48364" w14:textId="77777777" w:rsidTr="00CB22E5">
        <w:tc>
          <w:tcPr>
            <w:tcW w:w="2673" w:type="dxa"/>
          </w:tcPr>
          <w:p w14:paraId="636B633C" w14:textId="77777777" w:rsidR="00F45E58" w:rsidRPr="00F0591C" w:rsidRDefault="00F45E58" w:rsidP="0009142E">
            <w:pPr>
              <w:rPr>
                <w:b/>
                <w:i/>
                <w:sz w:val="20"/>
                <w:szCs w:val="20"/>
              </w:rPr>
            </w:pPr>
            <w:r w:rsidRPr="00F0591C">
              <w:rPr>
                <w:b/>
                <w:i/>
                <w:sz w:val="20"/>
                <w:szCs w:val="20"/>
              </w:rPr>
              <w:t>Fixed terms of Parliament</w:t>
            </w:r>
          </w:p>
        </w:tc>
        <w:tc>
          <w:tcPr>
            <w:tcW w:w="1415" w:type="dxa"/>
          </w:tcPr>
          <w:p w14:paraId="29CADF32" w14:textId="77777777" w:rsidR="00F45E58" w:rsidRPr="00F0591C" w:rsidRDefault="00F45E58" w:rsidP="0009142E">
            <w:pPr>
              <w:rPr>
                <w:sz w:val="20"/>
                <w:szCs w:val="20"/>
              </w:rPr>
            </w:pPr>
            <w:r w:rsidRPr="00F0591C">
              <w:rPr>
                <w:color w:val="FF0000"/>
                <w:sz w:val="20"/>
                <w:szCs w:val="20"/>
              </w:rPr>
              <w:t>Low</w:t>
            </w:r>
          </w:p>
        </w:tc>
        <w:tc>
          <w:tcPr>
            <w:tcW w:w="1030" w:type="dxa"/>
          </w:tcPr>
          <w:p w14:paraId="66E1584E" w14:textId="77777777" w:rsidR="00F45E58" w:rsidRPr="00F0591C" w:rsidRDefault="00F45E58" w:rsidP="0009142E">
            <w:pPr>
              <w:rPr>
                <w:color w:val="FF0000"/>
                <w:sz w:val="20"/>
                <w:szCs w:val="20"/>
              </w:rPr>
            </w:pPr>
            <w:r w:rsidRPr="00F0591C">
              <w:rPr>
                <w:color w:val="FF0000"/>
                <w:sz w:val="20"/>
                <w:szCs w:val="20"/>
              </w:rPr>
              <w:t>Low</w:t>
            </w:r>
          </w:p>
        </w:tc>
        <w:tc>
          <w:tcPr>
            <w:tcW w:w="1834" w:type="dxa"/>
          </w:tcPr>
          <w:p w14:paraId="6E058BB0" w14:textId="77777777" w:rsidR="00F45E58" w:rsidRPr="00F0591C" w:rsidRDefault="00F45E58" w:rsidP="0009142E">
            <w:pPr>
              <w:rPr>
                <w:sz w:val="20"/>
                <w:szCs w:val="20"/>
              </w:rPr>
            </w:pPr>
            <w:r w:rsidRPr="00F0591C">
              <w:rPr>
                <w:color w:val="FF0000"/>
                <w:sz w:val="20"/>
                <w:szCs w:val="20"/>
              </w:rPr>
              <w:t>N</w:t>
            </w:r>
            <w:r>
              <w:rPr>
                <w:color w:val="FF0000"/>
                <w:sz w:val="20"/>
                <w:szCs w:val="20"/>
              </w:rPr>
              <w:t>eutral</w:t>
            </w:r>
          </w:p>
        </w:tc>
        <w:tc>
          <w:tcPr>
            <w:tcW w:w="2064" w:type="dxa"/>
          </w:tcPr>
          <w:p w14:paraId="65CCD998" w14:textId="77777777" w:rsidR="00F45E58" w:rsidRPr="00F0591C" w:rsidRDefault="00F45E58" w:rsidP="0009142E">
            <w:pPr>
              <w:rPr>
                <w:sz w:val="20"/>
                <w:szCs w:val="20"/>
              </w:rPr>
            </w:pPr>
            <w:r w:rsidRPr="00F0591C">
              <w:rPr>
                <w:color w:val="FF0000"/>
                <w:sz w:val="20"/>
                <w:szCs w:val="20"/>
              </w:rPr>
              <w:t>Low</w:t>
            </w:r>
          </w:p>
        </w:tc>
      </w:tr>
      <w:tr w:rsidR="00F45E58" w14:paraId="67B42F22" w14:textId="77777777" w:rsidTr="00CB22E5">
        <w:tc>
          <w:tcPr>
            <w:tcW w:w="2673" w:type="dxa"/>
          </w:tcPr>
          <w:p w14:paraId="53F1981A" w14:textId="77777777" w:rsidR="00F45E58" w:rsidRPr="00F0591C" w:rsidRDefault="00F45E58" w:rsidP="0009142E">
            <w:pPr>
              <w:rPr>
                <w:b/>
                <w:i/>
                <w:sz w:val="20"/>
                <w:szCs w:val="20"/>
              </w:rPr>
            </w:pPr>
            <w:r w:rsidRPr="00F0591C">
              <w:rPr>
                <w:b/>
                <w:i/>
                <w:sz w:val="20"/>
                <w:szCs w:val="20"/>
              </w:rPr>
              <w:t>Republic #</w:t>
            </w:r>
          </w:p>
        </w:tc>
        <w:tc>
          <w:tcPr>
            <w:tcW w:w="1415" w:type="dxa"/>
          </w:tcPr>
          <w:p w14:paraId="7664F230" w14:textId="1936959B" w:rsidR="00F45E58" w:rsidRPr="00F0591C" w:rsidRDefault="00F45E58" w:rsidP="0009142E">
            <w:pPr>
              <w:rPr>
                <w:color w:val="FF0000"/>
                <w:sz w:val="20"/>
                <w:szCs w:val="20"/>
              </w:rPr>
            </w:pPr>
            <w:r w:rsidRPr="00F0591C">
              <w:rPr>
                <w:sz w:val="20"/>
                <w:szCs w:val="20"/>
              </w:rPr>
              <w:t>M</w:t>
            </w:r>
            <w:r w:rsidR="00A20399">
              <w:rPr>
                <w:sz w:val="20"/>
                <w:szCs w:val="20"/>
              </w:rPr>
              <w:t>oderate</w:t>
            </w:r>
          </w:p>
        </w:tc>
        <w:tc>
          <w:tcPr>
            <w:tcW w:w="1030" w:type="dxa"/>
          </w:tcPr>
          <w:p w14:paraId="19AC05FD" w14:textId="77777777" w:rsidR="00F45E58" w:rsidRPr="00F0591C" w:rsidRDefault="00F45E58" w:rsidP="0009142E">
            <w:pPr>
              <w:rPr>
                <w:color w:val="FF0000"/>
                <w:sz w:val="20"/>
                <w:szCs w:val="20"/>
              </w:rPr>
            </w:pPr>
            <w:r w:rsidRPr="00F0591C">
              <w:rPr>
                <w:color w:val="FF0000"/>
                <w:sz w:val="20"/>
                <w:szCs w:val="20"/>
              </w:rPr>
              <w:t>Low</w:t>
            </w:r>
          </w:p>
        </w:tc>
        <w:tc>
          <w:tcPr>
            <w:tcW w:w="1834" w:type="dxa"/>
          </w:tcPr>
          <w:p w14:paraId="776E79C6" w14:textId="77777777" w:rsidR="00F45E58" w:rsidRPr="00F0591C" w:rsidRDefault="00F45E58" w:rsidP="0009142E">
            <w:pPr>
              <w:rPr>
                <w:color w:val="FF0000"/>
                <w:sz w:val="20"/>
                <w:szCs w:val="20"/>
              </w:rPr>
            </w:pPr>
            <w:r w:rsidRPr="00F0591C">
              <w:rPr>
                <w:color w:val="FF0000"/>
                <w:sz w:val="20"/>
                <w:szCs w:val="20"/>
              </w:rPr>
              <w:t>Negative</w:t>
            </w:r>
          </w:p>
        </w:tc>
        <w:tc>
          <w:tcPr>
            <w:tcW w:w="2064" w:type="dxa"/>
          </w:tcPr>
          <w:p w14:paraId="644289FA" w14:textId="77777777" w:rsidR="00F45E58" w:rsidRPr="00F0591C" w:rsidRDefault="00F45E58" w:rsidP="0009142E">
            <w:pPr>
              <w:rPr>
                <w:color w:val="FF0000"/>
                <w:sz w:val="20"/>
                <w:szCs w:val="20"/>
              </w:rPr>
            </w:pPr>
            <w:r w:rsidRPr="00F0591C">
              <w:rPr>
                <w:color w:val="FF0000"/>
                <w:sz w:val="20"/>
                <w:szCs w:val="20"/>
              </w:rPr>
              <w:t>Low</w:t>
            </w:r>
          </w:p>
        </w:tc>
      </w:tr>
      <w:tr w:rsidR="00F45E58" w14:paraId="65EBD4A1" w14:textId="77777777" w:rsidTr="00CB22E5">
        <w:tc>
          <w:tcPr>
            <w:tcW w:w="2673" w:type="dxa"/>
          </w:tcPr>
          <w:p w14:paraId="06811A19" w14:textId="77777777" w:rsidR="00F45E58" w:rsidRPr="00F0591C" w:rsidRDefault="00F45E58" w:rsidP="0009142E">
            <w:pPr>
              <w:rPr>
                <w:b/>
                <w:i/>
                <w:sz w:val="20"/>
                <w:szCs w:val="20"/>
              </w:rPr>
            </w:pPr>
            <w:r w:rsidRPr="00F0591C">
              <w:rPr>
                <w:b/>
                <w:i/>
                <w:sz w:val="20"/>
                <w:szCs w:val="20"/>
              </w:rPr>
              <w:t>Indigenous</w:t>
            </w:r>
          </w:p>
          <w:p w14:paraId="21D2F665" w14:textId="77777777" w:rsidR="00F45E58" w:rsidRPr="00F0591C" w:rsidRDefault="00F45E58" w:rsidP="0009142E">
            <w:pPr>
              <w:rPr>
                <w:b/>
                <w:i/>
                <w:sz w:val="20"/>
                <w:szCs w:val="20"/>
              </w:rPr>
            </w:pPr>
            <w:r w:rsidRPr="00F0591C">
              <w:rPr>
                <w:b/>
                <w:i/>
                <w:sz w:val="20"/>
                <w:szCs w:val="20"/>
              </w:rPr>
              <w:t xml:space="preserve"> Voice #</w:t>
            </w:r>
          </w:p>
          <w:p w14:paraId="354334D8" w14:textId="77777777" w:rsidR="00F45E58" w:rsidRPr="00F0591C" w:rsidRDefault="00F45E58" w:rsidP="0009142E">
            <w:pPr>
              <w:rPr>
                <w:b/>
                <w:i/>
                <w:sz w:val="20"/>
                <w:szCs w:val="20"/>
              </w:rPr>
            </w:pPr>
            <w:r w:rsidRPr="00F0591C">
              <w:rPr>
                <w:b/>
                <w:i/>
                <w:sz w:val="20"/>
                <w:szCs w:val="20"/>
              </w:rPr>
              <w:t xml:space="preserve"> Recognition #</w:t>
            </w:r>
          </w:p>
          <w:p w14:paraId="6E4F0620" w14:textId="77777777" w:rsidR="00F45E58" w:rsidRPr="00F0591C" w:rsidRDefault="00F45E58" w:rsidP="0009142E">
            <w:pPr>
              <w:rPr>
                <w:b/>
                <w:i/>
                <w:sz w:val="20"/>
                <w:szCs w:val="20"/>
              </w:rPr>
            </w:pPr>
            <w:r w:rsidRPr="00F0591C">
              <w:rPr>
                <w:b/>
                <w:i/>
                <w:sz w:val="20"/>
                <w:szCs w:val="20"/>
              </w:rPr>
              <w:t xml:space="preserve"> Rights</w:t>
            </w:r>
          </w:p>
        </w:tc>
        <w:tc>
          <w:tcPr>
            <w:tcW w:w="1415" w:type="dxa"/>
          </w:tcPr>
          <w:p w14:paraId="68AAFAA6" w14:textId="77777777" w:rsidR="00F45E58" w:rsidRPr="00F0591C" w:rsidRDefault="00F45E58" w:rsidP="0009142E">
            <w:pPr>
              <w:rPr>
                <w:sz w:val="20"/>
                <w:szCs w:val="20"/>
              </w:rPr>
            </w:pPr>
          </w:p>
          <w:p w14:paraId="025EAA6B" w14:textId="77777777" w:rsidR="00F45E58" w:rsidRPr="00F0591C" w:rsidRDefault="00F45E58" w:rsidP="0009142E">
            <w:pPr>
              <w:rPr>
                <w:sz w:val="20"/>
                <w:szCs w:val="20"/>
              </w:rPr>
            </w:pPr>
            <w:r w:rsidRPr="00F0591C">
              <w:rPr>
                <w:sz w:val="20"/>
                <w:szCs w:val="20"/>
              </w:rPr>
              <w:t>High</w:t>
            </w:r>
          </w:p>
          <w:p w14:paraId="04BC84DF" w14:textId="4E7C8AD7" w:rsidR="00F45E58" w:rsidRPr="00F0591C" w:rsidRDefault="00F45E58" w:rsidP="0009142E">
            <w:pPr>
              <w:rPr>
                <w:sz w:val="20"/>
                <w:szCs w:val="20"/>
              </w:rPr>
            </w:pPr>
            <w:r w:rsidRPr="00F0591C">
              <w:rPr>
                <w:sz w:val="20"/>
                <w:szCs w:val="20"/>
              </w:rPr>
              <w:t>M</w:t>
            </w:r>
            <w:r w:rsidR="00A20399">
              <w:rPr>
                <w:sz w:val="20"/>
                <w:szCs w:val="20"/>
              </w:rPr>
              <w:t>oderate</w:t>
            </w:r>
          </w:p>
          <w:p w14:paraId="4F4202C1" w14:textId="77777777" w:rsidR="00F45E58" w:rsidRPr="00F0591C" w:rsidRDefault="00F45E58" w:rsidP="0009142E">
            <w:pPr>
              <w:rPr>
                <w:sz w:val="20"/>
                <w:szCs w:val="20"/>
              </w:rPr>
            </w:pPr>
            <w:r w:rsidRPr="00F0591C">
              <w:rPr>
                <w:color w:val="FF0000"/>
                <w:sz w:val="20"/>
                <w:szCs w:val="20"/>
              </w:rPr>
              <w:t>Low</w:t>
            </w:r>
          </w:p>
        </w:tc>
        <w:tc>
          <w:tcPr>
            <w:tcW w:w="1030" w:type="dxa"/>
          </w:tcPr>
          <w:p w14:paraId="3270893C" w14:textId="77777777" w:rsidR="00F45E58" w:rsidRPr="00F0591C" w:rsidRDefault="00F45E58" w:rsidP="0009142E">
            <w:pPr>
              <w:rPr>
                <w:sz w:val="20"/>
                <w:szCs w:val="20"/>
              </w:rPr>
            </w:pPr>
          </w:p>
          <w:p w14:paraId="224D9944" w14:textId="586B7191" w:rsidR="00F45E58" w:rsidRPr="00F0591C" w:rsidRDefault="00721BAF" w:rsidP="0009142E">
            <w:pPr>
              <w:rPr>
                <w:sz w:val="20"/>
                <w:szCs w:val="20"/>
              </w:rPr>
            </w:pPr>
            <w:r>
              <w:rPr>
                <w:sz w:val="20"/>
                <w:szCs w:val="20"/>
              </w:rPr>
              <w:t>Moderate</w:t>
            </w:r>
          </w:p>
          <w:p w14:paraId="15FD90B6" w14:textId="3911A4D9" w:rsidR="00F45E58" w:rsidRPr="00721BAF" w:rsidRDefault="00721BAF" w:rsidP="0009142E">
            <w:pPr>
              <w:rPr>
                <w:color w:val="FF0000"/>
                <w:sz w:val="20"/>
                <w:szCs w:val="20"/>
              </w:rPr>
            </w:pPr>
            <w:r w:rsidRPr="00721BAF">
              <w:rPr>
                <w:color w:val="FF0000"/>
                <w:sz w:val="20"/>
                <w:szCs w:val="20"/>
              </w:rPr>
              <w:t>Low</w:t>
            </w:r>
          </w:p>
          <w:p w14:paraId="3BA542C6" w14:textId="77777777" w:rsidR="00F45E58" w:rsidRPr="00F0591C" w:rsidRDefault="00F45E58" w:rsidP="0009142E">
            <w:pPr>
              <w:rPr>
                <w:sz w:val="20"/>
                <w:szCs w:val="20"/>
              </w:rPr>
            </w:pPr>
            <w:r w:rsidRPr="00F0591C">
              <w:rPr>
                <w:color w:val="FF0000"/>
                <w:sz w:val="20"/>
                <w:szCs w:val="20"/>
              </w:rPr>
              <w:t>Low</w:t>
            </w:r>
          </w:p>
        </w:tc>
        <w:tc>
          <w:tcPr>
            <w:tcW w:w="1834" w:type="dxa"/>
          </w:tcPr>
          <w:p w14:paraId="4DFF89A9" w14:textId="77777777" w:rsidR="00F45E58" w:rsidRPr="00F0591C" w:rsidRDefault="00F45E58" w:rsidP="0009142E">
            <w:pPr>
              <w:rPr>
                <w:sz w:val="20"/>
                <w:szCs w:val="20"/>
              </w:rPr>
            </w:pPr>
          </w:p>
          <w:p w14:paraId="5F50E92A" w14:textId="77777777" w:rsidR="00F45E58" w:rsidRPr="00A20399" w:rsidRDefault="00F45E58" w:rsidP="0009142E">
            <w:pPr>
              <w:rPr>
                <w:color w:val="FF0000"/>
                <w:sz w:val="20"/>
                <w:szCs w:val="20"/>
              </w:rPr>
            </w:pPr>
            <w:r w:rsidRPr="00A20399">
              <w:rPr>
                <w:color w:val="FF0000"/>
                <w:sz w:val="20"/>
                <w:szCs w:val="20"/>
              </w:rPr>
              <w:t>Negative</w:t>
            </w:r>
          </w:p>
          <w:p w14:paraId="3E0DE91E" w14:textId="77777777" w:rsidR="00F45E58" w:rsidRPr="00F0591C" w:rsidRDefault="00F45E58" w:rsidP="0009142E">
            <w:pPr>
              <w:rPr>
                <w:color w:val="FF0000"/>
                <w:sz w:val="20"/>
                <w:szCs w:val="20"/>
              </w:rPr>
            </w:pPr>
            <w:r w:rsidRPr="00F0591C">
              <w:rPr>
                <w:color w:val="FF0000"/>
                <w:sz w:val="20"/>
                <w:szCs w:val="20"/>
              </w:rPr>
              <w:t>Large negative</w:t>
            </w:r>
          </w:p>
          <w:p w14:paraId="36B4FD37" w14:textId="77777777" w:rsidR="00F45E58" w:rsidRPr="00F0591C" w:rsidRDefault="00F45E58" w:rsidP="0009142E">
            <w:pPr>
              <w:rPr>
                <w:sz w:val="20"/>
                <w:szCs w:val="20"/>
              </w:rPr>
            </w:pPr>
            <w:r w:rsidRPr="00F0591C">
              <w:rPr>
                <w:color w:val="FF0000"/>
                <w:sz w:val="20"/>
                <w:szCs w:val="20"/>
              </w:rPr>
              <w:t>N</w:t>
            </w:r>
            <w:r>
              <w:rPr>
                <w:color w:val="FF0000"/>
                <w:sz w:val="20"/>
                <w:szCs w:val="20"/>
              </w:rPr>
              <w:t>eutral</w:t>
            </w:r>
          </w:p>
        </w:tc>
        <w:tc>
          <w:tcPr>
            <w:tcW w:w="2064" w:type="dxa"/>
          </w:tcPr>
          <w:p w14:paraId="5862EE3C" w14:textId="77777777" w:rsidR="00F45E58" w:rsidRPr="00F0591C" w:rsidRDefault="00F45E58" w:rsidP="0009142E">
            <w:pPr>
              <w:rPr>
                <w:sz w:val="20"/>
                <w:szCs w:val="20"/>
              </w:rPr>
            </w:pPr>
          </w:p>
          <w:p w14:paraId="665A6A08" w14:textId="77777777" w:rsidR="00F45E58" w:rsidRPr="00F0591C" w:rsidRDefault="00F45E58" w:rsidP="0009142E">
            <w:pPr>
              <w:rPr>
                <w:sz w:val="20"/>
                <w:szCs w:val="20"/>
              </w:rPr>
            </w:pPr>
            <w:r w:rsidRPr="00F0591C">
              <w:rPr>
                <w:sz w:val="20"/>
                <w:szCs w:val="20"/>
              </w:rPr>
              <w:t>Moderate</w:t>
            </w:r>
          </w:p>
          <w:p w14:paraId="35A2A6E0" w14:textId="77777777" w:rsidR="00F45E58" w:rsidRPr="00F0591C" w:rsidRDefault="00F45E58" w:rsidP="0009142E">
            <w:pPr>
              <w:rPr>
                <w:color w:val="FF0000"/>
                <w:sz w:val="20"/>
                <w:szCs w:val="20"/>
              </w:rPr>
            </w:pPr>
            <w:r w:rsidRPr="00F0591C">
              <w:rPr>
                <w:color w:val="FF0000"/>
                <w:sz w:val="20"/>
                <w:szCs w:val="20"/>
              </w:rPr>
              <w:t>Low</w:t>
            </w:r>
          </w:p>
          <w:p w14:paraId="3BE89D6B" w14:textId="77777777" w:rsidR="00F45E58" w:rsidRPr="00F0591C" w:rsidRDefault="00F45E58" w:rsidP="0009142E">
            <w:pPr>
              <w:rPr>
                <w:sz w:val="20"/>
                <w:szCs w:val="20"/>
              </w:rPr>
            </w:pPr>
            <w:r w:rsidRPr="00F0591C">
              <w:rPr>
                <w:color w:val="FF0000"/>
                <w:sz w:val="20"/>
                <w:szCs w:val="20"/>
              </w:rPr>
              <w:t>Low</w:t>
            </w:r>
          </w:p>
        </w:tc>
      </w:tr>
      <w:tr w:rsidR="00F45E58" w14:paraId="37FA9D51" w14:textId="77777777" w:rsidTr="00CB22E5">
        <w:tc>
          <w:tcPr>
            <w:tcW w:w="2673" w:type="dxa"/>
          </w:tcPr>
          <w:p w14:paraId="23491EA0" w14:textId="77777777" w:rsidR="00F45E58" w:rsidRPr="00F0591C" w:rsidRDefault="00F45E58" w:rsidP="0009142E">
            <w:pPr>
              <w:rPr>
                <w:b/>
                <w:i/>
                <w:sz w:val="20"/>
                <w:szCs w:val="20"/>
              </w:rPr>
            </w:pPr>
            <w:r w:rsidRPr="00F0591C">
              <w:rPr>
                <w:b/>
                <w:i/>
                <w:sz w:val="20"/>
                <w:szCs w:val="20"/>
              </w:rPr>
              <w:t>Constitution preamble #</w:t>
            </w:r>
          </w:p>
        </w:tc>
        <w:tc>
          <w:tcPr>
            <w:tcW w:w="1415" w:type="dxa"/>
          </w:tcPr>
          <w:p w14:paraId="47289673" w14:textId="77777777" w:rsidR="00F45E58" w:rsidRPr="00F0591C" w:rsidRDefault="00F45E58" w:rsidP="0009142E">
            <w:pPr>
              <w:rPr>
                <w:color w:val="FF0000"/>
                <w:sz w:val="20"/>
                <w:szCs w:val="20"/>
              </w:rPr>
            </w:pPr>
            <w:r w:rsidRPr="00F0591C">
              <w:rPr>
                <w:color w:val="FF0000"/>
                <w:sz w:val="20"/>
                <w:szCs w:val="20"/>
              </w:rPr>
              <w:t>Low</w:t>
            </w:r>
          </w:p>
        </w:tc>
        <w:tc>
          <w:tcPr>
            <w:tcW w:w="1030" w:type="dxa"/>
          </w:tcPr>
          <w:p w14:paraId="7B2087B3" w14:textId="77777777" w:rsidR="00F45E58" w:rsidRPr="00F0591C" w:rsidRDefault="00F45E58" w:rsidP="0009142E">
            <w:pPr>
              <w:rPr>
                <w:color w:val="FF0000"/>
                <w:sz w:val="20"/>
                <w:szCs w:val="20"/>
              </w:rPr>
            </w:pPr>
            <w:r w:rsidRPr="00F0591C">
              <w:rPr>
                <w:color w:val="FF0000"/>
                <w:sz w:val="20"/>
                <w:szCs w:val="20"/>
              </w:rPr>
              <w:t>Low</w:t>
            </w:r>
          </w:p>
        </w:tc>
        <w:tc>
          <w:tcPr>
            <w:tcW w:w="1834" w:type="dxa"/>
          </w:tcPr>
          <w:p w14:paraId="2A02DAA2" w14:textId="77777777" w:rsidR="00F45E58" w:rsidRPr="00F0591C" w:rsidRDefault="00F45E58" w:rsidP="0009142E">
            <w:pPr>
              <w:rPr>
                <w:color w:val="FF0000"/>
                <w:sz w:val="20"/>
                <w:szCs w:val="20"/>
              </w:rPr>
            </w:pPr>
            <w:r w:rsidRPr="00F0591C">
              <w:rPr>
                <w:color w:val="FF0000"/>
                <w:sz w:val="20"/>
                <w:szCs w:val="20"/>
              </w:rPr>
              <w:t>N</w:t>
            </w:r>
            <w:r>
              <w:rPr>
                <w:color w:val="FF0000"/>
                <w:sz w:val="20"/>
                <w:szCs w:val="20"/>
              </w:rPr>
              <w:t>eutral</w:t>
            </w:r>
          </w:p>
        </w:tc>
        <w:tc>
          <w:tcPr>
            <w:tcW w:w="2064" w:type="dxa"/>
          </w:tcPr>
          <w:p w14:paraId="4A8A5563" w14:textId="77777777" w:rsidR="00F45E58" w:rsidRPr="00F0591C" w:rsidRDefault="00F45E58" w:rsidP="0009142E">
            <w:pPr>
              <w:rPr>
                <w:color w:val="FF0000"/>
                <w:sz w:val="20"/>
                <w:szCs w:val="20"/>
              </w:rPr>
            </w:pPr>
            <w:r w:rsidRPr="00F0591C">
              <w:rPr>
                <w:color w:val="FF0000"/>
                <w:sz w:val="20"/>
                <w:szCs w:val="20"/>
              </w:rPr>
              <w:t>Low</w:t>
            </w:r>
          </w:p>
        </w:tc>
      </w:tr>
      <w:tr w:rsidR="00F45E58" w14:paraId="6681E628" w14:textId="77777777" w:rsidTr="00CB22E5">
        <w:tc>
          <w:tcPr>
            <w:tcW w:w="2673" w:type="dxa"/>
          </w:tcPr>
          <w:p w14:paraId="24720AEA" w14:textId="77777777" w:rsidR="00F45E58" w:rsidRPr="00F0591C" w:rsidRDefault="00F45E58" w:rsidP="0009142E">
            <w:pPr>
              <w:rPr>
                <w:b/>
                <w:i/>
                <w:sz w:val="20"/>
                <w:szCs w:val="20"/>
              </w:rPr>
            </w:pPr>
            <w:r w:rsidRPr="00F0591C">
              <w:rPr>
                <w:b/>
                <w:i/>
                <w:sz w:val="20"/>
                <w:szCs w:val="20"/>
              </w:rPr>
              <w:t>Local gov</w:t>
            </w:r>
            <w:r>
              <w:rPr>
                <w:b/>
                <w:i/>
                <w:sz w:val="20"/>
                <w:szCs w:val="20"/>
              </w:rPr>
              <w:t xml:space="preserve">t </w:t>
            </w:r>
            <w:r w:rsidRPr="00F0591C">
              <w:rPr>
                <w:b/>
                <w:i/>
                <w:sz w:val="20"/>
                <w:szCs w:val="20"/>
              </w:rPr>
              <w:t>recognition</w:t>
            </w:r>
          </w:p>
        </w:tc>
        <w:tc>
          <w:tcPr>
            <w:tcW w:w="1415" w:type="dxa"/>
          </w:tcPr>
          <w:p w14:paraId="4619685B" w14:textId="77777777" w:rsidR="00F45E58" w:rsidRPr="00F0591C" w:rsidRDefault="00F45E58" w:rsidP="0009142E">
            <w:pPr>
              <w:rPr>
                <w:sz w:val="20"/>
                <w:szCs w:val="20"/>
              </w:rPr>
            </w:pPr>
            <w:r w:rsidRPr="00F0591C">
              <w:rPr>
                <w:color w:val="FF0000"/>
                <w:sz w:val="20"/>
                <w:szCs w:val="20"/>
              </w:rPr>
              <w:t>Low</w:t>
            </w:r>
          </w:p>
        </w:tc>
        <w:tc>
          <w:tcPr>
            <w:tcW w:w="1030" w:type="dxa"/>
          </w:tcPr>
          <w:p w14:paraId="57C5517C" w14:textId="77777777" w:rsidR="00F45E58" w:rsidRPr="00F0591C" w:rsidRDefault="00F45E58" w:rsidP="0009142E">
            <w:pPr>
              <w:rPr>
                <w:color w:val="FF0000"/>
                <w:sz w:val="20"/>
                <w:szCs w:val="20"/>
              </w:rPr>
            </w:pPr>
            <w:r w:rsidRPr="00F0591C">
              <w:rPr>
                <w:color w:val="FF0000"/>
                <w:sz w:val="20"/>
                <w:szCs w:val="20"/>
              </w:rPr>
              <w:t>Low</w:t>
            </w:r>
          </w:p>
        </w:tc>
        <w:tc>
          <w:tcPr>
            <w:tcW w:w="1834" w:type="dxa"/>
          </w:tcPr>
          <w:p w14:paraId="47D3E780" w14:textId="77777777" w:rsidR="00F45E58" w:rsidRPr="00F0591C" w:rsidRDefault="00F45E58" w:rsidP="0009142E">
            <w:pPr>
              <w:rPr>
                <w:color w:val="FF0000"/>
                <w:sz w:val="20"/>
                <w:szCs w:val="20"/>
              </w:rPr>
            </w:pPr>
            <w:r w:rsidRPr="00F0591C">
              <w:rPr>
                <w:color w:val="FF0000"/>
                <w:sz w:val="20"/>
                <w:szCs w:val="20"/>
              </w:rPr>
              <w:t>N</w:t>
            </w:r>
            <w:r>
              <w:rPr>
                <w:color w:val="FF0000"/>
                <w:sz w:val="20"/>
                <w:szCs w:val="20"/>
              </w:rPr>
              <w:t>eutral</w:t>
            </w:r>
          </w:p>
        </w:tc>
        <w:tc>
          <w:tcPr>
            <w:tcW w:w="2064" w:type="dxa"/>
          </w:tcPr>
          <w:p w14:paraId="2764F118" w14:textId="77777777" w:rsidR="00F45E58" w:rsidRPr="00F0591C" w:rsidRDefault="00F45E58" w:rsidP="0009142E">
            <w:pPr>
              <w:rPr>
                <w:color w:val="FF0000"/>
                <w:sz w:val="20"/>
                <w:szCs w:val="20"/>
              </w:rPr>
            </w:pPr>
            <w:r w:rsidRPr="00F0591C">
              <w:rPr>
                <w:color w:val="FF0000"/>
                <w:sz w:val="20"/>
                <w:szCs w:val="20"/>
              </w:rPr>
              <w:t>Low</w:t>
            </w:r>
          </w:p>
        </w:tc>
      </w:tr>
      <w:tr w:rsidR="00F45E58" w14:paraId="0AF9B8EE" w14:textId="77777777" w:rsidTr="00CB22E5">
        <w:tc>
          <w:tcPr>
            <w:tcW w:w="2673" w:type="dxa"/>
          </w:tcPr>
          <w:p w14:paraId="20676E77" w14:textId="77777777" w:rsidR="00F45E58" w:rsidRPr="00F0591C" w:rsidRDefault="00F45E58" w:rsidP="0009142E">
            <w:pPr>
              <w:rPr>
                <w:b/>
                <w:i/>
                <w:sz w:val="20"/>
                <w:szCs w:val="20"/>
              </w:rPr>
            </w:pPr>
            <w:r w:rsidRPr="00F0591C">
              <w:rPr>
                <w:b/>
                <w:i/>
                <w:sz w:val="20"/>
                <w:szCs w:val="20"/>
              </w:rPr>
              <w:t xml:space="preserve">Regions, cities </w:t>
            </w:r>
          </w:p>
        </w:tc>
        <w:tc>
          <w:tcPr>
            <w:tcW w:w="1415" w:type="dxa"/>
          </w:tcPr>
          <w:p w14:paraId="3B058E38" w14:textId="77777777" w:rsidR="00F45E58" w:rsidRPr="00F0591C" w:rsidRDefault="00F45E58" w:rsidP="0009142E">
            <w:pPr>
              <w:rPr>
                <w:sz w:val="20"/>
                <w:szCs w:val="20"/>
              </w:rPr>
            </w:pPr>
            <w:r w:rsidRPr="00F0591C">
              <w:rPr>
                <w:sz w:val="20"/>
                <w:szCs w:val="20"/>
              </w:rPr>
              <w:t>High</w:t>
            </w:r>
          </w:p>
        </w:tc>
        <w:tc>
          <w:tcPr>
            <w:tcW w:w="1030" w:type="dxa"/>
          </w:tcPr>
          <w:p w14:paraId="5F2DBCA7" w14:textId="77777777" w:rsidR="00F45E58" w:rsidRPr="00F0591C" w:rsidRDefault="00F45E58" w:rsidP="0009142E">
            <w:pPr>
              <w:rPr>
                <w:color w:val="FF0000"/>
                <w:sz w:val="20"/>
                <w:szCs w:val="20"/>
              </w:rPr>
            </w:pPr>
            <w:r w:rsidRPr="00F0591C">
              <w:rPr>
                <w:color w:val="FF0000"/>
                <w:sz w:val="20"/>
                <w:szCs w:val="20"/>
              </w:rPr>
              <w:t>Low</w:t>
            </w:r>
          </w:p>
        </w:tc>
        <w:tc>
          <w:tcPr>
            <w:tcW w:w="1834" w:type="dxa"/>
          </w:tcPr>
          <w:p w14:paraId="78AB495A" w14:textId="2A7F7038" w:rsidR="00F45E58" w:rsidRPr="00F0591C" w:rsidRDefault="000B3D27" w:rsidP="0009142E">
            <w:pPr>
              <w:rPr>
                <w:color w:val="FF0000"/>
                <w:sz w:val="20"/>
                <w:szCs w:val="20"/>
              </w:rPr>
            </w:pPr>
            <w:r w:rsidRPr="000B3D27">
              <w:rPr>
                <w:sz w:val="20"/>
                <w:szCs w:val="20"/>
              </w:rPr>
              <w:t>Positive</w:t>
            </w:r>
          </w:p>
        </w:tc>
        <w:tc>
          <w:tcPr>
            <w:tcW w:w="2064" w:type="dxa"/>
          </w:tcPr>
          <w:p w14:paraId="5E29F71B" w14:textId="77777777" w:rsidR="00F45E58" w:rsidRPr="00F0591C" w:rsidRDefault="00F45E58" w:rsidP="0009142E">
            <w:pPr>
              <w:rPr>
                <w:color w:val="FF0000"/>
                <w:sz w:val="20"/>
                <w:szCs w:val="20"/>
              </w:rPr>
            </w:pPr>
            <w:r w:rsidRPr="00F0591C">
              <w:rPr>
                <w:color w:val="FF0000"/>
                <w:sz w:val="20"/>
                <w:szCs w:val="20"/>
              </w:rPr>
              <w:t>Low</w:t>
            </w:r>
          </w:p>
        </w:tc>
      </w:tr>
      <w:tr w:rsidR="00F45E58" w14:paraId="153EAA60" w14:textId="77777777" w:rsidTr="00CB22E5">
        <w:tc>
          <w:tcPr>
            <w:tcW w:w="2673" w:type="dxa"/>
          </w:tcPr>
          <w:p w14:paraId="29382814" w14:textId="77777777" w:rsidR="00F45E58" w:rsidRPr="00F0591C" w:rsidRDefault="00F45E58" w:rsidP="0009142E">
            <w:pPr>
              <w:rPr>
                <w:b/>
                <w:i/>
                <w:sz w:val="20"/>
                <w:szCs w:val="20"/>
              </w:rPr>
            </w:pPr>
            <w:r>
              <w:rPr>
                <w:b/>
                <w:i/>
                <w:sz w:val="20"/>
                <w:szCs w:val="20"/>
              </w:rPr>
              <w:t>Transport</w:t>
            </w:r>
          </w:p>
        </w:tc>
        <w:tc>
          <w:tcPr>
            <w:tcW w:w="1415" w:type="dxa"/>
          </w:tcPr>
          <w:p w14:paraId="6A6641C8" w14:textId="2A3AF10B" w:rsidR="00F45E58" w:rsidRPr="006849F8" w:rsidRDefault="000B3D27" w:rsidP="0009142E">
            <w:pPr>
              <w:rPr>
                <w:color w:val="FF0000"/>
                <w:sz w:val="20"/>
                <w:szCs w:val="20"/>
              </w:rPr>
            </w:pPr>
            <w:r w:rsidRPr="000B3D27">
              <w:rPr>
                <w:sz w:val="20"/>
                <w:szCs w:val="20"/>
              </w:rPr>
              <w:t>High</w:t>
            </w:r>
          </w:p>
        </w:tc>
        <w:tc>
          <w:tcPr>
            <w:tcW w:w="1030" w:type="dxa"/>
          </w:tcPr>
          <w:p w14:paraId="6FF69089" w14:textId="57BFFC3A" w:rsidR="00F45E58" w:rsidRPr="00F0591C" w:rsidRDefault="004B43CA" w:rsidP="0009142E">
            <w:pPr>
              <w:rPr>
                <w:sz w:val="20"/>
                <w:szCs w:val="20"/>
              </w:rPr>
            </w:pPr>
            <w:r>
              <w:rPr>
                <w:sz w:val="20"/>
                <w:szCs w:val="20"/>
              </w:rPr>
              <w:t>Moderate</w:t>
            </w:r>
          </w:p>
        </w:tc>
        <w:tc>
          <w:tcPr>
            <w:tcW w:w="1834" w:type="dxa"/>
          </w:tcPr>
          <w:p w14:paraId="6113D3C6" w14:textId="77777777" w:rsidR="00F45E58" w:rsidRPr="00F0591C" w:rsidRDefault="00F45E58" w:rsidP="0009142E">
            <w:pPr>
              <w:rPr>
                <w:sz w:val="20"/>
                <w:szCs w:val="20"/>
              </w:rPr>
            </w:pPr>
            <w:r w:rsidRPr="00F0591C">
              <w:rPr>
                <w:sz w:val="20"/>
                <w:szCs w:val="20"/>
              </w:rPr>
              <w:t>Positive</w:t>
            </w:r>
          </w:p>
        </w:tc>
        <w:tc>
          <w:tcPr>
            <w:tcW w:w="2064" w:type="dxa"/>
          </w:tcPr>
          <w:p w14:paraId="50B04472" w14:textId="77777777" w:rsidR="00F45E58" w:rsidRPr="00F0591C" w:rsidRDefault="00F45E58" w:rsidP="0009142E">
            <w:pPr>
              <w:rPr>
                <w:sz w:val="20"/>
                <w:szCs w:val="20"/>
              </w:rPr>
            </w:pPr>
            <w:r w:rsidRPr="00CA308E">
              <w:rPr>
                <w:color w:val="FF0000"/>
                <w:sz w:val="20"/>
                <w:szCs w:val="20"/>
              </w:rPr>
              <w:t>Low</w:t>
            </w:r>
          </w:p>
        </w:tc>
      </w:tr>
    </w:tbl>
    <w:p w14:paraId="40CAB901" w14:textId="77777777" w:rsidR="00F45E58" w:rsidRDefault="00F45E58" w:rsidP="00F45E58">
      <w:pPr>
        <w:rPr>
          <w:sz w:val="18"/>
          <w:szCs w:val="18"/>
        </w:rPr>
      </w:pPr>
      <w:r w:rsidRPr="0031709A">
        <w:rPr>
          <w:sz w:val="18"/>
          <w:szCs w:val="18"/>
        </w:rPr>
        <w:t># denotes a symbolic matter.</w:t>
      </w:r>
    </w:p>
    <w:p w14:paraId="080EF575" w14:textId="72F61250" w:rsidR="00CB22E5" w:rsidRDefault="00F45E58">
      <w:r>
        <w:t xml:space="preserve">The Table suggests </w:t>
      </w:r>
      <w:r w:rsidR="00CB22E5">
        <w:t xml:space="preserve">only one </w:t>
      </w:r>
      <w:r w:rsidR="003602ED">
        <w:t xml:space="preserve">of these </w:t>
      </w:r>
      <w:r>
        <w:t>matter</w:t>
      </w:r>
      <w:r w:rsidR="003602ED">
        <w:t>s certainly</w:t>
      </w:r>
      <w:r>
        <w:t xml:space="preserve"> worth putting to referendum</w:t>
      </w:r>
      <w:r w:rsidR="00CB22E5">
        <w:t>:</w:t>
      </w:r>
      <w:r>
        <w:t xml:space="preserve"> Indigenous Voice.</w:t>
      </w:r>
      <w:r w:rsidR="003F4AB3">
        <w:t xml:space="preserve">  To do so </w:t>
      </w:r>
      <w:r w:rsidR="00CB22E5">
        <w:t xml:space="preserve">a </w:t>
      </w:r>
      <w:r w:rsidR="003F4AB3">
        <w:t>proper proposal need</w:t>
      </w:r>
      <w:r w:rsidR="00CB22E5">
        <w:t>s</w:t>
      </w:r>
      <w:r w:rsidR="003F4AB3">
        <w:t xml:space="preserve"> to be drafted</w:t>
      </w:r>
      <w:r w:rsidR="00CB22E5">
        <w:t xml:space="preserve"> and support needs to be established.</w:t>
      </w:r>
    </w:p>
    <w:p w14:paraId="4CB4E58F" w14:textId="176D61CA" w:rsidR="00B06277" w:rsidRDefault="000B3D27">
      <w:r>
        <w:t>Regions, cities and t</w:t>
      </w:r>
      <w:r w:rsidR="003F4AB3">
        <w:t xml:space="preserve">ransport </w:t>
      </w:r>
      <w:r w:rsidR="00CB22E5">
        <w:t>may also be</w:t>
      </w:r>
      <w:r w:rsidR="003F4AB3">
        <w:t xml:space="preserve"> worth putting to referendum</w:t>
      </w:r>
      <w:r w:rsidR="00CB22E5">
        <w:t xml:space="preserve">.  However, unlike the Indigenous Voice, failure </w:t>
      </w:r>
      <w:r w:rsidR="007C175E">
        <w:t xml:space="preserve">of these </w:t>
      </w:r>
      <w:r w:rsidR="00CB22E5">
        <w:t xml:space="preserve">at a referendum would </w:t>
      </w:r>
      <w:r w:rsidR="007C175E">
        <w:t>lead to</w:t>
      </w:r>
      <w:r w:rsidR="00CB22E5">
        <w:t xml:space="preserve"> positive result</w:t>
      </w:r>
      <w:r w:rsidR="007C175E">
        <w:t>s</w:t>
      </w:r>
      <w:r w:rsidR="00CB22E5">
        <w:t>.</w:t>
      </w:r>
    </w:p>
    <w:p w14:paraId="5FD51B58" w14:textId="686FCCAC" w:rsidR="006D4681" w:rsidRDefault="006D4681" w:rsidP="006D4681">
      <w:pPr>
        <w:pStyle w:val="Heading2"/>
      </w:pPr>
      <w:bookmarkStart w:id="11" w:name="_Toc15287790"/>
      <w:r>
        <w:lastRenderedPageBreak/>
        <w:t>5.</w:t>
      </w:r>
      <w:r>
        <w:tab/>
      </w:r>
      <w:r w:rsidR="00EC7D14">
        <w:t>Some</w:t>
      </w:r>
      <w:r>
        <w:t xml:space="preserve"> referendum proposals</w:t>
      </w:r>
      <w:bookmarkEnd w:id="11"/>
    </w:p>
    <w:p w14:paraId="74A39F97" w14:textId="3257729F" w:rsidR="00656607" w:rsidRDefault="00B06277" w:rsidP="00656607">
      <w:pPr>
        <w:pStyle w:val="Heading3"/>
      </w:pPr>
      <w:bookmarkStart w:id="12" w:name="_Toc15287791"/>
      <w:r>
        <w:t>5.1</w:t>
      </w:r>
      <w:r w:rsidR="00656607">
        <w:tab/>
      </w:r>
      <w:r w:rsidR="00F45E58">
        <w:t xml:space="preserve"> </w:t>
      </w:r>
      <w:r w:rsidR="00656607">
        <w:t>Fixed</w:t>
      </w:r>
      <w:r w:rsidR="00E0776B">
        <w:t>-</w:t>
      </w:r>
      <w:r w:rsidR="00656607">
        <w:t>terms of Parliament</w:t>
      </w:r>
      <w:bookmarkEnd w:id="12"/>
    </w:p>
    <w:p w14:paraId="542E81E8" w14:textId="6087EF2F" w:rsidR="00656607" w:rsidRDefault="00656607" w:rsidP="00F45E58">
      <w:r>
        <w:t xml:space="preserve">There have been several Australian referendums on fixed terms of Parliament.  All have put proposals that </w:t>
      </w:r>
      <w:r w:rsidR="00721BAF">
        <w:t>went beyond</w:t>
      </w:r>
      <w:r>
        <w:t xml:space="preserve"> fixed</w:t>
      </w:r>
      <w:r w:rsidR="00E0776B">
        <w:t>-</w:t>
      </w:r>
      <w:r>
        <w:t>terms</w:t>
      </w:r>
      <w:r w:rsidR="00721BAF">
        <w:t xml:space="preserve"> for Parliament</w:t>
      </w:r>
      <w:r>
        <w:t>: to have longer terms; to weaken the Senate.</w:t>
      </w:r>
    </w:p>
    <w:p w14:paraId="049C0834" w14:textId="33261566" w:rsidR="00656607" w:rsidRDefault="00656607" w:rsidP="00F45E58">
      <w:r>
        <w:t xml:space="preserve">There is doubt about the importance of increasing </w:t>
      </w:r>
      <w:r w:rsidR="00EE138C">
        <w:t xml:space="preserve">Federal </w:t>
      </w:r>
      <w:r>
        <w:t>political tenures.  Given Governments</w:t>
      </w:r>
      <w:r w:rsidR="00EE138C">
        <w:t>’</w:t>
      </w:r>
      <w:r>
        <w:t xml:space="preserve"> political desires to link House of Representatives and Senate terms, a four</w:t>
      </w:r>
      <w:r w:rsidR="00E0776B">
        <w:t>-</w:t>
      </w:r>
      <w:r>
        <w:t xml:space="preserve">year term for the House equates with </w:t>
      </w:r>
      <w:r w:rsidR="00EE138C">
        <w:t xml:space="preserve">either </w:t>
      </w:r>
      <w:r>
        <w:t>a</w:t>
      </w:r>
      <w:r w:rsidR="00EE138C">
        <w:t xml:space="preserve"> four or </w:t>
      </w:r>
      <w:r>
        <w:t>eight</w:t>
      </w:r>
      <w:r w:rsidR="00E0776B">
        <w:t>-</w:t>
      </w:r>
      <w:r>
        <w:t>year term of the Senate.</w:t>
      </w:r>
    </w:p>
    <w:p w14:paraId="4607D8CA" w14:textId="45C943B1" w:rsidR="00656607" w:rsidRDefault="00656607" w:rsidP="00F45E58">
      <w:r>
        <w:t>The case presented for fixed terms has been weak and less than c</w:t>
      </w:r>
      <w:r w:rsidR="00EE138C">
        <w:t xml:space="preserve">andid.  The aim </w:t>
      </w:r>
      <w:r w:rsidR="00721BAF">
        <w:t xml:space="preserve">or effect </w:t>
      </w:r>
      <w:r w:rsidR="00EE138C">
        <w:t>of reducing Senate power has not been mentioned by proponents.</w:t>
      </w:r>
      <w:r w:rsidR="00BA7A3B">
        <w:t xml:space="preserve">  </w:t>
      </w:r>
      <w:r w:rsidR="00EE138C">
        <w:t xml:space="preserve">The matter therefore fails tests of importance and </w:t>
      </w:r>
      <w:r w:rsidR="00721BAF">
        <w:t>clarity</w:t>
      </w:r>
      <w:r w:rsidR="00EE138C">
        <w:t>.   It is outlined in Appendix 1.</w:t>
      </w:r>
    </w:p>
    <w:p w14:paraId="1F827202" w14:textId="4CC25D15" w:rsidR="00F45E58" w:rsidRDefault="00B06277" w:rsidP="00EE138C">
      <w:pPr>
        <w:pStyle w:val="Heading3"/>
      </w:pPr>
      <w:bookmarkStart w:id="13" w:name="_Toc15287792"/>
      <w:r>
        <w:t>5.2</w:t>
      </w:r>
      <w:r w:rsidR="00EE138C">
        <w:tab/>
        <w:t>Republic</w:t>
      </w:r>
      <w:bookmarkEnd w:id="13"/>
    </w:p>
    <w:p w14:paraId="170F8650" w14:textId="4C35D019" w:rsidR="00EE138C" w:rsidRDefault="00EE138C" w:rsidP="00F45E58">
      <w:r>
        <w:t>A republic would require at least a change of the Australian Federal Head of State.</w:t>
      </w:r>
    </w:p>
    <w:p w14:paraId="37A99894" w14:textId="40EC856A" w:rsidR="00EE138C" w:rsidRDefault="00EE138C" w:rsidP="00F45E58">
      <w:r>
        <w:t>The proposal put in the 1999 referendum was said to b</w:t>
      </w:r>
      <w:r w:rsidR="00E0776B">
        <w:t>e</w:t>
      </w:r>
      <w:r>
        <w:t xml:space="preserve"> symbolic.  It supposedly was not intended to affect the machinery of government.  For this reason, the proposal was for the Head of State – the President – to be elected by a two thirds majority of the Parliament.</w:t>
      </w:r>
    </w:p>
    <w:p w14:paraId="6695CFEE" w14:textId="6DF40326" w:rsidR="00EE138C" w:rsidRDefault="00EE138C" w:rsidP="00F45E58">
      <w:r>
        <w:t xml:space="preserve">However, within the proposal was a detail that </w:t>
      </w:r>
      <w:r w:rsidR="007C175E">
        <w:t>altered the balance between</w:t>
      </w:r>
      <w:r>
        <w:t xml:space="preserve"> Parliament</w:t>
      </w:r>
      <w:r w:rsidR="007C175E">
        <w:t xml:space="preserve"> the Executive</w:t>
      </w:r>
      <w:r w:rsidR="003602ED">
        <w:t xml:space="preserve"> - </w:t>
      </w:r>
      <w:r>
        <w:t>the President could be dismissed by the Government.</w:t>
      </w:r>
    </w:p>
    <w:p w14:paraId="2488FAED" w14:textId="11306F8E" w:rsidR="00EE138C" w:rsidRDefault="00EE138C" w:rsidP="00F45E58">
      <w:r>
        <w:t xml:space="preserve">Whether </w:t>
      </w:r>
      <w:r w:rsidR="007C175E">
        <w:t>a</w:t>
      </w:r>
      <w:r>
        <w:t xml:space="preserve"> Government should be able to dismiss the Head of State is a contentious issue.  Australia’s system of responsible </w:t>
      </w:r>
      <w:r w:rsidR="00E01F0F">
        <w:t>g</w:t>
      </w:r>
      <w:r>
        <w:t xml:space="preserve">overnment </w:t>
      </w:r>
      <w:r w:rsidR="00E0776B">
        <w:t>has</w:t>
      </w:r>
      <w:r>
        <w:t xml:space="preserve"> the Executive – led by the Head of State – accounting to the Parliament</w:t>
      </w:r>
      <w:r w:rsidR="00E0776B">
        <w:t xml:space="preserve">.  The </w:t>
      </w:r>
      <w:r>
        <w:t xml:space="preserve">case </w:t>
      </w:r>
      <w:r w:rsidR="00E0776B">
        <w:t xml:space="preserve">to alter this power balance - </w:t>
      </w:r>
      <w:r>
        <w:t>for Government</w:t>
      </w:r>
      <w:r w:rsidR="00E01F0F">
        <w:t>-as-Executive</w:t>
      </w:r>
      <w:r>
        <w:t xml:space="preserve"> to exert more control over Parliament </w:t>
      </w:r>
      <w:r w:rsidR="00E0776B">
        <w:t xml:space="preserve">- </w:t>
      </w:r>
      <w:r>
        <w:t>would need to be made.</w:t>
      </w:r>
      <w:r w:rsidR="00E01F0F">
        <w:t xml:space="preserve">  </w:t>
      </w:r>
    </w:p>
    <w:p w14:paraId="550E32F8" w14:textId="64AAFAC2" w:rsidR="00E01F0F" w:rsidRDefault="00E01F0F" w:rsidP="00F45E58">
      <w:r>
        <w:t xml:space="preserve">Such a case would need to be formidable to overcome pre-existing concerns about Executive Government attempts to accrue more power through </w:t>
      </w:r>
      <w:r w:rsidR="007C175E">
        <w:t xml:space="preserve">opaque or </w:t>
      </w:r>
      <w:r>
        <w:t>undemocratic means.</w:t>
      </w:r>
    </w:p>
    <w:p w14:paraId="19141DBD" w14:textId="3A9919E4" w:rsidR="00EE138C" w:rsidRDefault="00EE138C" w:rsidP="00F45E58">
      <w:r>
        <w:t>The matter fails the test</w:t>
      </w:r>
      <w:r w:rsidR="00EA0399">
        <w:t>s</w:t>
      </w:r>
      <w:r>
        <w:t xml:space="preserve"> of importance and </w:t>
      </w:r>
      <w:r w:rsidR="00721BAF">
        <w:t>clarity</w:t>
      </w:r>
      <w:r>
        <w:t>.  More details are in Appendix 2.</w:t>
      </w:r>
    </w:p>
    <w:p w14:paraId="7898A78F" w14:textId="2432CA8A" w:rsidR="00EE138C" w:rsidRDefault="00B06277" w:rsidP="00E01F0F">
      <w:pPr>
        <w:pStyle w:val="Heading3"/>
      </w:pPr>
      <w:bookmarkStart w:id="14" w:name="_Toc15287793"/>
      <w:r>
        <w:t>5.3</w:t>
      </w:r>
      <w:r w:rsidR="00E01F0F">
        <w:tab/>
        <w:t>Indigenous matters</w:t>
      </w:r>
      <w:bookmarkEnd w:id="14"/>
    </w:p>
    <w:p w14:paraId="501502AA" w14:textId="516A22D4" w:rsidR="005A7CC5" w:rsidRDefault="005A7CC5" w:rsidP="005A7CC5">
      <w:pPr>
        <w:pStyle w:val="Heading4"/>
      </w:pPr>
      <w:r>
        <w:t>Background</w:t>
      </w:r>
    </w:p>
    <w:p w14:paraId="0FED6A79" w14:textId="0DE5EE98" w:rsidR="005A7CC5" w:rsidRDefault="005A7CC5" w:rsidP="00F45E58">
      <w:r>
        <w:t xml:space="preserve">Essential background includes: </w:t>
      </w:r>
      <w:r w:rsidR="00591518">
        <w:t xml:space="preserve">the Indigenous population is relatively small, </w:t>
      </w:r>
      <w:r w:rsidR="00694793">
        <w:t xml:space="preserve">perhaps </w:t>
      </w:r>
      <w:r w:rsidR="00591518">
        <w:t>comprising less than 3 percent of all Australians; over 500</w:t>
      </w:r>
      <w:r>
        <w:t xml:space="preserve"> Aboriginal clan-groups occupied various parts of Australia prior to British colonisation; colonisation greatly reduced but did not extinguish traditional rights</w:t>
      </w:r>
      <w:r w:rsidR="001C7908">
        <w:t xml:space="preserve">; a variety of different approaches – mainly benevolent paternalism - </w:t>
      </w:r>
      <w:r w:rsidR="00591518">
        <w:t>have</w:t>
      </w:r>
      <w:r w:rsidR="001C7908">
        <w:t xml:space="preserve"> attempt</w:t>
      </w:r>
      <w:r w:rsidR="00591518">
        <w:t>ed</w:t>
      </w:r>
      <w:r w:rsidR="001C7908">
        <w:t xml:space="preserve"> to address </w:t>
      </w:r>
      <w:r w:rsidR="00591518">
        <w:t xml:space="preserve">chronic Aboriginal </w:t>
      </w:r>
      <w:r w:rsidR="001C7908">
        <w:t xml:space="preserve">disadvantage </w:t>
      </w:r>
      <w:r w:rsidR="00591518">
        <w:t>but</w:t>
      </w:r>
      <w:r w:rsidR="001C7908">
        <w:t xml:space="preserve"> have failed; </w:t>
      </w:r>
      <w:r w:rsidR="00591518">
        <w:t xml:space="preserve">several </w:t>
      </w:r>
      <w:r w:rsidR="00694793">
        <w:t>times</w:t>
      </w:r>
      <w:r w:rsidR="00591518">
        <w:t xml:space="preserve"> the Commonwealth has established </w:t>
      </w:r>
      <w:r w:rsidR="00AF1056">
        <w:t xml:space="preserve">then discontinued </w:t>
      </w:r>
      <w:r w:rsidR="001C7908">
        <w:t xml:space="preserve">Aboriginal </w:t>
      </w:r>
      <w:r w:rsidR="00591518">
        <w:t xml:space="preserve">national </w:t>
      </w:r>
      <w:r w:rsidR="001C7908">
        <w:t>representative bodies</w:t>
      </w:r>
      <w:r w:rsidR="00591518">
        <w:t>.</w:t>
      </w:r>
      <w:r w:rsidR="007B405A">
        <w:t xml:space="preserve">  More details are in Appendix 3.</w:t>
      </w:r>
    </w:p>
    <w:p w14:paraId="071F84BE" w14:textId="4187813C" w:rsidR="005A7CC5" w:rsidRDefault="005A7CC5" w:rsidP="00462C79">
      <w:pPr>
        <w:pStyle w:val="Heading4"/>
      </w:pPr>
      <w:r>
        <w:t>5.</w:t>
      </w:r>
      <w:r w:rsidR="00B06277">
        <w:t>3.</w:t>
      </w:r>
      <w:r w:rsidR="006E7E9E">
        <w:t>1</w:t>
      </w:r>
      <w:r>
        <w:tab/>
        <w:t>Voice</w:t>
      </w:r>
    </w:p>
    <w:p w14:paraId="7C916ED9" w14:textId="72A8E47C" w:rsidR="00C86825" w:rsidRDefault="005A7CC5" w:rsidP="00F45E58">
      <w:r>
        <w:t xml:space="preserve">The concept is for the Voice to advise but not bind Parliament on legislation etc. that affects Indigenous Australians.  </w:t>
      </w:r>
      <w:r w:rsidR="00C86825">
        <w:t xml:space="preserve">The concept </w:t>
      </w:r>
      <w:r w:rsidR="00367E23">
        <w:t>is said to have near</w:t>
      </w:r>
      <w:r w:rsidR="0012276C">
        <w:t>-</w:t>
      </w:r>
      <w:r w:rsidR="00367E23">
        <w:t xml:space="preserve">unanimous support by Indigenous leaders.  It </w:t>
      </w:r>
      <w:r w:rsidR="00C86825">
        <w:t xml:space="preserve">has been recommended by </w:t>
      </w:r>
      <w:r w:rsidR="00AF1056">
        <w:t>ac</w:t>
      </w:r>
      <w:r w:rsidR="00367E23">
        <w:t xml:space="preserve">ademics, </w:t>
      </w:r>
      <w:r w:rsidR="00C86825">
        <w:t>a Constitutional Convention of Indigenous peoples (Uluru statement), a Referendum Council</w:t>
      </w:r>
      <w:r w:rsidR="009530C9">
        <w:t xml:space="preserve"> including a former Chief Justice of the High Court</w:t>
      </w:r>
      <w:r w:rsidR="00C86825">
        <w:t xml:space="preserve"> and </w:t>
      </w:r>
      <w:r w:rsidR="00367E23">
        <w:t xml:space="preserve">by </w:t>
      </w:r>
      <w:r w:rsidR="00C86825">
        <w:t xml:space="preserve">a </w:t>
      </w:r>
      <w:r w:rsidR="00367E23">
        <w:t xml:space="preserve">bipartisan </w:t>
      </w:r>
      <w:r w:rsidR="00C86825">
        <w:t>Joint Select Committee of Parliament.</w:t>
      </w:r>
      <w:r w:rsidR="003602ED">
        <w:t xml:space="preserve">  It has been misrepresented by the Government.</w:t>
      </w:r>
      <w:r w:rsidR="00C86825">
        <w:t xml:space="preserve">  </w:t>
      </w:r>
    </w:p>
    <w:p w14:paraId="7A83C377" w14:textId="5302A4E5" w:rsidR="005A7CC5" w:rsidRDefault="00C86825" w:rsidP="00F45E58">
      <w:r>
        <w:t xml:space="preserve">While the </w:t>
      </w:r>
      <w:r w:rsidR="00367E23">
        <w:t>Convention and Council</w:t>
      </w:r>
      <w:r>
        <w:t xml:space="preserve"> recommended </w:t>
      </w:r>
      <w:r w:rsidR="00367E23">
        <w:t>the Voice</w:t>
      </w:r>
      <w:r>
        <w:t xml:space="preserve"> be enshrined in the Constitution, the Joint Select Committee did not</w:t>
      </w:r>
      <w:r w:rsidR="00BA7A3B">
        <w:t xml:space="preserve">. </w:t>
      </w:r>
      <w:r>
        <w:t xml:space="preserve"> Rather the Committee </w:t>
      </w:r>
      <w:r w:rsidR="0012276C">
        <w:t xml:space="preserve">majority </w:t>
      </w:r>
      <w:r>
        <w:t>recommended a process of co-</w:t>
      </w:r>
      <w:r w:rsidR="00BA7A3B">
        <w:t>d</w:t>
      </w:r>
      <w:r>
        <w:t xml:space="preserve">esign of the Voice, </w:t>
      </w:r>
      <w:r w:rsidR="00BA7A3B">
        <w:t xml:space="preserve">then </w:t>
      </w:r>
      <w:r>
        <w:t xml:space="preserve">consideration of whether </w:t>
      </w:r>
      <w:r w:rsidR="00BA7A3B">
        <w:t>to</w:t>
      </w:r>
      <w:r>
        <w:t xml:space="preserve"> create</w:t>
      </w:r>
      <w:r w:rsidR="00BA7A3B">
        <w:t xml:space="preserve"> it </w:t>
      </w:r>
      <w:r>
        <w:t xml:space="preserve">by legislation or by referendum. </w:t>
      </w:r>
    </w:p>
    <w:p w14:paraId="5FA46B26" w14:textId="300E2A29" w:rsidR="00A737AA" w:rsidRDefault="00A737AA" w:rsidP="00F45E58">
      <w:r>
        <w:lastRenderedPageBreak/>
        <w:t>T</w:t>
      </w:r>
      <w:r w:rsidR="0012276C">
        <w:t xml:space="preserve">here have been </w:t>
      </w:r>
      <w:r>
        <w:t xml:space="preserve">Commonwealth Government </w:t>
      </w:r>
      <w:r w:rsidR="001C7908">
        <w:t xml:space="preserve">Indigenous </w:t>
      </w:r>
      <w:r>
        <w:t xml:space="preserve">advisory bodies, including </w:t>
      </w:r>
      <w:r w:rsidR="001C7908">
        <w:t>with elected representatives</w:t>
      </w:r>
      <w:r>
        <w:t xml:space="preserve">, for </w:t>
      </w:r>
      <w:r w:rsidR="00721BAF">
        <w:t>some of the last 50 years</w:t>
      </w:r>
      <w:r>
        <w:t xml:space="preserve">.  The most recent was the Aboriginal and Torres Strait Islander Commission.  </w:t>
      </w:r>
      <w:r w:rsidR="00591518">
        <w:t>T</w:t>
      </w:r>
      <w:r>
        <w:t xml:space="preserve">he Voice </w:t>
      </w:r>
      <w:r w:rsidR="00591518">
        <w:t xml:space="preserve">might differ </w:t>
      </w:r>
      <w:r w:rsidR="00CB22E5">
        <w:t xml:space="preserve">from these </w:t>
      </w:r>
      <w:r w:rsidR="00591518">
        <w:t xml:space="preserve">in </w:t>
      </w:r>
      <w:r>
        <w:t xml:space="preserve">not having </w:t>
      </w:r>
      <w:r w:rsidR="007B405A">
        <w:t>roles</w:t>
      </w:r>
      <w:r>
        <w:t xml:space="preserve"> such as funding.</w:t>
      </w:r>
    </w:p>
    <w:p w14:paraId="1E77FDAE" w14:textId="64534791" w:rsidR="00CC24ED" w:rsidRDefault="007B405A" w:rsidP="00ED4783">
      <w:r>
        <w:t>One</w:t>
      </w:r>
      <w:r w:rsidR="00A737AA">
        <w:t xml:space="preserve"> question is</w:t>
      </w:r>
      <w:r>
        <w:t>: would</w:t>
      </w:r>
      <w:r w:rsidR="00A737AA">
        <w:t xml:space="preserve"> </w:t>
      </w:r>
      <w:r w:rsidR="002B79FC">
        <w:t>an</w:t>
      </w:r>
      <w:r w:rsidR="00A737AA">
        <w:t xml:space="preserve"> </w:t>
      </w:r>
      <w:r w:rsidR="005427CB">
        <w:t xml:space="preserve">Indigenous </w:t>
      </w:r>
      <w:r w:rsidR="00A737AA">
        <w:t>Voice set a precedent for other groups</w:t>
      </w:r>
      <w:r w:rsidR="002B79FC">
        <w:t xml:space="preserve">.  Some religions, ethnic communities and sexual ‘orientations’ </w:t>
      </w:r>
      <w:r w:rsidR="00BA7A3B">
        <w:t xml:space="preserve">also </w:t>
      </w:r>
      <w:r w:rsidR="002B79FC">
        <w:t>claim disadvantage due to prejudice.</w:t>
      </w:r>
      <w:r w:rsidR="005427CB">
        <w:t xml:space="preserve"> </w:t>
      </w:r>
    </w:p>
    <w:p w14:paraId="25ED0506" w14:textId="0B1B8AD9" w:rsidR="002E037F" w:rsidRDefault="002E037F" w:rsidP="00F45E58">
      <w:r>
        <w:t xml:space="preserve">There are claims only a Constitutionally enshrined Voice would satisfy calls for Indigenous ‘recognition’.  If correct, this </w:t>
      </w:r>
      <w:r w:rsidR="00F34EA9">
        <w:t>raises three other questions</w:t>
      </w:r>
      <w:r>
        <w:t>.</w:t>
      </w:r>
    </w:p>
    <w:p w14:paraId="3F986CF1" w14:textId="258DCF02" w:rsidR="002B79FC" w:rsidRDefault="002E037F" w:rsidP="00F45E58">
      <w:r>
        <w:t xml:space="preserve">First </w:t>
      </w:r>
      <w:r w:rsidR="00F34EA9">
        <w:t xml:space="preserve">whether </w:t>
      </w:r>
      <w:r>
        <w:t>advocate</w:t>
      </w:r>
      <w:r w:rsidR="002B79FC">
        <w:t>s</w:t>
      </w:r>
      <w:r>
        <w:t xml:space="preserve"> lack trust in </w:t>
      </w:r>
      <w:r w:rsidR="00BE5F18">
        <w:t xml:space="preserve">the </w:t>
      </w:r>
      <w:r w:rsidR="00315755">
        <w:t>Commonwealth</w:t>
      </w:r>
      <w:r>
        <w:t xml:space="preserve"> to listen to Indigenous people.  </w:t>
      </w:r>
      <w:r w:rsidR="002B79FC">
        <w:t>The</w:t>
      </w:r>
      <w:r w:rsidR="00624E43">
        <w:t xml:space="preserve">re </w:t>
      </w:r>
      <w:r w:rsidR="00F34EA9">
        <w:t>may be</w:t>
      </w:r>
      <w:r w:rsidR="00624E43">
        <w:t xml:space="preserve"> good reasons</w:t>
      </w:r>
      <w:r w:rsidR="00315755">
        <w:t xml:space="preserve"> for distrust</w:t>
      </w:r>
      <w:r w:rsidR="00624E43">
        <w:t>.  The</w:t>
      </w:r>
      <w:r w:rsidR="002B79FC">
        <w:t xml:space="preserve"> Commonwealth has chopped and changed between ‘self-determination’ </w:t>
      </w:r>
      <w:r w:rsidR="00BA7A3B">
        <w:t>and</w:t>
      </w:r>
      <w:r w:rsidR="002B79FC">
        <w:t xml:space="preserve"> ‘assimilation’.  The Commonwealth also has </w:t>
      </w:r>
      <w:r w:rsidR="00F34EA9">
        <w:t>set</w:t>
      </w:r>
      <w:r w:rsidR="002B79FC">
        <w:t xml:space="preserve"> </w:t>
      </w:r>
      <w:r w:rsidR="00F34EA9">
        <w:t>poor</w:t>
      </w:r>
      <w:r w:rsidR="002B79FC">
        <w:t xml:space="preserve"> governance and budget</w:t>
      </w:r>
      <w:r w:rsidR="00BA7A3B">
        <w:t>s</w:t>
      </w:r>
      <w:r w:rsidR="002B79FC">
        <w:t xml:space="preserve"> for Indigenous advisory bodies.  However, </w:t>
      </w:r>
      <w:r w:rsidR="00F34EA9">
        <w:t xml:space="preserve">such </w:t>
      </w:r>
      <w:r w:rsidR="000878D2">
        <w:t>problems</w:t>
      </w:r>
      <w:r w:rsidR="00F34EA9">
        <w:t xml:space="preserve"> are</w:t>
      </w:r>
      <w:r w:rsidR="002B79FC">
        <w:t xml:space="preserve"> not limited to Aboriginal affairs.  </w:t>
      </w:r>
    </w:p>
    <w:p w14:paraId="2504B338" w14:textId="48FEF14B" w:rsidR="00F34EA9" w:rsidRDefault="00F34EA9" w:rsidP="00F34EA9">
      <w:r>
        <w:t xml:space="preserve">Second, especially if there is such </w:t>
      </w:r>
      <w:r w:rsidR="000878D2">
        <w:t>dis</w:t>
      </w:r>
      <w:r>
        <w:t xml:space="preserve">trust, </w:t>
      </w:r>
      <w:r w:rsidR="00BE5F18">
        <w:t xml:space="preserve">and distaste for paternalism, </w:t>
      </w:r>
      <w:r>
        <w:t>there is a question of</w:t>
      </w:r>
      <w:r w:rsidR="003602ED">
        <w:t>:</w:t>
      </w:r>
      <w:r>
        <w:t xml:space="preserve"> why </w:t>
      </w:r>
      <w:r w:rsidR="003602ED">
        <w:t>does a</w:t>
      </w:r>
      <w:r>
        <w:t xml:space="preserve"> Voice needs to be initiated by government</w:t>
      </w:r>
      <w:r w:rsidR="003602ED">
        <w:t>?</w:t>
      </w:r>
      <w:r>
        <w:t xml:space="preserve">  Why don’t Aboriginal interests </w:t>
      </w:r>
      <w:r w:rsidR="000878D2">
        <w:t>form</w:t>
      </w:r>
      <w:r>
        <w:t xml:space="preserve"> the desired structures and roles - a de</w:t>
      </w:r>
      <w:r w:rsidR="00694793">
        <w:t>-</w:t>
      </w:r>
      <w:r>
        <w:t xml:space="preserve">facto Voice </w:t>
      </w:r>
      <w:r w:rsidR="009650FC">
        <w:t>such as the</w:t>
      </w:r>
      <w:r w:rsidR="00BE5F18">
        <w:t>ir</w:t>
      </w:r>
      <w:r w:rsidR="009650FC">
        <w:t xml:space="preserve"> National Congress </w:t>
      </w:r>
      <w:r w:rsidR="00BE5F18">
        <w:t>–</w:t>
      </w:r>
      <w:r>
        <w:t xml:space="preserve"> </w:t>
      </w:r>
      <w:r w:rsidR="00BE5F18">
        <w:t>prior to</w:t>
      </w:r>
      <w:r>
        <w:t xml:space="preserve"> formal recognition? </w:t>
      </w:r>
    </w:p>
    <w:p w14:paraId="417E8D61" w14:textId="0A9F76AC" w:rsidR="00F34EA9" w:rsidRDefault="00F34EA9" w:rsidP="00F34EA9">
      <w:r>
        <w:t xml:space="preserve">A third question arises from the claim a Voice is symbolically important for its existence in the Constitution.  Is an implication: advocates are asking </w:t>
      </w:r>
      <w:r w:rsidR="009650FC">
        <w:t xml:space="preserve">for </w:t>
      </w:r>
      <w:r>
        <w:t>sympathy or to promote Aboriginal self-esteem?  If so</w:t>
      </w:r>
      <w:r w:rsidR="00BE5F18">
        <w:t>,</w:t>
      </w:r>
      <w:r>
        <w:t xml:space="preserve"> the risk is that rejection of such a proposal may be devastating to such self-esteem.</w:t>
      </w:r>
    </w:p>
    <w:p w14:paraId="7593078A" w14:textId="34BC8871" w:rsidR="00F34EA9" w:rsidRDefault="00F34EA9" w:rsidP="00F34EA9">
      <w:r>
        <w:t xml:space="preserve">At this time, the Voice while important needs greater clarity. </w:t>
      </w:r>
    </w:p>
    <w:p w14:paraId="2DE42F30" w14:textId="6EEA0880" w:rsidR="005C1AEE" w:rsidRDefault="006E7E9E" w:rsidP="005C1AEE">
      <w:pPr>
        <w:pStyle w:val="Heading4"/>
      </w:pPr>
      <w:r>
        <w:t>5</w:t>
      </w:r>
      <w:r w:rsidR="005C1AEE">
        <w:t>.</w:t>
      </w:r>
      <w:r>
        <w:t>3</w:t>
      </w:r>
      <w:r w:rsidR="005C1AEE">
        <w:t>.</w:t>
      </w:r>
      <w:r>
        <w:t>2</w:t>
      </w:r>
      <w:r w:rsidR="005C1AEE">
        <w:tab/>
        <w:t>Recognition</w:t>
      </w:r>
    </w:p>
    <w:p w14:paraId="1BC42EA2" w14:textId="538382E2" w:rsidR="005C1AEE" w:rsidRDefault="005C1AEE" w:rsidP="00F45E58">
      <w:r>
        <w:t xml:space="preserve">Despite being much talked about, Indigenous recognition remains undefined.  As is the case for the </w:t>
      </w:r>
      <w:r w:rsidR="000878D2">
        <w:t xml:space="preserve">similarly </w:t>
      </w:r>
      <w:r>
        <w:t>undefined term ‘independent’</w:t>
      </w:r>
      <w:r w:rsidR="00315755">
        <w:t>,</w:t>
      </w:r>
      <w:r>
        <w:t xml:space="preserve"> issues revolve around: recognition of what?  </w:t>
      </w:r>
      <w:r w:rsidR="00315755">
        <w:t>T</w:t>
      </w:r>
      <w:r>
        <w:t>o what effect?</w:t>
      </w:r>
    </w:p>
    <w:p w14:paraId="57930C8A" w14:textId="5A327CB8" w:rsidR="005C1AEE" w:rsidRDefault="005C1AEE" w:rsidP="005C1AEE">
      <w:r>
        <w:t>The Referendum Council recommended recognition issues be handled outside the Constitution</w:t>
      </w:r>
      <w:r w:rsidR="000878D2">
        <w:t>, implying</w:t>
      </w:r>
      <w:r>
        <w:t xml:space="preserve"> </w:t>
      </w:r>
      <w:r w:rsidR="00BE5F18">
        <w:t>r</w:t>
      </w:r>
      <w:r>
        <w:t>ecognition extends beyond, or is something other than, the Voice.</w:t>
      </w:r>
      <w:r w:rsidR="00BE5F18">
        <w:t xml:space="preserve">  </w:t>
      </w:r>
      <w:r>
        <w:t>There are many possibilities</w:t>
      </w:r>
      <w:r w:rsidR="00BE5F18">
        <w:t xml:space="preserve"> e.g. </w:t>
      </w:r>
      <w:r>
        <w:t>existence</w:t>
      </w:r>
      <w:r w:rsidR="00D22939">
        <w:t xml:space="preserve"> of</w:t>
      </w:r>
      <w:r>
        <w:t xml:space="preserve"> groups; existence prior to British settlement; factual statements such as about the common-law and native title; sovereignty.  They </w:t>
      </w:r>
      <w:r w:rsidR="00BE5F18">
        <w:t>range</w:t>
      </w:r>
      <w:r>
        <w:t xml:space="preserve"> from innocuous to irresponsible.</w:t>
      </w:r>
    </w:p>
    <w:p w14:paraId="51BCF68E" w14:textId="5CE798E2" w:rsidR="005C1AEE" w:rsidRDefault="003332C5" w:rsidP="005C1AEE">
      <w:r>
        <w:t>Being</w:t>
      </w:r>
      <w:r w:rsidR="005C1AEE">
        <w:t xml:space="preserve"> undefined they </w:t>
      </w:r>
      <w:r w:rsidR="00A110A7">
        <w:t>are unable to</w:t>
      </w:r>
      <w:r w:rsidR="005C1AEE">
        <w:t xml:space="preserve"> </w:t>
      </w:r>
      <w:r w:rsidR="00A110A7">
        <w:t xml:space="preserve">meet the criteria of </w:t>
      </w:r>
      <w:r w:rsidR="005C1AEE">
        <w:t xml:space="preserve">importance or </w:t>
      </w:r>
      <w:r>
        <w:t>clarity</w:t>
      </w:r>
      <w:r w:rsidR="00A110A7">
        <w:t xml:space="preserve"> at this time</w:t>
      </w:r>
      <w:r w:rsidR="005C1AEE">
        <w:t>.</w:t>
      </w:r>
      <w:r w:rsidR="00A110A7">
        <w:t xml:space="preserve">  However, the matter may be critical if recognition </w:t>
      </w:r>
      <w:r w:rsidR="00D22939">
        <w:t>affects</w:t>
      </w:r>
      <w:r w:rsidR="00A110A7">
        <w:t xml:space="preserve"> self-esteem and opportunities.   I</w:t>
      </w:r>
      <w:r w:rsidR="00315755">
        <w:t>f so, i</w:t>
      </w:r>
      <w:r w:rsidR="00A110A7">
        <w:t xml:space="preserve">t is important </w:t>
      </w:r>
      <w:r w:rsidR="00315755">
        <w:t>for</w:t>
      </w:r>
      <w:r w:rsidR="00A110A7">
        <w:t xml:space="preserve"> recognition concepts </w:t>
      </w:r>
      <w:r w:rsidR="00315755">
        <w:t>to be</w:t>
      </w:r>
      <w:r w:rsidR="00A110A7">
        <w:t xml:space="preserve"> developed and explained in terms understandable to all Australians.</w:t>
      </w:r>
    </w:p>
    <w:p w14:paraId="2D04B9B1" w14:textId="77F4EF75" w:rsidR="00A110A7" w:rsidRDefault="006E7E9E" w:rsidP="00A110A7">
      <w:pPr>
        <w:pStyle w:val="Heading4"/>
      </w:pPr>
      <w:r>
        <w:t>5</w:t>
      </w:r>
      <w:r w:rsidR="00A110A7">
        <w:t>.</w:t>
      </w:r>
      <w:r>
        <w:t>3</w:t>
      </w:r>
      <w:r w:rsidR="00A110A7">
        <w:t>.</w:t>
      </w:r>
      <w:r>
        <w:t>3</w:t>
      </w:r>
      <w:r w:rsidR="00A110A7">
        <w:tab/>
      </w:r>
      <w:r w:rsidR="003332C5">
        <w:t>Substantive r</w:t>
      </w:r>
      <w:r w:rsidR="00A110A7">
        <w:t>ights</w:t>
      </w:r>
    </w:p>
    <w:p w14:paraId="0FBA9809" w14:textId="77777777" w:rsidR="00BE5F18" w:rsidRDefault="00A110A7" w:rsidP="00BE5F18">
      <w:r>
        <w:t xml:space="preserve">In Australia classes of rights arise from </w:t>
      </w:r>
      <w:r w:rsidR="00BE5F18">
        <w:t xml:space="preserve">legislation and </w:t>
      </w:r>
      <w:r>
        <w:t xml:space="preserve">common-law.  </w:t>
      </w:r>
      <w:r w:rsidR="00BE5F18">
        <w:t xml:space="preserve">Alteration of rights is a matter for legislation, Parliament, which sometimes delegates powers to executive Governments.  </w:t>
      </w:r>
    </w:p>
    <w:p w14:paraId="171BEE24" w14:textId="388E63BE" w:rsidR="00CC24ED" w:rsidRDefault="00A110A7" w:rsidP="005C1AEE">
      <w:r>
        <w:t xml:space="preserve">The judiciary </w:t>
      </w:r>
      <w:r w:rsidR="00BE5F18">
        <w:t xml:space="preserve">interprets legislation and </w:t>
      </w:r>
      <w:r>
        <w:t xml:space="preserve">determines the common law </w:t>
      </w:r>
      <w:r w:rsidR="00315755">
        <w:t>via</w:t>
      </w:r>
      <w:r>
        <w:t xml:space="preserve"> deciding legal contests.  Enunciation or clarification of ‘new’ </w:t>
      </w:r>
      <w:r w:rsidR="009F3635">
        <w:t xml:space="preserve">or implied </w:t>
      </w:r>
      <w:r>
        <w:t xml:space="preserve">rights is frequently denounced as ‘judicial activism’.  </w:t>
      </w:r>
    </w:p>
    <w:p w14:paraId="093A28ED" w14:textId="292947FA" w:rsidR="00CC24ED" w:rsidRDefault="00CC24ED" w:rsidP="005C1AEE">
      <w:r>
        <w:t xml:space="preserve">The Constitution does not generally specify </w:t>
      </w:r>
      <w:r w:rsidR="003332C5">
        <w:t xml:space="preserve">substantive </w:t>
      </w:r>
      <w:r w:rsidR="00EB24F7">
        <w:t xml:space="preserve">- </w:t>
      </w:r>
      <w:r w:rsidR="003332C5">
        <w:t xml:space="preserve">as distinct from procedural </w:t>
      </w:r>
      <w:r w:rsidR="00EB24F7">
        <w:t xml:space="preserve">- </w:t>
      </w:r>
      <w:r>
        <w:t xml:space="preserve">rights.  Australia does not have a bill of rights like the United States.  </w:t>
      </w:r>
    </w:p>
    <w:p w14:paraId="6B7B442D" w14:textId="7903DECD" w:rsidR="00315755" w:rsidRDefault="003332C5" w:rsidP="005C1AEE">
      <w:r>
        <w:t xml:space="preserve">The Voice would not </w:t>
      </w:r>
      <w:r w:rsidR="00D22939">
        <w:t xml:space="preserve">apparently </w:t>
      </w:r>
      <w:r>
        <w:t>deal with substantive rights</w:t>
      </w:r>
      <w:r w:rsidR="00315755">
        <w:t xml:space="preserve"> – a point belatedly conceded by one </w:t>
      </w:r>
      <w:r w:rsidR="00410CDB">
        <w:t>conservative politician</w:t>
      </w:r>
      <w:r w:rsidR="00315755">
        <w:t xml:space="preserve">, not </w:t>
      </w:r>
      <w:r w:rsidR="00694793">
        <w:t xml:space="preserve">many </w:t>
      </w:r>
      <w:r w:rsidR="00315755">
        <w:t xml:space="preserve">others! - </w:t>
      </w:r>
      <w:r>
        <w:t>but would embody a procedural right.</w:t>
      </w:r>
    </w:p>
    <w:p w14:paraId="38425FDD" w14:textId="7D708025" w:rsidR="003332C5" w:rsidRDefault="00CC24ED" w:rsidP="005C1AEE">
      <w:r>
        <w:t>An argument for the Constitution to</w:t>
      </w:r>
      <w:r w:rsidR="003332C5">
        <w:t xml:space="preserve"> go beyond this and</w:t>
      </w:r>
      <w:r>
        <w:t xml:space="preserve"> specify certain </w:t>
      </w:r>
      <w:r w:rsidR="003332C5">
        <w:t xml:space="preserve">substantive </w:t>
      </w:r>
      <w:r>
        <w:t xml:space="preserve">Aboriginal rights could aim at two different subjects.  </w:t>
      </w:r>
      <w:r w:rsidR="00A110A7">
        <w:t>The first is codification of existing rights, such as over land</w:t>
      </w:r>
      <w:r w:rsidR="00D22939">
        <w:t xml:space="preserve"> to </w:t>
      </w:r>
      <w:r w:rsidR="00A110A7">
        <w:t>forestall legislative attempts to reduce these rights.</w:t>
      </w:r>
      <w:r w:rsidR="003332C5">
        <w:t xml:space="preserve"> </w:t>
      </w:r>
      <w:r w:rsidR="00A110A7">
        <w:t xml:space="preserve">The second is </w:t>
      </w:r>
      <w:r w:rsidR="006C1B23">
        <w:t>creation of new</w:t>
      </w:r>
      <w:r w:rsidR="00A110A7">
        <w:t xml:space="preserve"> rights</w:t>
      </w:r>
      <w:r w:rsidR="006C1B23">
        <w:t xml:space="preserve">.  </w:t>
      </w:r>
    </w:p>
    <w:p w14:paraId="1C11FE99" w14:textId="5FA8813D" w:rsidR="00A110A7" w:rsidRDefault="006C1B23" w:rsidP="005C1AEE">
      <w:r>
        <w:lastRenderedPageBreak/>
        <w:t xml:space="preserve">In both </w:t>
      </w:r>
      <w:r w:rsidR="003332C5">
        <w:t>codification and extension by referendum</w:t>
      </w:r>
      <w:r>
        <w:t xml:space="preserve">, the authority </w:t>
      </w:r>
      <w:r w:rsidR="003332C5">
        <w:t>of</w:t>
      </w:r>
      <w:r>
        <w:t xml:space="preserve"> Parliament is impinged.</w:t>
      </w:r>
      <w:r w:rsidR="003332C5">
        <w:t xml:space="preserve">  Given Australian sovereignty is now assumed to rest with the people rather than the Crown, and given Parliament is the body charged with day to day determination of rights, it is difficult to imagine a compelling case for such a referendum.</w:t>
      </w:r>
      <w:r w:rsidR="00A110A7">
        <w:t xml:space="preserve"> </w:t>
      </w:r>
    </w:p>
    <w:p w14:paraId="5E72EBC8" w14:textId="44364EDD" w:rsidR="00E54D62" w:rsidRDefault="006E7E9E" w:rsidP="00E54D62">
      <w:pPr>
        <w:pStyle w:val="Heading3"/>
      </w:pPr>
      <w:bookmarkStart w:id="15" w:name="_Toc15287794"/>
      <w:r>
        <w:t>5.4</w:t>
      </w:r>
      <w:r>
        <w:tab/>
      </w:r>
      <w:r w:rsidR="00E54D62">
        <w:t>Preamble</w:t>
      </w:r>
      <w:bookmarkEnd w:id="15"/>
    </w:p>
    <w:p w14:paraId="67F37A5F" w14:textId="77777777" w:rsidR="00D22939" w:rsidRDefault="006A529A" w:rsidP="00D22939">
      <w:r>
        <w:t xml:space="preserve">Preambles preface enactments - statute law.  They are not operative provisions of law, but seek to explain the circumstances in which law was enacted.  </w:t>
      </w:r>
    </w:p>
    <w:p w14:paraId="0CFC7EAF" w14:textId="7B50DB21" w:rsidR="006A529A" w:rsidRDefault="006A529A" w:rsidP="00D22939">
      <w:pPr>
        <w:rPr>
          <w:rFonts w:cstheme="minorHAnsi"/>
          <w:color w:val="222222"/>
          <w:shd w:val="clear" w:color="auto" w:fill="FFFFFF"/>
        </w:rPr>
      </w:pPr>
      <w:r>
        <w:rPr>
          <w:rFonts w:cstheme="minorHAnsi"/>
          <w:color w:val="222222"/>
          <w:shd w:val="clear" w:color="auto" w:fill="FFFFFF"/>
        </w:rPr>
        <w:t>Among the possible purposes</w:t>
      </w:r>
      <w:r w:rsidR="00D22939">
        <w:rPr>
          <w:rFonts w:cstheme="minorHAnsi"/>
          <w:color w:val="222222"/>
          <w:shd w:val="clear" w:color="auto" w:fill="FFFFFF"/>
        </w:rPr>
        <w:t xml:space="preserve"> of a Constitutional preamble</w:t>
      </w:r>
      <w:r>
        <w:rPr>
          <w:rFonts w:cstheme="minorHAnsi"/>
          <w:color w:val="222222"/>
          <w:shd w:val="clear" w:color="auto" w:fill="FFFFFF"/>
        </w:rPr>
        <w:t>: state the purpose of the Constitution; state who ‘we’ are; state how we wish to be seen e.g. values that unite us.</w:t>
      </w:r>
    </w:p>
    <w:p w14:paraId="7B42C1A3" w14:textId="27523979" w:rsidR="00D22939" w:rsidRDefault="006A529A" w:rsidP="00D22939">
      <w:pPr>
        <w:spacing w:after="0"/>
        <w:rPr>
          <w:lang w:eastAsia="en-AU"/>
        </w:rPr>
      </w:pPr>
      <w:r>
        <w:t xml:space="preserve">The Australian Constitution does not have a preamble.  </w:t>
      </w:r>
      <w:bookmarkStart w:id="16" w:name="_Hlk13327014"/>
      <w:r>
        <w:t>The (British) Constitution Act 1900 does</w:t>
      </w:r>
      <w:r w:rsidR="009F3635">
        <w:t>.</w:t>
      </w:r>
      <w:r>
        <w:t xml:space="preserve"> </w:t>
      </w:r>
      <w:r w:rsidR="009F3635">
        <w:t>It</w:t>
      </w:r>
      <w:r>
        <w:t xml:space="preserve"> </w:t>
      </w:r>
      <w:bookmarkEnd w:id="16"/>
      <w:r>
        <w:t>follows the 19</w:t>
      </w:r>
      <w:r w:rsidRPr="00D349C1">
        <w:rPr>
          <w:vertAlign w:val="superscript"/>
        </w:rPr>
        <w:t>th</w:t>
      </w:r>
      <w:r>
        <w:t xml:space="preserve"> century British formula for statutory preambles</w:t>
      </w:r>
      <w:r w:rsidR="009F3635">
        <w:t xml:space="preserve">, </w:t>
      </w:r>
      <w:r w:rsidR="00D22939">
        <w:t>outlin</w:t>
      </w:r>
      <w:r w:rsidR="009F3635">
        <w:t>ing</w:t>
      </w:r>
      <w:r>
        <w:t xml:space="preserve"> </w:t>
      </w:r>
      <w:r w:rsidR="00D22939">
        <w:t>elements of t</w:t>
      </w:r>
      <w:r>
        <w:t>he Constitution and why Brit</w:t>
      </w:r>
      <w:r w:rsidR="00D22939">
        <w:t xml:space="preserve">ain </w:t>
      </w:r>
      <w:r>
        <w:t xml:space="preserve">approved it.  </w:t>
      </w:r>
      <w:r w:rsidR="00D22939">
        <w:rPr>
          <w:lang w:eastAsia="en-AU"/>
        </w:rPr>
        <w:t xml:space="preserve">Fundamental practices – such as the Prime Minister, Cabinet - are not in the preamble.  </w:t>
      </w:r>
      <w:r w:rsidR="00EB24F7">
        <w:rPr>
          <w:lang w:eastAsia="en-AU"/>
        </w:rPr>
        <w:t xml:space="preserve">Nor </w:t>
      </w:r>
      <w:r w:rsidR="00D22939">
        <w:t xml:space="preserve">does </w:t>
      </w:r>
      <w:r w:rsidR="009F3635">
        <w:t>the preamble</w:t>
      </w:r>
      <w:r w:rsidR="00D22939">
        <w:t xml:space="preserve"> </w:t>
      </w:r>
      <w:r w:rsidR="00D22939">
        <w:rPr>
          <w:rFonts w:eastAsia="Times New Roman" w:cstheme="minorHAnsi"/>
          <w:color w:val="222222"/>
          <w:lang w:eastAsia="en-AU"/>
        </w:rPr>
        <w:t xml:space="preserve">relate to ‘values’ understood today.  </w:t>
      </w:r>
    </w:p>
    <w:p w14:paraId="05C901DC" w14:textId="77777777" w:rsidR="006A529A" w:rsidRDefault="006A529A" w:rsidP="006A529A">
      <w:pPr>
        <w:shd w:val="clear" w:color="auto" w:fill="FFFFFF"/>
        <w:spacing w:after="0" w:line="240" w:lineRule="auto"/>
        <w:rPr>
          <w:rFonts w:eastAsia="Times New Roman" w:cstheme="minorHAnsi"/>
          <w:color w:val="222222"/>
          <w:lang w:eastAsia="en-AU"/>
        </w:rPr>
      </w:pPr>
    </w:p>
    <w:p w14:paraId="3A8DF314" w14:textId="643EB577" w:rsidR="006A529A" w:rsidRDefault="006A529A" w:rsidP="00D22939">
      <w:pPr>
        <w:spacing w:after="0"/>
        <w:rPr>
          <w:rFonts w:eastAsia="Times New Roman" w:cstheme="minorHAnsi"/>
          <w:color w:val="222222"/>
          <w:lang w:eastAsia="en-AU"/>
        </w:rPr>
      </w:pPr>
      <w:r>
        <w:t xml:space="preserve">A referendum on a particular new preamble accompanied the 1999 republic referendum.  </w:t>
      </w:r>
    </w:p>
    <w:p w14:paraId="1386478F" w14:textId="3B42987F" w:rsidR="006A529A" w:rsidRDefault="006A529A" w:rsidP="00ED4783">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Despite </w:t>
      </w:r>
      <w:r w:rsidRPr="000820FE">
        <w:rPr>
          <w:rFonts w:eastAsia="Times New Roman" w:cstheme="minorHAnsi"/>
          <w:color w:val="222222"/>
          <w:lang w:eastAsia="en-AU"/>
        </w:rPr>
        <w:t>Prime Minister</w:t>
      </w:r>
      <w:r>
        <w:rPr>
          <w:rFonts w:eastAsia="Times New Roman" w:cstheme="minorHAnsi"/>
          <w:color w:val="222222"/>
          <w:lang w:eastAsia="en-AU"/>
        </w:rPr>
        <w:t xml:space="preserve"> Howard opposing a republic, he </w:t>
      </w:r>
      <w:r w:rsidR="00CB22E5">
        <w:rPr>
          <w:rFonts w:eastAsia="Times New Roman" w:cstheme="minorHAnsi"/>
          <w:color w:val="222222"/>
          <w:lang w:eastAsia="en-AU"/>
        </w:rPr>
        <w:t xml:space="preserve">argued </w:t>
      </w:r>
      <w:r>
        <w:rPr>
          <w:rFonts w:eastAsia="Times New Roman" w:cstheme="minorHAnsi"/>
          <w:color w:val="222222"/>
          <w:lang w:eastAsia="en-AU"/>
        </w:rPr>
        <w:t xml:space="preserve">a new preamble was important.  Several </w:t>
      </w:r>
      <w:r w:rsidR="00CB22E5">
        <w:rPr>
          <w:rFonts w:eastAsia="Times New Roman" w:cstheme="minorHAnsi"/>
          <w:color w:val="222222"/>
          <w:lang w:eastAsia="en-AU"/>
        </w:rPr>
        <w:t xml:space="preserve">official and many unofficial </w:t>
      </w:r>
      <w:r>
        <w:rPr>
          <w:rFonts w:eastAsia="Times New Roman" w:cstheme="minorHAnsi"/>
          <w:color w:val="222222"/>
          <w:lang w:eastAsia="en-AU"/>
        </w:rPr>
        <w:t>versions were drafted</w:t>
      </w:r>
      <w:r>
        <w:t xml:space="preserve">.  The final </w:t>
      </w:r>
      <w:r w:rsidR="00CB22E5">
        <w:t>official version</w:t>
      </w:r>
      <w:r>
        <w:t xml:space="preserve"> </w:t>
      </w:r>
      <w:r>
        <w:rPr>
          <w:rFonts w:cstheme="minorHAnsi"/>
          <w:color w:val="222222"/>
          <w:shd w:val="clear" w:color="auto" w:fill="FFFFFF"/>
        </w:rPr>
        <w:t>was verbose</w:t>
      </w:r>
      <w:r w:rsidR="00694793">
        <w:rPr>
          <w:rFonts w:cstheme="minorHAnsi"/>
          <w:color w:val="222222"/>
          <w:shd w:val="clear" w:color="auto" w:fill="FFFFFF"/>
        </w:rPr>
        <w:t>, politically charged</w:t>
      </w:r>
      <w:r>
        <w:rPr>
          <w:rFonts w:cstheme="minorHAnsi"/>
          <w:color w:val="222222"/>
          <w:shd w:val="clear" w:color="auto" w:fill="FFFFFF"/>
        </w:rPr>
        <w:t xml:space="preserve"> and short of substance</w:t>
      </w:r>
      <w:r w:rsidR="00ED4783">
        <w:rPr>
          <w:rFonts w:cstheme="minorHAnsi"/>
          <w:color w:val="222222"/>
          <w:shd w:val="clear" w:color="auto" w:fill="FFFFFF"/>
        </w:rPr>
        <w:t xml:space="preserve">.  </w:t>
      </w:r>
      <w:r w:rsidR="009577E4">
        <w:rPr>
          <w:rFonts w:cstheme="minorHAnsi"/>
          <w:color w:val="222222"/>
          <w:shd w:val="clear" w:color="auto" w:fill="FFFFFF"/>
        </w:rPr>
        <w:t>It</w:t>
      </w:r>
      <w:r>
        <w:rPr>
          <w:rFonts w:cstheme="minorHAnsi"/>
          <w:color w:val="222222"/>
          <w:shd w:val="clear" w:color="auto" w:fill="FFFFFF"/>
        </w:rPr>
        <w:t xml:space="preserve"> was supposed to be ‘</w:t>
      </w:r>
      <w:r w:rsidRPr="000820FE">
        <w:rPr>
          <w:rFonts w:cstheme="minorHAnsi"/>
          <w:color w:val="222222"/>
          <w:shd w:val="clear" w:color="auto" w:fill="FFFFFF"/>
        </w:rPr>
        <w:t>non-justiciable</w:t>
      </w:r>
      <w:r>
        <w:rPr>
          <w:rFonts w:cstheme="minorHAnsi"/>
          <w:color w:val="222222"/>
          <w:shd w:val="clear" w:color="auto" w:fill="FFFFFF"/>
        </w:rPr>
        <w:t xml:space="preserve">’.  </w:t>
      </w:r>
    </w:p>
    <w:p w14:paraId="2173FFE9" w14:textId="77777777" w:rsidR="006A529A" w:rsidRDefault="006A529A" w:rsidP="006A529A">
      <w:pPr>
        <w:shd w:val="clear" w:color="auto" w:fill="FFFFFF"/>
        <w:spacing w:after="0" w:line="240" w:lineRule="auto"/>
        <w:rPr>
          <w:rFonts w:eastAsia="Times New Roman" w:cstheme="minorHAnsi"/>
          <w:color w:val="222222"/>
          <w:lang w:eastAsia="en-AU"/>
        </w:rPr>
      </w:pPr>
    </w:p>
    <w:p w14:paraId="4C863F7B" w14:textId="5B50D3FF" w:rsidR="006A529A" w:rsidRPr="007D4E72" w:rsidRDefault="006A529A" w:rsidP="009577E4">
      <w:pPr>
        <w:shd w:val="clear" w:color="auto" w:fill="FFFFFF"/>
        <w:spacing w:after="0" w:line="240" w:lineRule="auto"/>
        <w:rPr>
          <w:rFonts w:eastAsia="Times New Roman" w:cstheme="minorHAnsi"/>
          <w:i/>
          <w:iCs/>
          <w:sz w:val="20"/>
          <w:szCs w:val="20"/>
          <w:lang w:eastAsia="en-AU"/>
        </w:rPr>
      </w:pPr>
      <w:r w:rsidRPr="00B12134">
        <w:rPr>
          <w:rFonts w:eastAsia="Times New Roman" w:cstheme="minorHAnsi"/>
          <w:color w:val="222222"/>
          <w:lang w:eastAsia="en-AU"/>
        </w:rPr>
        <w:t xml:space="preserve">There practically </w:t>
      </w:r>
      <w:r>
        <w:rPr>
          <w:rFonts w:eastAsia="Times New Roman" w:cstheme="minorHAnsi"/>
          <w:color w:val="222222"/>
          <w:lang w:eastAsia="en-AU"/>
        </w:rPr>
        <w:t>wasn’t any</w:t>
      </w:r>
      <w:r w:rsidRPr="00B12134">
        <w:rPr>
          <w:rFonts w:eastAsia="Times New Roman" w:cstheme="minorHAnsi"/>
          <w:color w:val="222222"/>
          <w:lang w:eastAsia="en-AU"/>
        </w:rPr>
        <w:t xml:space="preserve"> campaign either for or against the </w:t>
      </w:r>
      <w:r>
        <w:rPr>
          <w:rFonts w:eastAsia="Times New Roman" w:cstheme="minorHAnsi"/>
          <w:color w:val="222222"/>
          <w:lang w:eastAsia="en-AU"/>
        </w:rPr>
        <w:t xml:space="preserve">preamble </w:t>
      </w:r>
      <w:r w:rsidRPr="00B12134">
        <w:rPr>
          <w:rFonts w:eastAsia="Times New Roman" w:cstheme="minorHAnsi"/>
          <w:color w:val="222222"/>
          <w:lang w:eastAsia="en-AU"/>
        </w:rPr>
        <w:t>proposal – rather the interest was in the republic question.</w:t>
      </w:r>
      <w:r>
        <w:rPr>
          <w:rFonts w:eastAsia="Times New Roman" w:cstheme="minorHAnsi"/>
          <w:color w:val="222222"/>
          <w:lang w:eastAsia="en-AU"/>
        </w:rPr>
        <w:t xml:space="preserve">  </w:t>
      </w:r>
      <w:r w:rsidRPr="00B12134">
        <w:rPr>
          <w:rFonts w:eastAsia="Times New Roman" w:cstheme="minorHAnsi"/>
          <w:color w:val="222222"/>
          <w:lang w:eastAsia="en-AU"/>
        </w:rPr>
        <w:t xml:space="preserve">The preamble question gained 39% support nationally.  </w:t>
      </w:r>
      <w:r>
        <w:rPr>
          <w:rFonts w:eastAsia="Times New Roman" w:cstheme="minorHAnsi"/>
          <w:color w:val="222222"/>
          <w:lang w:eastAsia="en-AU"/>
        </w:rPr>
        <w:t>Among the</w:t>
      </w:r>
      <w:r w:rsidRPr="00B12134">
        <w:rPr>
          <w:rFonts w:eastAsia="Times New Roman" w:cstheme="minorHAnsi"/>
          <w:color w:val="222222"/>
          <w:lang w:eastAsia="en-AU"/>
        </w:rPr>
        <w:t xml:space="preserve"> explanation</w:t>
      </w:r>
      <w:r>
        <w:rPr>
          <w:rFonts w:eastAsia="Times New Roman" w:cstheme="minorHAnsi"/>
          <w:color w:val="222222"/>
          <w:lang w:eastAsia="en-AU"/>
        </w:rPr>
        <w:t>s</w:t>
      </w:r>
      <w:r w:rsidRPr="00B12134">
        <w:rPr>
          <w:rFonts w:eastAsia="Times New Roman" w:cstheme="minorHAnsi"/>
          <w:color w:val="222222"/>
          <w:lang w:eastAsia="en-AU"/>
        </w:rPr>
        <w:t xml:space="preserve">: </w:t>
      </w:r>
      <w:r>
        <w:rPr>
          <w:rFonts w:eastAsia="Times New Roman" w:cstheme="minorHAnsi"/>
          <w:color w:val="222222"/>
          <w:lang w:eastAsia="en-AU"/>
        </w:rPr>
        <w:t xml:space="preserve">apathy; a ‘republic neutral’ preamble; </w:t>
      </w:r>
      <w:r w:rsidRPr="00B12134">
        <w:rPr>
          <w:rFonts w:eastAsia="Times New Roman" w:cstheme="minorHAnsi"/>
          <w:color w:val="222222"/>
          <w:lang w:eastAsia="en-AU"/>
        </w:rPr>
        <w:t>the ‘politicians’ preamble’.</w:t>
      </w:r>
      <w:r>
        <w:rPr>
          <w:rFonts w:eastAsia="Times New Roman" w:cstheme="minorHAnsi"/>
          <w:color w:val="222222"/>
          <w:lang w:eastAsia="en-AU"/>
        </w:rPr>
        <w:t xml:space="preserve">  </w:t>
      </w:r>
    </w:p>
    <w:p w14:paraId="553E2740" w14:textId="77777777" w:rsidR="006A529A" w:rsidRPr="00001F50" w:rsidRDefault="006A529A" w:rsidP="006A529A">
      <w:pPr>
        <w:pStyle w:val="Heading4"/>
        <w:spacing w:before="0"/>
        <w:rPr>
          <w:rFonts w:eastAsia="Times New Roman"/>
          <w:sz w:val="16"/>
          <w:szCs w:val="16"/>
          <w:lang w:eastAsia="en-AU"/>
        </w:rPr>
      </w:pPr>
    </w:p>
    <w:p w14:paraId="3EA09EF3" w14:textId="7C86D8C6" w:rsidR="006A529A" w:rsidRDefault="006A529A" w:rsidP="009577E4">
      <w:pPr>
        <w:rPr>
          <w:lang w:eastAsia="en-AU"/>
        </w:rPr>
      </w:pPr>
      <w:r>
        <w:rPr>
          <w:lang w:eastAsia="en-AU"/>
        </w:rPr>
        <w:t>Twomey (2010) review</w:t>
      </w:r>
      <w:r w:rsidR="00D22939">
        <w:rPr>
          <w:lang w:eastAsia="en-AU"/>
        </w:rPr>
        <w:t>ing</w:t>
      </w:r>
      <w:r>
        <w:rPr>
          <w:lang w:eastAsia="en-AU"/>
        </w:rPr>
        <w:t xml:space="preserve"> the </w:t>
      </w:r>
      <w:r w:rsidR="009577E4">
        <w:rPr>
          <w:lang w:eastAsia="en-AU"/>
        </w:rPr>
        <w:t xml:space="preserve">preamble </w:t>
      </w:r>
      <w:r>
        <w:rPr>
          <w:lang w:eastAsia="en-AU"/>
        </w:rPr>
        <w:t>referendum in the context of Indigenous recognition</w:t>
      </w:r>
      <w:r w:rsidR="00D22939">
        <w:rPr>
          <w:lang w:eastAsia="en-AU"/>
        </w:rPr>
        <w:t xml:space="preserve">, </w:t>
      </w:r>
      <w:r>
        <w:rPr>
          <w:lang w:eastAsia="en-AU"/>
        </w:rPr>
        <w:t xml:space="preserve">raised concerns including: increasing international judicial activism; preamble matters not being reflected in operative provisions; disingenuity of pretending a change in a preamble is not intended to have an effect; (implicitly) the hypocrisy of ‘non-judicial’ disclaimers.  </w:t>
      </w:r>
    </w:p>
    <w:p w14:paraId="1D8E7E90" w14:textId="5F001186" w:rsidR="006A529A" w:rsidRDefault="006A529A" w:rsidP="006A529A">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Some commentators claim the preamble referendum failed because of a faulty process and lack of public interest.  An implication: a better process might increase prospects for success.  However, t</w:t>
      </w:r>
      <w:r w:rsidRPr="002B26CC">
        <w:rPr>
          <w:rFonts w:eastAsia="Times New Roman" w:cstheme="minorHAnsi"/>
          <w:color w:val="222222"/>
          <w:lang w:eastAsia="en-AU"/>
        </w:rPr>
        <w:t xml:space="preserve">he </w:t>
      </w:r>
      <w:r>
        <w:rPr>
          <w:rFonts w:eastAsia="Times New Roman" w:cstheme="minorHAnsi"/>
          <w:color w:val="222222"/>
          <w:lang w:eastAsia="en-AU"/>
        </w:rPr>
        <w:t xml:space="preserve">public </w:t>
      </w:r>
      <w:r w:rsidRPr="002B26CC">
        <w:rPr>
          <w:rFonts w:eastAsia="Times New Roman" w:cstheme="minorHAnsi"/>
          <w:color w:val="222222"/>
          <w:lang w:eastAsia="en-AU"/>
        </w:rPr>
        <w:t xml:space="preserve">popularity of drafting </w:t>
      </w:r>
      <w:r>
        <w:rPr>
          <w:rFonts w:eastAsia="Times New Roman" w:cstheme="minorHAnsi"/>
          <w:color w:val="222222"/>
          <w:lang w:eastAsia="en-AU"/>
        </w:rPr>
        <w:t xml:space="preserve">– and denigrating - proposals </w:t>
      </w:r>
      <w:r w:rsidRPr="002B26CC">
        <w:rPr>
          <w:rFonts w:eastAsia="Times New Roman" w:cstheme="minorHAnsi"/>
          <w:color w:val="222222"/>
          <w:lang w:eastAsia="en-AU"/>
        </w:rPr>
        <w:t>suggests con</w:t>
      </w:r>
      <w:r>
        <w:rPr>
          <w:rFonts w:eastAsia="Times New Roman" w:cstheme="minorHAnsi"/>
          <w:color w:val="222222"/>
          <w:lang w:eastAsia="en-AU"/>
        </w:rPr>
        <w:t>trasting</w:t>
      </w:r>
      <w:r w:rsidRPr="002B26CC">
        <w:rPr>
          <w:rFonts w:eastAsia="Times New Roman" w:cstheme="minorHAnsi"/>
          <w:color w:val="222222"/>
          <w:lang w:eastAsia="en-AU"/>
        </w:rPr>
        <w:t xml:space="preserve"> agendas about </w:t>
      </w:r>
      <w:r>
        <w:rPr>
          <w:rFonts w:eastAsia="Times New Roman" w:cstheme="minorHAnsi"/>
          <w:color w:val="222222"/>
          <w:lang w:eastAsia="en-AU"/>
        </w:rPr>
        <w:t xml:space="preserve">values and about </w:t>
      </w:r>
      <w:r w:rsidRPr="002B26CC">
        <w:rPr>
          <w:rFonts w:eastAsia="Times New Roman" w:cstheme="minorHAnsi"/>
          <w:color w:val="222222"/>
          <w:lang w:eastAsia="en-AU"/>
        </w:rPr>
        <w:t xml:space="preserve">what a preamble should do.  </w:t>
      </w:r>
      <w:r>
        <w:rPr>
          <w:rFonts w:eastAsia="Times New Roman" w:cstheme="minorHAnsi"/>
          <w:color w:val="222222"/>
          <w:lang w:eastAsia="en-AU"/>
        </w:rPr>
        <w:t xml:space="preserve">This reveals a fundamental problem: many see a preamble as a clandestine opportunity to change the (operation of the) Constitution.  </w:t>
      </w:r>
    </w:p>
    <w:p w14:paraId="7E9A228A" w14:textId="77777777" w:rsidR="006A529A" w:rsidRDefault="006A529A" w:rsidP="006A529A">
      <w:pPr>
        <w:shd w:val="clear" w:color="auto" w:fill="FFFFFF"/>
        <w:spacing w:after="0" w:line="240" w:lineRule="auto"/>
        <w:rPr>
          <w:rFonts w:eastAsia="Times New Roman" w:cstheme="minorHAnsi"/>
          <w:color w:val="222222"/>
          <w:lang w:eastAsia="en-AU"/>
        </w:rPr>
      </w:pPr>
    </w:p>
    <w:p w14:paraId="1108F8A9" w14:textId="780253E0" w:rsidR="006A529A" w:rsidRDefault="009577E4" w:rsidP="006A529A">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U</w:t>
      </w:r>
      <w:r w:rsidR="006A529A">
        <w:rPr>
          <w:rFonts w:eastAsia="Times New Roman" w:cstheme="minorHAnsi"/>
          <w:color w:val="222222"/>
          <w:lang w:eastAsia="en-AU"/>
        </w:rPr>
        <w:t xml:space="preserve">nless the preamble’s motive is overt it is impossible to argue it important.  With agendas hidden by a lack of proposed changes to operative provisions, most preamble proposals lack </w:t>
      </w:r>
      <w:r>
        <w:rPr>
          <w:rFonts w:eastAsia="Times New Roman" w:cstheme="minorHAnsi"/>
          <w:color w:val="222222"/>
          <w:lang w:eastAsia="en-AU"/>
        </w:rPr>
        <w:t>clarity</w:t>
      </w:r>
      <w:r w:rsidR="006A529A">
        <w:rPr>
          <w:rFonts w:eastAsia="Times New Roman" w:cstheme="minorHAnsi"/>
          <w:color w:val="222222"/>
          <w:lang w:eastAsia="en-AU"/>
        </w:rPr>
        <w:t xml:space="preserve">.  </w:t>
      </w:r>
    </w:p>
    <w:p w14:paraId="20382996" w14:textId="77777777" w:rsidR="006A529A" w:rsidRDefault="006A529A" w:rsidP="006A529A">
      <w:pPr>
        <w:shd w:val="clear" w:color="auto" w:fill="FFFFFF"/>
        <w:spacing w:after="0" w:line="240" w:lineRule="auto"/>
        <w:rPr>
          <w:rFonts w:eastAsia="Times New Roman" w:cstheme="minorHAnsi"/>
          <w:color w:val="222222"/>
          <w:lang w:eastAsia="en-AU"/>
        </w:rPr>
      </w:pPr>
    </w:p>
    <w:p w14:paraId="0CD1DAF4" w14:textId="5F5B2DC6" w:rsidR="006A529A" w:rsidRDefault="006A529A" w:rsidP="006A529A">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Australia’s civic conversation has become more fractured since the 1999 referendum.  There are new causes and ‘</w:t>
      </w:r>
      <w:proofErr w:type="gramStart"/>
      <w:r>
        <w:rPr>
          <w:rFonts w:eastAsia="Times New Roman" w:cstheme="minorHAnsi"/>
          <w:color w:val="222222"/>
          <w:lang w:eastAsia="en-AU"/>
        </w:rPr>
        <w:t>values’</w:t>
      </w:r>
      <w:proofErr w:type="gramEnd"/>
      <w:r>
        <w:rPr>
          <w:rFonts w:eastAsia="Times New Roman" w:cstheme="minorHAnsi"/>
          <w:color w:val="222222"/>
          <w:lang w:eastAsia="en-AU"/>
        </w:rPr>
        <w:t>.  Pe</w:t>
      </w:r>
      <w:r w:rsidR="009577E4">
        <w:rPr>
          <w:rFonts w:eastAsia="Times New Roman" w:cstheme="minorHAnsi"/>
          <w:color w:val="222222"/>
          <w:lang w:eastAsia="en-AU"/>
        </w:rPr>
        <w:t>ople</w:t>
      </w:r>
      <w:r>
        <w:rPr>
          <w:rFonts w:eastAsia="Times New Roman" w:cstheme="minorHAnsi"/>
          <w:color w:val="222222"/>
          <w:lang w:eastAsia="en-AU"/>
        </w:rPr>
        <w:t xml:space="preserve"> take offence at what previously w</w:t>
      </w:r>
      <w:r w:rsidR="00ED4783">
        <w:rPr>
          <w:rFonts w:eastAsia="Times New Roman" w:cstheme="minorHAnsi"/>
          <w:color w:val="222222"/>
          <w:lang w:eastAsia="en-AU"/>
        </w:rPr>
        <w:t>as</w:t>
      </w:r>
      <w:r>
        <w:rPr>
          <w:rFonts w:eastAsia="Times New Roman" w:cstheme="minorHAnsi"/>
          <w:color w:val="222222"/>
          <w:lang w:eastAsia="en-AU"/>
        </w:rPr>
        <w:t xml:space="preserve"> regarded as innocuous</w:t>
      </w:r>
      <w:r w:rsidR="00462C79">
        <w:rPr>
          <w:rFonts w:eastAsia="Times New Roman" w:cstheme="minorHAnsi"/>
          <w:color w:val="222222"/>
          <w:lang w:eastAsia="en-AU"/>
        </w:rPr>
        <w:t xml:space="preserve">, at the date of public holidays </w:t>
      </w:r>
      <w:r>
        <w:rPr>
          <w:rFonts w:eastAsia="Times New Roman" w:cstheme="minorHAnsi"/>
          <w:color w:val="222222"/>
          <w:lang w:eastAsia="en-AU"/>
        </w:rPr>
        <w:t>and at the national anthem.</w:t>
      </w:r>
    </w:p>
    <w:p w14:paraId="69C98985" w14:textId="77777777" w:rsidR="006A529A" w:rsidRDefault="006A529A" w:rsidP="006A529A">
      <w:pPr>
        <w:shd w:val="clear" w:color="auto" w:fill="FFFFFF"/>
        <w:spacing w:after="0" w:line="240" w:lineRule="auto"/>
        <w:rPr>
          <w:rFonts w:eastAsia="Times New Roman" w:cstheme="minorHAnsi"/>
          <w:color w:val="222222"/>
          <w:lang w:eastAsia="en-AU"/>
        </w:rPr>
      </w:pPr>
    </w:p>
    <w:p w14:paraId="4C65B98C" w14:textId="249B0A1A" w:rsidR="006E7E9E" w:rsidRDefault="006A529A" w:rsidP="006A529A">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Professor Williams’ concerns of scare campaigns wrecking referendum chances are probably higher now than at the time of his writing.  In these circumstances there is little merit or hope for a preamble that intends to express ‘</w:t>
      </w:r>
      <w:proofErr w:type="gramStart"/>
      <w:r>
        <w:rPr>
          <w:rFonts w:eastAsia="Times New Roman" w:cstheme="minorHAnsi"/>
          <w:color w:val="222222"/>
          <w:lang w:eastAsia="en-AU"/>
        </w:rPr>
        <w:t>values’</w:t>
      </w:r>
      <w:proofErr w:type="gramEnd"/>
      <w:r>
        <w:rPr>
          <w:rFonts w:eastAsia="Times New Roman" w:cstheme="minorHAnsi"/>
          <w:color w:val="222222"/>
          <w:lang w:eastAsia="en-AU"/>
        </w:rPr>
        <w:t>.   The best chance for success is one limited to facts or matters dealt with by the Constitution.</w:t>
      </w:r>
      <w:r w:rsidR="002820A2">
        <w:rPr>
          <w:rFonts w:eastAsia="Times New Roman" w:cstheme="minorHAnsi"/>
          <w:color w:val="222222"/>
          <w:lang w:eastAsia="en-AU"/>
        </w:rPr>
        <w:t xml:space="preserve">  More details are in Appendix 4.</w:t>
      </w:r>
    </w:p>
    <w:p w14:paraId="6ADF3EF7" w14:textId="77777777" w:rsidR="009F3635" w:rsidRDefault="009F3635" w:rsidP="006A529A">
      <w:pPr>
        <w:shd w:val="clear" w:color="auto" w:fill="FFFFFF"/>
        <w:spacing w:after="0" w:line="240" w:lineRule="auto"/>
        <w:rPr>
          <w:rFonts w:eastAsia="Times New Roman" w:cstheme="minorHAnsi"/>
          <w:color w:val="222222"/>
          <w:lang w:eastAsia="en-AU"/>
        </w:rPr>
      </w:pPr>
    </w:p>
    <w:p w14:paraId="2143F248" w14:textId="7A281D7D" w:rsidR="00B06277" w:rsidRDefault="006E7E9E" w:rsidP="00B06277">
      <w:pPr>
        <w:pStyle w:val="Heading3"/>
      </w:pPr>
      <w:bookmarkStart w:id="17" w:name="_Toc9855218"/>
      <w:bookmarkStart w:id="18" w:name="_Toc15287795"/>
      <w:r>
        <w:lastRenderedPageBreak/>
        <w:t>5.</w:t>
      </w:r>
      <w:r w:rsidR="002820A2">
        <w:t>5</w:t>
      </w:r>
      <w:r w:rsidR="00B06277">
        <w:tab/>
        <w:t>Local government</w:t>
      </w:r>
      <w:bookmarkEnd w:id="17"/>
      <w:bookmarkEnd w:id="18"/>
    </w:p>
    <w:p w14:paraId="477D69A8" w14:textId="73E6CAB0" w:rsidR="00B06277" w:rsidRDefault="006E7E9E" w:rsidP="00B06277">
      <w:r>
        <w:t>The likely</w:t>
      </w:r>
      <w:r w:rsidR="00B06277">
        <w:t xml:space="preserve"> purpose </w:t>
      </w:r>
      <w:r>
        <w:t xml:space="preserve">of recognising local governments </w:t>
      </w:r>
      <w:r w:rsidR="00B06277">
        <w:t xml:space="preserve">is to allow the Commonwealth to provide </w:t>
      </w:r>
      <w:r>
        <w:t xml:space="preserve">them with </w:t>
      </w:r>
      <w:r w:rsidR="00B06277">
        <w:t xml:space="preserve">public monies without the agreement of the relevant State. </w:t>
      </w:r>
    </w:p>
    <w:p w14:paraId="2EC47A52" w14:textId="7118705D" w:rsidR="00B06277" w:rsidRDefault="00B06277" w:rsidP="00B06277">
      <w:r>
        <w:t>At present the Commonwealth may provide public monies to (particular) local governments via s.96 conditional State grants.</w:t>
      </w:r>
      <w:r w:rsidR="006E7E9E">
        <w:t xml:space="preserve"> </w:t>
      </w:r>
      <w:r>
        <w:t xml:space="preserve">One effect of recognising local government would be to remove the requirements of s.96 for Commonwealth grants.  </w:t>
      </w:r>
    </w:p>
    <w:p w14:paraId="3F656A3F" w14:textId="77777777" w:rsidR="00345FD7" w:rsidRDefault="00B06277" w:rsidP="00B06277">
      <w:r>
        <w:t>Two referendums have been held on this subject; in 1974 and 1988.  Neither were carried.</w:t>
      </w:r>
      <w:r w:rsidR="00345FD7">
        <w:t xml:space="preserve">  </w:t>
      </w:r>
    </w:p>
    <w:p w14:paraId="1BCCC465" w14:textId="12AB69ED" w:rsidR="00B06277" w:rsidRDefault="00B06277" w:rsidP="00B06277">
      <w:r>
        <w:t xml:space="preserve">In the early 2000s local government agitated for another referendum.  The deal </w:t>
      </w:r>
      <w:r w:rsidR="00DC0360">
        <w:t>allowing</w:t>
      </w:r>
      <w:r>
        <w:t xml:space="preserve"> Labor to form Government </w:t>
      </w:r>
      <w:r w:rsidR="00BE5F18">
        <w:t>in 2010</w:t>
      </w:r>
      <w:r>
        <w:t xml:space="preserve"> included a promise to hold referendums on recognition of</w:t>
      </w:r>
      <w:r w:rsidR="009F3635">
        <w:t>:</w:t>
      </w:r>
      <w:r>
        <w:t xml:space="preserve"> local government</w:t>
      </w:r>
      <w:r w:rsidR="009F3635">
        <w:t xml:space="preserve">; </w:t>
      </w:r>
      <w:r>
        <w:t>Indigenous Australians.</w:t>
      </w:r>
      <w:r w:rsidR="006E7E9E">
        <w:t xml:space="preserve">  </w:t>
      </w:r>
      <w:r>
        <w:t xml:space="preserve">Neither was held.    </w:t>
      </w:r>
    </w:p>
    <w:p w14:paraId="2EAAECCB" w14:textId="7A318E0F" w:rsidR="00B06277" w:rsidRDefault="00B06277" w:rsidP="00B06277">
      <w:r>
        <w:t>The local government proposal supposed to be put in 2013 has been described as</w:t>
      </w:r>
      <w:r w:rsidR="006E7E9E">
        <w:t xml:space="preserve"> inept.  In March </w:t>
      </w:r>
      <w:r w:rsidR="009F3635">
        <w:t xml:space="preserve">2013 </w:t>
      </w:r>
      <w:r w:rsidR="006E7E9E">
        <w:t>a</w:t>
      </w:r>
      <w:r>
        <w:t xml:space="preserve"> Joint Select Committee majority recommended a referendum for </w:t>
      </w:r>
      <w:r w:rsidR="006E7E9E">
        <w:t>‘</w:t>
      </w:r>
      <w:r>
        <w:t>financial</w:t>
      </w:r>
      <w:r w:rsidR="006E7E9E">
        <w:t>’</w:t>
      </w:r>
      <w:r>
        <w:t xml:space="preserve"> recognition</w:t>
      </w:r>
      <w:r w:rsidR="006E7E9E">
        <w:t xml:space="preserve"> of local government via amendment to </w:t>
      </w:r>
      <w:r>
        <w:t>s.96 as follows:</w:t>
      </w:r>
    </w:p>
    <w:p w14:paraId="6E4AFB97" w14:textId="30A9CA2E" w:rsidR="00B06277" w:rsidRPr="00345FD7" w:rsidRDefault="00B06277" w:rsidP="00B06277">
      <w:pPr>
        <w:ind w:left="720"/>
        <w:rPr>
          <w:i/>
          <w:sz w:val="20"/>
          <w:szCs w:val="20"/>
        </w:rPr>
      </w:pPr>
      <w:r w:rsidRPr="00345FD7">
        <w:rPr>
          <w:i/>
          <w:sz w:val="20"/>
          <w:szCs w:val="20"/>
        </w:rPr>
        <w:t xml:space="preserve">‘Parliament may grant financial assistance to any State, </w:t>
      </w:r>
      <w:r w:rsidRPr="00345FD7">
        <w:rPr>
          <w:b/>
          <w:i/>
          <w:sz w:val="20"/>
          <w:szCs w:val="20"/>
        </w:rPr>
        <w:t>or to any local government body formed by a law of a State</w:t>
      </w:r>
      <w:r w:rsidRPr="00345FD7">
        <w:rPr>
          <w:i/>
          <w:sz w:val="20"/>
          <w:szCs w:val="20"/>
        </w:rPr>
        <w:t>, on such terms and conditions as the Parliament thinks fit’</w:t>
      </w:r>
    </w:p>
    <w:p w14:paraId="65B0230C" w14:textId="282D88BD" w:rsidR="00B06277" w:rsidRDefault="00B06277" w:rsidP="00B06277">
      <w:r>
        <w:t xml:space="preserve">However, key assumptions </w:t>
      </w:r>
      <w:r w:rsidR="00DC0360">
        <w:t>of</w:t>
      </w:r>
      <w:r>
        <w:t xml:space="preserve"> the Select Committee majority proved incorrect.  The change of Prime Ministers </w:t>
      </w:r>
      <w:r w:rsidR="009F3635">
        <w:t>later that year</w:t>
      </w:r>
      <w:r>
        <w:t xml:space="preserve"> prevented the question being put at the </w:t>
      </w:r>
      <w:r w:rsidR="009F3635">
        <w:t xml:space="preserve">2013 </w:t>
      </w:r>
      <w:r>
        <w:t>election.</w:t>
      </w:r>
      <w:r w:rsidR="00EB24F7">
        <w:t xml:space="preserve">  More recently, long standing interpretations of s.96 have been question</w:t>
      </w:r>
      <w:r w:rsidR="00694793">
        <w:t>ed in ways</w:t>
      </w:r>
      <w:r w:rsidR="009F3635">
        <w:t xml:space="preserve"> </w:t>
      </w:r>
      <w:r w:rsidR="00694793">
        <w:t xml:space="preserve">that </w:t>
      </w:r>
      <w:r w:rsidR="009F3635">
        <w:t>have implications for</w:t>
      </w:r>
      <w:r w:rsidR="00694793">
        <w:t xml:space="preserve"> the effect</w:t>
      </w:r>
      <w:r w:rsidR="009F3635">
        <w:t xml:space="preserve"> of the above drafting</w:t>
      </w:r>
      <w:r w:rsidR="00EB24F7">
        <w:t>.</w:t>
      </w:r>
    </w:p>
    <w:p w14:paraId="7B4DAA04" w14:textId="348E13D4" w:rsidR="00345FD7" w:rsidRDefault="00B06277" w:rsidP="006E7E9E">
      <w:r>
        <w:t>Some commentary suggests the issue is likely to be raised again.  The claimed benefit is validation of support for local government</w:t>
      </w:r>
      <w:r w:rsidR="006E7E9E">
        <w:t xml:space="preserve">.  </w:t>
      </w:r>
      <w:r>
        <w:t>While there may be local government pressure for this, the implied claim</w:t>
      </w:r>
      <w:r w:rsidR="006E7E9E">
        <w:t xml:space="preserve"> </w:t>
      </w:r>
      <w:r w:rsidR="00CB22E5">
        <w:t xml:space="preserve">– invalidity of current support provided through and by States - </w:t>
      </w:r>
      <w:r w:rsidR="006E7E9E">
        <w:t>lacks substance</w:t>
      </w:r>
      <w:r>
        <w:t xml:space="preserve">.  </w:t>
      </w:r>
    </w:p>
    <w:p w14:paraId="3216B2FB" w14:textId="1B065792" w:rsidR="00B06277" w:rsidRDefault="00B06277" w:rsidP="006E7E9E">
      <w:r>
        <w:t>The issue of local government recognition is, by itself, unimportant.  The proposal</w:t>
      </w:r>
      <w:r w:rsidR="006E7E9E">
        <w:t xml:space="preserve">s put to date have also lacked clarity.  More details are in </w:t>
      </w:r>
      <w:r w:rsidR="006849F8">
        <w:t>A</w:t>
      </w:r>
      <w:r w:rsidR="006E7E9E">
        <w:t>ppendix 5.</w:t>
      </w:r>
    </w:p>
    <w:p w14:paraId="3D9A1A2E" w14:textId="572C7792" w:rsidR="00ED4783" w:rsidRDefault="00345FD7" w:rsidP="00345FD7">
      <w:pPr>
        <w:pStyle w:val="Heading3"/>
      </w:pPr>
      <w:bookmarkStart w:id="19" w:name="_Toc15287796"/>
      <w:r>
        <w:t>5.</w:t>
      </w:r>
      <w:r w:rsidR="002820A2">
        <w:t>6</w:t>
      </w:r>
      <w:r>
        <w:tab/>
        <w:t>Regions, cities</w:t>
      </w:r>
      <w:bookmarkEnd w:id="19"/>
    </w:p>
    <w:p w14:paraId="3EBBF032" w14:textId="337A8A11" w:rsidR="00F90623" w:rsidRDefault="00F90623">
      <w:bookmarkStart w:id="20" w:name="_Hlk14021518"/>
      <w:r>
        <w:t>Regional promises featured prominently in the recent election campaign</w:t>
      </w:r>
      <w:r w:rsidR="00694793">
        <w:t>,</w:t>
      </w:r>
      <w:r w:rsidR="005656A1">
        <w:t xml:space="preserve"> usually </w:t>
      </w:r>
      <w:r w:rsidR="00DC0360">
        <w:t>as</w:t>
      </w:r>
      <w:r w:rsidR="005656A1">
        <w:t xml:space="preserve"> gifts from the Commonwealth</w:t>
      </w:r>
      <w:r>
        <w:t>.  However, as the Commonwealth lacks regional powers</w:t>
      </w:r>
      <w:r w:rsidR="00697DF6">
        <w:t xml:space="preserve"> and is unable to offer </w:t>
      </w:r>
      <w:r w:rsidR="00CE0492">
        <w:t>zone-based</w:t>
      </w:r>
      <w:r w:rsidR="00697DF6">
        <w:t xml:space="preserve"> taxation</w:t>
      </w:r>
      <w:r>
        <w:t xml:space="preserve">, </w:t>
      </w:r>
      <w:r w:rsidR="005B013E">
        <w:t xml:space="preserve">its </w:t>
      </w:r>
      <w:r>
        <w:t xml:space="preserve">authority to </w:t>
      </w:r>
      <w:r w:rsidR="005656A1">
        <w:t>fulfil</w:t>
      </w:r>
      <w:r>
        <w:t xml:space="preserve"> many of these promises is </w:t>
      </w:r>
      <w:r w:rsidR="00DC0360">
        <w:t>doubtful</w:t>
      </w:r>
      <w:r>
        <w:t>.</w:t>
      </w:r>
      <w:r w:rsidR="000B3D27">
        <w:t xml:space="preserve">  </w:t>
      </w:r>
    </w:p>
    <w:p w14:paraId="3053F9A6" w14:textId="42A1FEDF" w:rsidR="00697DF6" w:rsidRDefault="00F90623" w:rsidP="00A66E3E">
      <w:pPr>
        <w:rPr>
          <w:i/>
        </w:rPr>
      </w:pPr>
      <w:r>
        <w:t>One way of removing such questions would be a Commonwealth power for</w:t>
      </w:r>
      <w:r w:rsidR="000B3D27">
        <w:t xml:space="preserve"> regions and/or cities</w:t>
      </w:r>
      <w:r>
        <w:t>.</w:t>
      </w:r>
      <w:r w:rsidR="00697DF6">
        <w:t xml:space="preserve">  Th</w:t>
      </w:r>
      <w:r w:rsidR="00BE5F18">
        <w:t>e referendum for th</w:t>
      </w:r>
      <w:r w:rsidR="00697DF6">
        <w:t>is could be framed along the lines of the local government proposal</w:t>
      </w:r>
      <w:r w:rsidR="00A66E3E">
        <w:t>.</w:t>
      </w:r>
      <w:r w:rsidR="00697DF6">
        <w:t xml:space="preserve"> </w:t>
      </w:r>
    </w:p>
    <w:p w14:paraId="0982F5CB" w14:textId="5F4C8756" w:rsidR="00BE5F18" w:rsidRDefault="00F90623">
      <w:r>
        <w:t xml:space="preserve">In Australia, the term ‘region’ is often used to denote </w:t>
      </w:r>
      <w:r w:rsidR="005656A1">
        <w:t xml:space="preserve">locations </w:t>
      </w:r>
      <w:r>
        <w:t xml:space="preserve">outside the five metropolitan areas.  </w:t>
      </w:r>
      <w:r w:rsidR="00BE5F18">
        <w:t xml:space="preserve">This creates some difficulties for </w:t>
      </w:r>
      <w:r w:rsidR="005656A1">
        <w:t>a referendum on the topic</w:t>
      </w:r>
      <w:r w:rsidR="00BE5F18">
        <w:t>:</w:t>
      </w:r>
      <w:r w:rsidR="00A66E3E">
        <w:t xml:space="preserve"> </w:t>
      </w:r>
      <w:r w:rsidR="005656A1">
        <w:t>the definition to be given to ‘region’</w:t>
      </w:r>
      <w:r w:rsidR="00BE5F18">
        <w:t xml:space="preserve">; </w:t>
      </w:r>
      <w:r w:rsidR="00A66E3E">
        <w:t>a</w:t>
      </w:r>
      <w:r w:rsidR="005656A1">
        <w:t xml:space="preserve"> proposition aimed at supporting </w:t>
      </w:r>
      <w:r w:rsidR="0035416D">
        <w:t xml:space="preserve">the legality of Commonwealth </w:t>
      </w:r>
      <w:r w:rsidR="005656A1">
        <w:t xml:space="preserve">gifts </w:t>
      </w:r>
      <w:r w:rsidR="0035416D">
        <w:t>to</w:t>
      </w:r>
      <w:r w:rsidR="005656A1">
        <w:t xml:space="preserve"> regions would </w:t>
      </w:r>
      <w:r w:rsidR="009F3635">
        <w:t>rely on</w:t>
      </w:r>
      <w:r w:rsidR="005656A1">
        <w:t xml:space="preserve"> an electorate which mostly does not live there. </w:t>
      </w:r>
      <w:r w:rsidR="009650FC">
        <w:t xml:space="preserve"> </w:t>
      </w:r>
    </w:p>
    <w:p w14:paraId="21E068F6" w14:textId="245A3152" w:rsidR="00EB24F7" w:rsidRDefault="0035416D">
      <w:r>
        <w:t>Such a change may have greatest chance of acceptance if it</w:t>
      </w:r>
      <w:r w:rsidR="00CB371F">
        <w:t>s subject matter</w:t>
      </w:r>
      <w:r>
        <w:t xml:space="preserve"> </w:t>
      </w:r>
      <w:r w:rsidR="00CB371F">
        <w:t xml:space="preserve">and location </w:t>
      </w:r>
      <w:r>
        <w:t>is limited and made specific</w:t>
      </w:r>
      <w:r w:rsidR="005B013E">
        <w:t>.  F</w:t>
      </w:r>
      <w:r>
        <w:t>or example</w:t>
      </w:r>
      <w:r w:rsidR="005B013E">
        <w:t>,</w:t>
      </w:r>
      <w:r>
        <w:t xml:space="preserve"> for </w:t>
      </w:r>
      <w:r w:rsidR="00601A96">
        <w:t>defined</w:t>
      </w:r>
      <w:r>
        <w:t xml:space="preserve"> purposes </w:t>
      </w:r>
      <w:r w:rsidR="00EB24F7">
        <w:t>(</w:t>
      </w:r>
      <w:r w:rsidR="005B013E">
        <w:t xml:space="preserve">not mentioned </w:t>
      </w:r>
      <w:r w:rsidR="009319EB">
        <w:t>by</w:t>
      </w:r>
      <w:r w:rsidR="005B013E">
        <w:t xml:space="preserve"> s.51</w:t>
      </w:r>
      <w:r w:rsidR="00EB24F7">
        <w:t>)</w:t>
      </w:r>
      <w:r w:rsidR="005B013E">
        <w:t xml:space="preserve"> </w:t>
      </w:r>
      <w:r>
        <w:t>in Northern Australia</w:t>
      </w:r>
      <w:r w:rsidR="00EB24F7">
        <w:t>.</w:t>
      </w:r>
      <w:r w:rsidR="009F3635">
        <w:t xml:space="preserve">  </w:t>
      </w:r>
      <w:r w:rsidR="00270CF5">
        <w:t xml:space="preserve">Such proposals may be welcome by </w:t>
      </w:r>
      <w:r w:rsidR="00AF4F41">
        <w:t xml:space="preserve">regional </w:t>
      </w:r>
      <w:r w:rsidR="00BE5F18">
        <w:t>‘</w:t>
      </w:r>
      <w:r w:rsidR="00270CF5">
        <w:t>new States</w:t>
      </w:r>
      <w:r w:rsidR="00BE5F18">
        <w:t>’</w:t>
      </w:r>
      <w:r w:rsidR="00270CF5">
        <w:t xml:space="preserve"> movements</w:t>
      </w:r>
      <w:r w:rsidR="00AF4F41">
        <w:t xml:space="preserve"> – referendum(s) on new States may be worth</w:t>
      </w:r>
      <w:r w:rsidR="00270CF5">
        <w:t xml:space="preserve"> </w:t>
      </w:r>
      <w:r w:rsidR="00AF4F41">
        <w:t>consideration.</w:t>
      </w:r>
      <w:r w:rsidR="00270CF5">
        <w:t xml:space="preserve">  </w:t>
      </w:r>
    </w:p>
    <w:p w14:paraId="112FE7A8" w14:textId="3322E6BD" w:rsidR="00EB24F7" w:rsidRDefault="00BE5F18">
      <w:r>
        <w:t>However, i</w:t>
      </w:r>
      <w:r w:rsidR="00601A96">
        <w:t>n recent years, the p</w:t>
      </w:r>
      <w:r w:rsidR="005B013E">
        <w:t>resented</w:t>
      </w:r>
      <w:r w:rsidR="00601A96">
        <w:t xml:space="preserve"> view </w:t>
      </w:r>
      <w:r w:rsidR="005B013E">
        <w:t>i</w:t>
      </w:r>
      <w:r w:rsidR="00601A96">
        <w:t xml:space="preserve">s that </w:t>
      </w:r>
      <w:r w:rsidR="00DE7020">
        <w:t xml:space="preserve">the greatest </w:t>
      </w:r>
      <w:r w:rsidR="00640E31">
        <w:t>issues</w:t>
      </w:r>
      <w:r w:rsidR="00601A96">
        <w:t xml:space="preserve"> lie in metropolitan areas</w:t>
      </w:r>
      <w:r w:rsidR="005B013E">
        <w:t>.</w:t>
      </w:r>
      <w:r w:rsidR="009650FC">
        <w:t xml:space="preserve"> </w:t>
      </w:r>
      <w:r w:rsidR="009F3635">
        <w:t xml:space="preserve"> </w:t>
      </w:r>
      <w:r w:rsidR="005B013E">
        <w:t>A</w:t>
      </w:r>
      <w:r w:rsidR="00601A96">
        <w:t xml:space="preserve"> referendum for additional Commonwealth powers in cities </w:t>
      </w:r>
      <w:r w:rsidR="00640E31">
        <w:t xml:space="preserve">would face </w:t>
      </w:r>
      <w:r>
        <w:t xml:space="preserve">many of </w:t>
      </w:r>
      <w:r w:rsidR="00640E31">
        <w:t xml:space="preserve">the same issues as one for regions.  </w:t>
      </w:r>
    </w:p>
    <w:p w14:paraId="7255E1F4" w14:textId="64A7B74D" w:rsidR="00601A96" w:rsidRDefault="00A66E3E">
      <w:r>
        <w:lastRenderedPageBreak/>
        <w:t>D</w:t>
      </w:r>
      <w:r w:rsidR="00601A96">
        <w:t xml:space="preserve">espite decades of </w:t>
      </w:r>
      <w:r w:rsidR="005B013E">
        <w:t xml:space="preserve">research and </w:t>
      </w:r>
      <w:r w:rsidR="00601A96">
        <w:t xml:space="preserve">widespread urging for a greater ‘Commonwealth role in cities’ no proper proposition has been put as to how powers and responsibilities </w:t>
      </w:r>
      <w:r w:rsidR="000B3D27">
        <w:t>in cities might</w:t>
      </w:r>
      <w:r w:rsidR="00601A96">
        <w:t xml:space="preserve"> be defined.</w:t>
      </w:r>
      <w:r w:rsidR="005B013E">
        <w:t xml:space="preserve">  </w:t>
      </w:r>
    </w:p>
    <w:p w14:paraId="5E9DCC5B" w14:textId="7D173C90" w:rsidR="000B3D27" w:rsidRDefault="000B3D27" w:rsidP="000B3D27">
      <w:r>
        <w:t xml:space="preserve">Overcoming these hurdles by widening the proposal to regions and cities could fundamentally change Australia’s system of government.  It would undermine </w:t>
      </w:r>
      <w:r w:rsidR="00EB24F7">
        <w:t xml:space="preserve">one </w:t>
      </w:r>
      <w:r>
        <w:t xml:space="preserve">purpose of Federation – of minimising differences among political regions, States.   </w:t>
      </w:r>
    </w:p>
    <w:p w14:paraId="29DC670F" w14:textId="798D08DF" w:rsidR="002F7506" w:rsidRDefault="000B3D27">
      <w:r>
        <w:t xml:space="preserve">A regions or </w:t>
      </w:r>
      <w:r w:rsidR="005B013E">
        <w:t xml:space="preserve">cities </w:t>
      </w:r>
      <w:r>
        <w:t>power has not been put to the electorate</w:t>
      </w:r>
      <w:r w:rsidR="009F3635">
        <w:t xml:space="preserve"> in a referendum</w:t>
      </w:r>
      <w:r w:rsidR="00897B3D">
        <w:t xml:space="preserve">.  </w:t>
      </w:r>
    </w:p>
    <w:p w14:paraId="43D0630C" w14:textId="2C504FE9" w:rsidR="00803528" w:rsidRDefault="002F7506">
      <w:r>
        <w:t>The issue of Commonwealth involvement in regions and cities is important</w:t>
      </w:r>
      <w:r w:rsidR="00601A96">
        <w:t xml:space="preserve"> </w:t>
      </w:r>
      <w:r>
        <w:t xml:space="preserve">but not for reasons proponents put.  Rather </w:t>
      </w:r>
      <w:r w:rsidR="00234DAB">
        <w:t xml:space="preserve">the </w:t>
      </w:r>
      <w:r>
        <w:t xml:space="preserve">present </w:t>
      </w:r>
      <w:r w:rsidR="00EB5792">
        <w:t>policy</w:t>
      </w:r>
      <w:r>
        <w:t xml:space="preserve"> </w:t>
      </w:r>
      <w:r w:rsidR="00234DAB">
        <w:t xml:space="preserve">muddle </w:t>
      </w:r>
      <w:r>
        <w:t xml:space="preserve">is a negative influence.  </w:t>
      </w:r>
      <w:r w:rsidR="000B3D27">
        <w:t>Those proposing a Commonwealth role should be given the responsibility of defining what that role might be in the form of a referendum proposal</w:t>
      </w:r>
      <w:r>
        <w:t>.</w:t>
      </w:r>
      <w:r w:rsidR="002820A2">
        <w:t xml:space="preserve">  Some discussion is in Appendix 6.</w:t>
      </w:r>
    </w:p>
    <w:p w14:paraId="02C47DFA" w14:textId="0E8E795E" w:rsidR="00BE5F18" w:rsidRDefault="00BE5F18" w:rsidP="00BE5F18">
      <w:pPr>
        <w:pStyle w:val="Heading3"/>
      </w:pPr>
      <w:bookmarkStart w:id="21" w:name="_Toc15287797"/>
      <w:r>
        <w:t xml:space="preserve">5.7 </w:t>
      </w:r>
      <w:r>
        <w:tab/>
        <w:t>Transport</w:t>
      </w:r>
      <w:r w:rsidR="005F393A">
        <w:t xml:space="preserve"> and related infrastructure</w:t>
      </w:r>
      <w:bookmarkEnd w:id="21"/>
    </w:p>
    <w:p w14:paraId="2C1C8003" w14:textId="761B00E9" w:rsidR="004B43CA" w:rsidRDefault="004B43CA" w:rsidP="005F393A">
      <w:r>
        <w:t xml:space="preserve">Commonwealth activities in much of transport are similar to those in regions and cities – </w:t>
      </w:r>
      <w:r w:rsidR="00B44FF0">
        <w:t xml:space="preserve">spasmodic, directionless and </w:t>
      </w:r>
      <w:r w:rsidR="00897B3D">
        <w:t>largely reliant on</w:t>
      </w:r>
      <w:r>
        <w:t xml:space="preserve"> s.96 grants to States.  </w:t>
      </w:r>
    </w:p>
    <w:p w14:paraId="360246F1" w14:textId="77777777" w:rsidR="00234DAB" w:rsidRDefault="004B43CA" w:rsidP="005F393A">
      <w:r>
        <w:t xml:space="preserve">However, the topic of transport differs from regions and cities </w:t>
      </w:r>
      <w:r w:rsidR="00824567">
        <w:t>as</w:t>
      </w:r>
      <w:r>
        <w:t xml:space="preserve"> t</w:t>
      </w:r>
      <w:r w:rsidR="005F393A">
        <w:t xml:space="preserve">he Commonwealth </w:t>
      </w:r>
      <w:r>
        <w:t>already has some powers to act in this field</w:t>
      </w:r>
      <w:r w:rsidR="00824567">
        <w:t xml:space="preserve"> – e.g.</w:t>
      </w:r>
      <w:r>
        <w:t xml:space="preserve"> for interstate and international trade and commerce.  </w:t>
      </w:r>
    </w:p>
    <w:p w14:paraId="3B7CEE0A" w14:textId="180FF5FA" w:rsidR="004B43CA" w:rsidRDefault="004B43CA" w:rsidP="005F393A">
      <w:r>
        <w:t>The</w:t>
      </w:r>
      <w:r w:rsidR="00234DAB">
        <w:t xml:space="preserve"> trade and commerce</w:t>
      </w:r>
      <w:r>
        <w:t xml:space="preserve"> powers </w:t>
      </w:r>
      <w:r w:rsidR="00824567">
        <w:t>a</w:t>
      </w:r>
      <w:r>
        <w:t xml:space="preserve">re </w:t>
      </w:r>
      <w:r w:rsidR="00234DAB">
        <w:t>central</w:t>
      </w:r>
      <w:r>
        <w:t xml:space="preserve"> to </w:t>
      </w:r>
      <w:r w:rsidR="00824567">
        <w:t>a</w:t>
      </w:r>
      <w:r>
        <w:t xml:space="preserve"> Federation, and at the time of </w:t>
      </w:r>
      <w:r w:rsidR="00897B3D">
        <w:t>Australia federating</w:t>
      </w:r>
      <w:r>
        <w:t xml:space="preserve"> there was widespread appreciation of </w:t>
      </w:r>
      <w:r w:rsidR="00EB24F7">
        <w:t>commercial</w:t>
      </w:r>
      <w:r w:rsidR="00824567">
        <w:t xml:space="preserve"> </w:t>
      </w:r>
      <w:r>
        <w:t>problems caused by the colonies acting independently – railway break</w:t>
      </w:r>
      <w:r w:rsidR="00897B3D">
        <w:t>-</w:t>
      </w:r>
      <w:r>
        <w:t>of</w:t>
      </w:r>
      <w:r w:rsidR="00897B3D">
        <w:t>-</w:t>
      </w:r>
      <w:r>
        <w:t>gauge the most prominent example.</w:t>
      </w:r>
    </w:p>
    <w:p w14:paraId="627265E6" w14:textId="0C589E57" w:rsidR="005F393A" w:rsidRDefault="004B43CA" w:rsidP="005F393A">
      <w:r>
        <w:t xml:space="preserve">Yet the Commonwealth </w:t>
      </w:r>
      <w:r w:rsidR="005F393A">
        <w:t>persistently fail</w:t>
      </w:r>
      <w:r w:rsidR="00824567">
        <w:t>s</w:t>
      </w:r>
      <w:r w:rsidR="005F393A">
        <w:t xml:space="preserve"> to </w:t>
      </w:r>
      <w:r w:rsidR="00EB24F7">
        <w:t>pursue</w:t>
      </w:r>
      <w:r w:rsidR="005F393A">
        <w:t xml:space="preserve"> tra</w:t>
      </w:r>
      <w:r w:rsidR="00824567">
        <w:t>de and commerce</w:t>
      </w:r>
      <w:r w:rsidR="005F393A">
        <w:t xml:space="preserve"> responsibilities</w:t>
      </w:r>
      <w:r w:rsidR="00824567">
        <w:t xml:space="preserve"> via transport</w:t>
      </w:r>
      <w:r w:rsidR="005F393A">
        <w:t>.  The failures are bi-partisan</w:t>
      </w:r>
      <w:r w:rsidR="00EB24F7">
        <w:t xml:space="preserve"> -</w:t>
      </w:r>
      <w:r w:rsidR="005F393A">
        <w:t xml:space="preserve"> neither party comprehend</w:t>
      </w:r>
      <w:r w:rsidR="00897B3D">
        <w:t>s</w:t>
      </w:r>
      <w:r w:rsidR="005F393A">
        <w:t xml:space="preserve"> Commonwealth</w:t>
      </w:r>
      <w:r w:rsidR="00824567">
        <w:t>s</w:t>
      </w:r>
      <w:r w:rsidR="005F393A">
        <w:t xml:space="preserve"> purposes</w:t>
      </w:r>
      <w:r w:rsidR="00897B3D">
        <w:t>.  R</w:t>
      </w:r>
      <w:r w:rsidR="005F393A">
        <w:t>ather</w:t>
      </w:r>
      <w:r w:rsidR="00897B3D">
        <w:t>, they</w:t>
      </w:r>
      <w:r w:rsidR="005F393A">
        <w:t xml:space="preserve"> consider transport to be </w:t>
      </w:r>
      <w:r w:rsidR="00897B3D">
        <w:t xml:space="preserve">the name on </w:t>
      </w:r>
      <w:r w:rsidR="005F393A">
        <w:t xml:space="preserve">a barrel which </w:t>
      </w:r>
      <w:r w:rsidR="00897B3D">
        <w:t xml:space="preserve">contains large amounts of </w:t>
      </w:r>
      <w:r w:rsidR="005F393A">
        <w:t>pork.</w:t>
      </w:r>
    </w:p>
    <w:p w14:paraId="4A233955" w14:textId="095962F7" w:rsidR="005F393A" w:rsidRDefault="005F393A" w:rsidP="00DE7020">
      <w:r>
        <w:t xml:space="preserve">It is important for Commonwealth activities to be brought into line with its purposes, powers and responsibilities.  However, expanding </w:t>
      </w:r>
      <w:r w:rsidR="00234DAB">
        <w:t xml:space="preserve">Commonwealth powers in transport prior to it </w:t>
      </w:r>
      <w:r w:rsidR="00425516">
        <w:t xml:space="preserve">dealing with </w:t>
      </w:r>
      <w:r w:rsidR="00234DAB">
        <w:t>existing responsibilities w</w:t>
      </w:r>
      <w:r>
        <w:t xml:space="preserve">ould be fraught.   </w:t>
      </w:r>
      <w:r w:rsidR="006849F8">
        <w:t>More details are in Appendix 7.</w:t>
      </w:r>
    </w:p>
    <w:p w14:paraId="04E1FF7D" w14:textId="454D4200" w:rsidR="00BE5F18" w:rsidRDefault="00DE7020" w:rsidP="00DE7020">
      <w:pPr>
        <w:pStyle w:val="Heading2"/>
      </w:pPr>
      <w:bookmarkStart w:id="22" w:name="_Toc15287798"/>
      <w:r>
        <w:t>6.</w:t>
      </w:r>
      <w:r>
        <w:tab/>
        <w:t>Conclusions</w:t>
      </w:r>
      <w:bookmarkEnd w:id="22"/>
    </w:p>
    <w:p w14:paraId="76815086" w14:textId="67214DEE" w:rsidR="00422B8E" w:rsidRDefault="00422B8E">
      <w:r>
        <w:t>All but one of the referendums signalled at the recent Federal election were proposals for hoary old chestnuts rejected previously – for good reasons.</w:t>
      </w:r>
      <w:r w:rsidR="000D3B74">
        <w:t xml:space="preserve">  </w:t>
      </w:r>
      <w:r>
        <w:t xml:space="preserve">The sole exception – Indigenous Voice – is worth putting to a referendum once important details and arguments are clarified.  </w:t>
      </w:r>
    </w:p>
    <w:p w14:paraId="3147B97D" w14:textId="275AAF9D" w:rsidR="00B44FF0" w:rsidRDefault="000D3B74" w:rsidP="00422B8E">
      <w:r>
        <w:t>However, t</w:t>
      </w:r>
      <w:r w:rsidR="00422B8E">
        <w:t xml:space="preserve">he critical matter </w:t>
      </w:r>
      <w:r>
        <w:t>arising from</w:t>
      </w:r>
      <w:r w:rsidR="00422B8E">
        <w:t xml:space="preserve"> the extra-Constitutionality of promises made at </w:t>
      </w:r>
      <w:r w:rsidR="00FA2464">
        <w:t>Federal</w:t>
      </w:r>
      <w:r w:rsidR="00422B8E">
        <w:t xml:space="preserve"> election</w:t>
      </w:r>
      <w:r w:rsidR="00FA2464">
        <w:t>s</w:t>
      </w:r>
      <w:r w:rsidR="00422B8E">
        <w:t xml:space="preserve"> was overlooked.  </w:t>
      </w:r>
      <w:r w:rsidR="00B44FF0">
        <w:t xml:space="preserve">A consequence of the thinking behind such promises is </w:t>
      </w:r>
      <w:r>
        <w:t>decay</w:t>
      </w:r>
      <w:r w:rsidR="00422B8E">
        <w:t xml:space="preserve"> of Australian Governments</w:t>
      </w:r>
      <w:r w:rsidR="00B44FF0">
        <w:t>.  Suitable referendums could start to address this insidious problem.</w:t>
      </w:r>
    </w:p>
    <w:p w14:paraId="0B22FCE5" w14:textId="3001C80F" w:rsidR="00B44FF0" w:rsidRDefault="00B44FF0" w:rsidP="00422B8E">
      <w:r>
        <w:t>Among obvious topics for such referendums – where powers, responsibilities and therefore policies of the Commonwealth and States are hopelessly confused – are transport and regions/cities.  Referendums on those topics are warranted even - perhaps especially - if they are to fail.</w:t>
      </w:r>
    </w:p>
    <w:p w14:paraId="5C20DAA1" w14:textId="77777777" w:rsidR="0065088B" w:rsidRDefault="00B44FF0">
      <w:r>
        <w:t>There are other long</w:t>
      </w:r>
      <w:r w:rsidR="000D3B74">
        <w:t>-</w:t>
      </w:r>
      <w:r>
        <w:t xml:space="preserve">standing policy issues involving </w:t>
      </w:r>
      <w:r w:rsidR="000D3B74">
        <w:t xml:space="preserve">the </w:t>
      </w:r>
      <w:r>
        <w:t>Commonwealth and State</w:t>
      </w:r>
      <w:r w:rsidR="000D3B74">
        <w:t>s</w:t>
      </w:r>
      <w:r>
        <w:t xml:space="preserve"> </w:t>
      </w:r>
      <w:r w:rsidR="000D3B74">
        <w:t xml:space="preserve">which are consistent with failure of democratic and institutional </w:t>
      </w:r>
      <w:r>
        <w:t>accountability</w:t>
      </w:r>
      <w:r w:rsidR="000D3B74">
        <w:t>.</w:t>
      </w:r>
      <w:r>
        <w:t xml:space="preserve">  Water and energy are prominent among these.  The regions/cities issues </w:t>
      </w:r>
      <w:r w:rsidR="000D3B74">
        <w:t>indicate</w:t>
      </w:r>
      <w:r>
        <w:t xml:space="preserve"> some State boundaries </w:t>
      </w:r>
      <w:r w:rsidR="000D3B74">
        <w:t>are</w:t>
      </w:r>
      <w:r>
        <w:t xml:space="preserve"> problematic.  These might be considered in a future article.</w:t>
      </w:r>
    </w:p>
    <w:p w14:paraId="44629435" w14:textId="77777777" w:rsidR="00FA2464" w:rsidRDefault="00FA2464">
      <w:pPr>
        <w:rPr>
          <w:b/>
          <w:bCs/>
        </w:rPr>
      </w:pPr>
    </w:p>
    <w:p w14:paraId="1309E4D2" w14:textId="661572DB" w:rsidR="00803528" w:rsidRPr="0065088B" w:rsidRDefault="00897B3D">
      <w:pPr>
        <w:rPr>
          <w:b/>
          <w:bCs/>
        </w:rPr>
      </w:pPr>
      <w:r w:rsidRPr="0065088B">
        <w:rPr>
          <w:b/>
          <w:bCs/>
        </w:rPr>
        <w:t>2</w:t>
      </w:r>
      <w:r w:rsidR="00694793">
        <w:rPr>
          <w:b/>
          <w:bCs/>
        </w:rPr>
        <w:t>9</w:t>
      </w:r>
      <w:r w:rsidRPr="0065088B">
        <w:rPr>
          <w:b/>
          <w:bCs/>
        </w:rPr>
        <w:t xml:space="preserve"> July 2019</w:t>
      </w:r>
      <w:bookmarkEnd w:id="0"/>
      <w:bookmarkEnd w:id="20"/>
    </w:p>
    <w:sectPr w:rsidR="00803528" w:rsidRPr="006508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9B98" w14:textId="77777777" w:rsidR="0021687B" w:rsidRDefault="0021687B" w:rsidP="008056C4">
      <w:pPr>
        <w:spacing w:after="0" w:line="240" w:lineRule="auto"/>
      </w:pPr>
      <w:r>
        <w:separator/>
      </w:r>
    </w:p>
  </w:endnote>
  <w:endnote w:type="continuationSeparator" w:id="0">
    <w:p w14:paraId="7E44A588" w14:textId="77777777" w:rsidR="0021687B" w:rsidRDefault="0021687B" w:rsidP="008056C4">
      <w:pPr>
        <w:spacing w:after="0" w:line="240" w:lineRule="auto"/>
      </w:pPr>
      <w:r>
        <w:continuationSeparator/>
      </w:r>
    </w:p>
  </w:endnote>
  <w:endnote w:id="1">
    <w:p w14:paraId="4305EE8B" w14:textId="3974A126" w:rsidR="00332F9D" w:rsidRPr="00114632" w:rsidRDefault="00332F9D">
      <w:pPr>
        <w:pStyle w:val="EndnoteText"/>
        <w:rPr>
          <w:sz w:val="16"/>
          <w:szCs w:val="16"/>
        </w:rPr>
      </w:pPr>
      <w:r w:rsidRPr="00114632">
        <w:rPr>
          <w:rStyle w:val="EndnoteReference"/>
          <w:sz w:val="16"/>
          <w:szCs w:val="16"/>
        </w:rPr>
        <w:endnoteRef/>
      </w:r>
      <w:r w:rsidRPr="00114632">
        <w:rPr>
          <w:sz w:val="16"/>
          <w:szCs w:val="16"/>
        </w:rPr>
        <w:t xml:space="preserve"> </w:t>
      </w:r>
      <w:hyperlink r:id="rId1" w:history="1">
        <w:r w:rsidRPr="00114632">
          <w:rPr>
            <w:rStyle w:val="Hyperlink"/>
            <w:sz w:val="16"/>
            <w:szCs w:val="16"/>
          </w:rPr>
          <w:t>https://www.smh.com.au/federal-election-2019/voters-choice-a-fast-track-to-change-or-the-status-quo-20190510-p51m6t.html</w:t>
        </w:r>
      </w:hyperlink>
    </w:p>
    <w:p w14:paraId="4A56F59D" w14:textId="77777777" w:rsidR="00332F9D" w:rsidRPr="00114632" w:rsidRDefault="00332F9D" w:rsidP="008A6790">
      <w:pPr>
        <w:spacing w:after="0"/>
        <w:rPr>
          <w:sz w:val="16"/>
          <w:szCs w:val="16"/>
        </w:rPr>
      </w:pPr>
    </w:p>
  </w:endnote>
  <w:endnote w:id="2">
    <w:p w14:paraId="5564B37F" w14:textId="77777777" w:rsidR="00332F9D" w:rsidRPr="00114632" w:rsidRDefault="00332F9D" w:rsidP="00CF1746">
      <w:pPr>
        <w:pStyle w:val="EndnoteText"/>
        <w:rPr>
          <w:sz w:val="16"/>
          <w:szCs w:val="16"/>
        </w:rPr>
      </w:pPr>
      <w:r w:rsidRPr="00114632">
        <w:rPr>
          <w:rStyle w:val="EndnoteReference"/>
          <w:sz w:val="16"/>
          <w:szCs w:val="16"/>
        </w:rPr>
        <w:endnoteRef/>
      </w:r>
      <w:r w:rsidRPr="00114632">
        <w:rPr>
          <w:sz w:val="16"/>
          <w:szCs w:val="16"/>
        </w:rPr>
        <w:t xml:space="preserve"> Stan Grant, </w:t>
      </w:r>
      <w:r w:rsidRPr="00114632">
        <w:rPr>
          <w:i/>
          <w:iCs/>
          <w:sz w:val="16"/>
          <w:szCs w:val="16"/>
        </w:rPr>
        <w:t>Ken Wyatt, man in the crosshairs of history</w:t>
      </w:r>
      <w:r w:rsidRPr="00114632">
        <w:rPr>
          <w:sz w:val="16"/>
          <w:szCs w:val="16"/>
        </w:rPr>
        <w:t>, Sydney Morning Herald, July 13-14 2019.</w:t>
      </w:r>
    </w:p>
    <w:p w14:paraId="17002AA8" w14:textId="77777777" w:rsidR="00332F9D" w:rsidRPr="00114632" w:rsidRDefault="00332F9D">
      <w:pPr>
        <w:pStyle w:val="EndnoteText"/>
        <w:rPr>
          <w:sz w:val="16"/>
          <w:szCs w:val="16"/>
        </w:rPr>
      </w:pPr>
    </w:p>
  </w:endnote>
  <w:endnote w:id="3">
    <w:p w14:paraId="6C68140C" w14:textId="1A414020" w:rsidR="00332F9D" w:rsidRPr="00114632" w:rsidRDefault="00332F9D">
      <w:pPr>
        <w:pStyle w:val="EndnoteText"/>
        <w:rPr>
          <w:rFonts w:cstheme="minorHAnsi"/>
          <w:sz w:val="16"/>
          <w:szCs w:val="16"/>
        </w:rPr>
      </w:pPr>
      <w:r w:rsidRPr="00114632">
        <w:rPr>
          <w:rStyle w:val="EndnoteReference"/>
          <w:sz w:val="16"/>
          <w:szCs w:val="16"/>
        </w:rPr>
        <w:endnoteRef/>
      </w:r>
      <w:r w:rsidRPr="00114632">
        <w:rPr>
          <w:sz w:val="16"/>
          <w:szCs w:val="16"/>
        </w:rPr>
        <w:t xml:space="preserve"> </w:t>
      </w:r>
      <w:r w:rsidRPr="00114632">
        <w:rPr>
          <w:rFonts w:cstheme="minorHAnsi"/>
          <w:sz w:val="16"/>
          <w:szCs w:val="16"/>
        </w:rPr>
        <w:t xml:space="preserve">George Williams David Hume, </w:t>
      </w:r>
      <w:r w:rsidRPr="00114632">
        <w:rPr>
          <w:rFonts w:cstheme="minorHAnsi"/>
          <w:i/>
          <w:iCs/>
          <w:sz w:val="16"/>
          <w:szCs w:val="16"/>
        </w:rPr>
        <w:t>People Power: The history and future of the referendum in Australia</w:t>
      </w:r>
      <w:r w:rsidRPr="00114632">
        <w:rPr>
          <w:rFonts w:cstheme="minorHAnsi"/>
          <w:sz w:val="16"/>
          <w:szCs w:val="16"/>
        </w:rPr>
        <w:t>, UNSW 2010.</w:t>
      </w:r>
    </w:p>
    <w:p w14:paraId="5445B968" w14:textId="77777777" w:rsidR="00332F9D" w:rsidRPr="00AD3AED" w:rsidRDefault="00332F9D">
      <w:pPr>
        <w:pStyle w:val="EndnoteText"/>
        <w:rPr>
          <w:sz w:val="16"/>
          <w:szCs w:val="16"/>
        </w:rPr>
      </w:pPr>
    </w:p>
  </w:endnote>
  <w:endnote w:id="4">
    <w:p w14:paraId="3D12CD2B" w14:textId="5B7FD586" w:rsidR="00332F9D" w:rsidRPr="00114632" w:rsidRDefault="00332F9D" w:rsidP="004E4362">
      <w:pPr>
        <w:pStyle w:val="EndnoteText"/>
        <w:rPr>
          <w:rFonts w:cstheme="minorHAnsi"/>
          <w:sz w:val="16"/>
          <w:szCs w:val="16"/>
        </w:rPr>
      </w:pPr>
      <w:r w:rsidRPr="00114632">
        <w:rPr>
          <w:rStyle w:val="EndnoteReference"/>
          <w:rFonts w:cstheme="minorHAnsi"/>
          <w:sz w:val="16"/>
          <w:szCs w:val="16"/>
        </w:rPr>
        <w:endnoteRef/>
      </w:r>
      <w:r w:rsidRPr="00114632">
        <w:rPr>
          <w:rFonts w:cstheme="minorHAnsi"/>
          <w:sz w:val="16"/>
          <w:szCs w:val="16"/>
        </w:rPr>
        <w:t xml:space="preserve"> </w:t>
      </w:r>
      <w:r>
        <w:rPr>
          <w:rFonts w:cstheme="minorHAnsi"/>
          <w:sz w:val="16"/>
          <w:szCs w:val="16"/>
        </w:rPr>
        <w:t>S</w:t>
      </w:r>
      <w:r w:rsidRPr="00114632">
        <w:rPr>
          <w:rFonts w:cstheme="minorHAnsi"/>
          <w:sz w:val="16"/>
          <w:szCs w:val="16"/>
        </w:rPr>
        <w:t xml:space="preserve">ee: </w:t>
      </w:r>
      <w:hyperlink r:id="rId2" w:history="1">
        <w:r w:rsidRPr="00114632">
          <w:rPr>
            <w:rStyle w:val="Hyperlink"/>
            <w:rFonts w:cstheme="minorHAnsi"/>
            <w:sz w:val="16"/>
            <w:szCs w:val="16"/>
          </w:rPr>
          <w:t>https://www.standard.net.au/story/6022930/united-australia-party-candidate-pledges-tax-breaks-for-south-west-residents/</w:t>
        </w:r>
      </w:hyperlink>
    </w:p>
    <w:p w14:paraId="1555CC2E" w14:textId="77777777" w:rsidR="00332F9D" w:rsidRPr="00114632" w:rsidRDefault="00332F9D" w:rsidP="004E4362">
      <w:pPr>
        <w:pStyle w:val="EndnoteText"/>
        <w:rPr>
          <w:rFonts w:cstheme="minorHAnsi"/>
          <w:sz w:val="16"/>
          <w:szCs w:val="16"/>
        </w:rPr>
      </w:pPr>
    </w:p>
  </w:endnote>
  <w:endnote w:id="5">
    <w:p w14:paraId="1786C739" w14:textId="77777777" w:rsidR="00332F9D" w:rsidRPr="00114632" w:rsidRDefault="00332F9D" w:rsidP="004E4362">
      <w:pPr>
        <w:pStyle w:val="EndnoteText"/>
        <w:rPr>
          <w:rFonts w:cstheme="minorHAnsi"/>
          <w:sz w:val="16"/>
          <w:szCs w:val="16"/>
        </w:rPr>
      </w:pPr>
      <w:r w:rsidRPr="00114632">
        <w:rPr>
          <w:rStyle w:val="EndnoteReference"/>
          <w:rFonts w:cstheme="minorHAnsi"/>
          <w:sz w:val="16"/>
          <w:szCs w:val="16"/>
        </w:rPr>
        <w:endnoteRef/>
      </w:r>
      <w:r w:rsidRPr="00114632">
        <w:rPr>
          <w:rFonts w:cstheme="minorHAnsi"/>
          <w:sz w:val="16"/>
          <w:szCs w:val="16"/>
        </w:rPr>
        <w:t xml:space="preserve"> For the child care worker subsidy see: </w:t>
      </w:r>
      <w:hyperlink r:id="rId3" w:history="1">
        <w:r w:rsidRPr="00114632">
          <w:rPr>
            <w:rStyle w:val="Hyperlink"/>
            <w:rFonts w:cstheme="minorHAnsi"/>
            <w:sz w:val="16"/>
            <w:szCs w:val="16"/>
          </w:rPr>
          <w:t>https://www.smh.com.au/federal-election-2019/labor-s-childcare-wages-plan-to-cost-at-least-1-6-billion-a-year-20190501-p51j1n.html</w:t>
        </w:r>
      </w:hyperlink>
      <w:r w:rsidRPr="00114632">
        <w:rPr>
          <w:rFonts w:cstheme="minorHAnsi"/>
          <w:sz w:val="16"/>
          <w:szCs w:val="16"/>
        </w:rPr>
        <w:t xml:space="preserve">.  </w:t>
      </w:r>
    </w:p>
    <w:p w14:paraId="28958643" w14:textId="77777777" w:rsidR="00332F9D" w:rsidRPr="00114632" w:rsidRDefault="00332F9D" w:rsidP="004E4362">
      <w:pPr>
        <w:pStyle w:val="EndnoteText"/>
        <w:rPr>
          <w:rFonts w:cstheme="minorHAnsi"/>
          <w:sz w:val="16"/>
          <w:szCs w:val="16"/>
        </w:rPr>
      </w:pPr>
      <w:r w:rsidRPr="00114632">
        <w:rPr>
          <w:rFonts w:cstheme="minorHAnsi"/>
          <w:sz w:val="16"/>
          <w:szCs w:val="16"/>
        </w:rPr>
        <w:t xml:space="preserve">For legality of payments see: Australian Government Solicitor, </w:t>
      </w:r>
      <w:r w:rsidRPr="00114632">
        <w:rPr>
          <w:rFonts w:cstheme="minorHAnsi"/>
          <w:i/>
          <w:sz w:val="16"/>
          <w:szCs w:val="16"/>
        </w:rPr>
        <w:t>High Court Reasons for the Pape Decision on the Tax Bonus Act</w:t>
      </w:r>
      <w:r w:rsidRPr="00114632">
        <w:rPr>
          <w:rFonts w:cstheme="minorHAnsi"/>
          <w:sz w:val="16"/>
          <w:szCs w:val="16"/>
        </w:rPr>
        <w:t xml:space="preserve">, 14 July 2009 at </w:t>
      </w:r>
      <w:hyperlink r:id="rId4" w:history="1">
        <w:r w:rsidRPr="00114632">
          <w:rPr>
            <w:rStyle w:val="Hyperlink"/>
            <w:rFonts w:cstheme="minorHAnsi"/>
            <w:sz w:val="16"/>
            <w:szCs w:val="16"/>
          </w:rPr>
          <w:t>https://www.ags.gov.au/publications/express-law/el101.pdf</w:t>
        </w:r>
      </w:hyperlink>
      <w:r w:rsidRPr="00114632">
        <w:rPr>
          <w:rFonts w:cstheme="minorHAnsi"/>
          <w:sz w:val="16"/>
          <w:szCs w:val="16"/>
        </w:rPr>
        <w:t xml:space="preserve">.  In particular, a majority of the High Court held a cash payment to Australians was valid because </w:t>
      </w:r>
    </w:p>
    <w:p w14:paraId="0B4C86CB" w14:textId="77777777" w:rsidR="00332F9D" w:rsidRPr="00114632" w:rsidRDefault="00332F9D" w:rsidP="004E4362">
      <w:pPr>
        <w:pStyle w:val="EndnoteText"/>
        <w:ind w:left="720"/>
        <w:rPr>
          <w:rFonts w:cstheme="minorHAnsi"/>
          <w:sz w:val="16"/>
          <w:szCs w:val="16"/>
        </w:rPr>
      </w:pPr>
      <w:r w:rsidRPr="00114632">
        <w:rPr>
          <w:rFonts w:cstheme="minorHAnsi"/>
          <w:i/>
          <w:sz w:val="16"/>
          <w:szCs w:val="16"/>
        </w:rPr>
        <w:t xml:space="preserve">‘in the particular circumstances in which the Tax Bonus Act was enacted (being circumstances of global financial and economic crisis), the executive power supported the expenditure provided for in the Act, to provide an immediate fiscal stimulus to the national economy. The incidental power in s 51(xxxix) of the Constitution then supported the provisions of the Tax Bonus Act’. </w:t>
      </w:r>
      <w:r w:rsidRPr="00114632">
        <w:rPr>
          <w:rFonts w:cstheme="minorHAnsi"/>
          <w:sz w:val="16"/>
          <w:szCs w:val="16"/>
        </w:rPr>
        <w:t xml:space="preserve">   </w:t>
      </w:r>
    </w:p>
  </w:endnote>
  <w:endnote w:id="6">
    <w:p w14:paraId="7C4F6FE2" w14:textId="77777777" w:rsidR="00332F9D" w:rsidRDefault="00332F9D" w:rsidP="004E4362">
      <w:pPr>
        <w:pStyle w:val="EndnoteText"/>
        <w:rPr>
          <w:rFonts w:cstheme="minorHAnsi"/>
          <w:sz w:val="16"/>
          <w:szCs w:val="16"/>
        </w:rPr>
      </w:pPr>
    </w:p>
    <w:p w14:paraId="11DBD40B" w14:textId="522F5151" w:rsidR="00332F9D" w:rsidRPr="00114632" w:rsidRDefault="00332F9D" w:rsidP="004E4362">
      <w:pPr>
        <w:pStyle w:val="EndnoteText"/>
        <w:rPr>
          <w:rFonts w:cstheme="minorHAnsi"/>
          <w:sz w:val="16"/>
          <w:szCs w:val="16"/>
        </w:rPr>
      </w:pPr>
      <w:r w:rsidRPr="00114632">
        <w:rPr>
          <w:rStyle w:val="EndnoteReference"/>
          <w:rFonts w:cstheme="minorHAnsi"/>
          <w:sz w:val="16"/>
          <w:szCs w:val="16"/>
        </w:rPr>
        <w:endnoteRef/>
      </w:r>
      <w:r w:rsidRPr="00114632">
        <w:rPr>
          <w:rFonts w:cstheme="minorHAnsi"/>
          <w:sz w:val="16"/>
          <w:szCs w:val="16"/>
        </w:rPr>
        <w:t xml:space="preserve"> See: </w:t>
      </w:r>
      <w:hyperlink r:id="rId5" w:history="1">
        <w:r w:rsidRPr="00114632">
          <w:rPr>
            <w:rStyle w:val="Hyperlink"/>
            <w:rFonts w:cstheme="minorHAnsi"/>
            <w:sz w:val="16"/>
            <w:szCs w:val="16"/>
          </w:rPr>
          <w:t>https://www.portnews.com.au/story/6115769/pm-makes-a-45-million-tidal-pool-promise/</w:t>
        </w:r>
      </w:hyperlink>
    </w:p>
    <w:p w14:paraId="3962699C" w14:textId="77777777" w:rsidR="00332F9D" w:rsidRPr="00114632" w:rsidRDefault="00332F9D" w:rsidP="004E4362">
      <w:pPr>
        <w:pStyle w:val="EndnoteText"/>
        <w:rPr>
          <w:rFonts w:cstheme="minorHAnsi"/>
          <w:sz w:val="16"/>
          <w:szCs w:val="16"/>
        </w:rPr>
      </w:pPr>
    </w:p>
  </w:endnote>
  <w:endnote w:id="7">
    <w:p w14:paraId="0F7A67AE" w14:textId="77777777" w:rsidR="00332F9D" w:rsidRPr="00114632" w:rsidRDefault="00332F9D" w:rsidP="004E4362">
      <w:pPr>
        <w:pStyle w:val="EndnoteText"/>
        <w:rPr>
          <w:rStyle w:val="Hyperlink"/>
          <w:rFonts w:cstheme="minorHAnsi"/>
          <w:sz w:val="16"/>
          <w:szCs w:val="16"/>
        </w:rPr>
      </w:pPr>
      <w:r w:rsidRPr="00114632">
        <w:rPr>
          <w:rStyle w:val="EndnoteReference"/>
          <w:rFonts w:cstheme="minorHAnsi"/>
          <w:sz w:val="16"/>
          <w:szCs w:val="16"/>
        </w:rPr>
        <w:endnoteRef/>
      </w:r>
      <w:r w:rsidRPr="00114632">
        <w:rPr>
          <w:rFonts w:cstheme="minorHAnsi"/>
          <w:sz w:val="16"/>
          <w:szCs w:val="16"/>
        </w:rPr>
        <w:t xml:space="preserve"> </w:t>
      </w:r>
      <w:hyperlink r:id="rId6" w:history="1">
        <w:r w:rsidRPr="00114632">
          <w:rPr>
            <w:rStyle w:val="Hyperlink"/>
            <w:rFonts w:cstheme="minorHAnsi"/>
            <w:sz w:val="16"/>
            <w:szCs w:val="16"/>
          </w:rPr>
          <w:t>https://www.thejadebeagle.com/submission-to-aps-review-2019.html</w:t>
        </w:r>
      </w:hyperlink>
    </w:p>
    <w:p w14:paraId="65E8482A" w14:textId="77777777" w:rsidR="00332F9D" w:rsidRPr="00D116F8" w:rsidRDefault="00332F9D" w:rsidP="004E4362">
      <w:pPr>
        <w:pStyle w:val="EndnoteText"/>
        <w:rPr>
          <w:rFonts w:cstheme="minorHAnsi"/>
          <w:sz w:val="16"/>
          <w:szCs w:val="16"/>
        </w:rPr>
      </w:pPr>
    </w:p>
  </w:endnote>
  <w:endnote w:id="8">
    <w:p w14:paraId="432CE0C0" w14:textId="5BD17AF1" w:rsidR="00332F9D" w:rsidRDefault="00332F9D">
      <w:pPr>
        <w:pStyle w:val="EndnoteText"/>
        <w:rPr>
          <w:sz w:val="16"/>
          <w:szCs w:val="16"/>
        </w:rPr>
      </w:pPr>
      <w:r w:rsidRPr="00D116F8">
        <w:rPr>
          <w:rStyle w:val="EndnoteReference"/>
          <w:sz w:val="16"/>
          <w:szCs w:val="16"/>
        </w:rPr>
        <w:endnoteRef/>
      </w:r>
      <w:r w:rsidRPr="00D116F8">
        <w:rPr>
          <w:sz w:val="16"/>
          <w:szCs w:val="16"/>
        </w:rPr>
        <w:t xml:space="preserve"> The fate of Mr Abbott’s reform of the Federation is outlined at: David Donaldson, </w:t>
      </w:r>
      <w:r w:rsidRPr="00D116F8">
        <w:rPr>
          <w:i/>
          <w:iCs/>
          <w:sz w:val="16"/>
          <w:szCs w:val="16"/>
        </w:rPr>
        <w:t>Why we gave up on federalism reform (this time)</w:t>
      </w:r>
      <w:r w:rsidRPr="00D116F8">
        <w:rPr>
          <w:sz w:val="16"/>
          <w:szCs w:val="16"/>
        </w:rPr>
        <w:t xml:space="preserve">, May 2016, The Mandarin </w:t>
      </w:r>
      <w:hyperlink r:id="rId7" w:history="1">
        <w:r w:rsidRPr="00D116F8">
          <w:rPr>
            <w:rStyle w:val="Hyperlink"/>
            <w:sz w:val="16"/>
            <w:szCs w:val="16"/>
          </w:rPr>
          <w:t>https://www.themandarin.com.au/64341-happened-federalism-white-paper/</w:t>
        </w:r>
      </w:hyperlink>
      <w:r>
        <w:rPr>
          <w:sz w:val="16"/>
          <w:szCs w:val="16"/>
        </w:rPr>
        <w:t xml:space="preserve">.  Noteworthy is the critique of the cost-cutting motivation of Federalism reform by Professors Saunders and </w:t>
      </w:r>
      <w:proofErr w:type="spellStart"/>
      <w:r>
        <w:rPr>
          <w:sz w:val="16"/>
          <w:szCs w:val="16"/>
        </w:rPr>
        <w:t>Crommelin</w:t>
      </w:r>
      <w:proofErr w:type="spellEnd"/>
      <w:r>
        <w:rPr>
          <w:sz w:val="16"/>
          <w:szCs w:val="16"/>
        </w:rPr>
        <w:t>:</w:t>
      </w:r>
    </w:p>
    <w:p w14:paraId="2A585F74" w14:textId="49775CC3" w:rsidR="00332F9D" w:rsidRPr="00B82809" w:rsidRDefault="00332F9D" w:rsidP="00B82809">
      <w:pPr>
        <w:spacing w:after="0"/>
        <w:ind w:left="720"/>
        <w:rPr>
          <w:i/>
          <w:iCs/>
          <w:sz w:val="16"/>
          <w:szCs w:val="16"/>
          <w:lang w:eastAsia="en-AU"/>
        </w:rPr>
      </w:pPr>
      <w:r>
        <w:rPr>
          <w:i/>
          <w:iCs/>
          <w:sz w:val="16"/>
          <w:szCs w:val="16"/>
          <w:lang w:eastAsia="en-AU"/>
        </w:rPr>
        <w:t>‘</w:t>
      </w:r>
      <w:r w:rsidRPr="00B82809">
        <w:rPr>
          <w:i/>
          <w:iCs/>
          <w:sz w:val="16"/>
          <w:szCs w:val="16"/>
          <w:lang w:eastAsia="en-AU"/>
        </w:rPr>
        <w:t>Each of the levels of government through which democracy is delivered in Australia derives its authority from the people, or a segment of them, to whom it is accountable at and between elections.</w:t>
      </w:r>
    </w:p>
    <w:p w14:paraId="1B52BA1D" w14:textId="7F0A2293" w:rsidR="00332F9D" w:rsidRPr="00B82809" w:rsidRDefault="00332F9D" w:rsidP="00B82809">
      <w:pPr>
        <w:spacing w:after="0"/>
        <w:ind w:left="720"/>
        <w:rPr>
          <w:i/>
          <w:iCs/>
          <w:sz w:val="16"/>
          <w:szCs w:val="16"/>
          <w:lang w:eastAsia="en-AU"/>
        </w:rPr>
      </w:pPr>
      <w:r w:rsidRPr="00B82809">
        <w:rPr>
          <w:i/>
          <w:iCs/>
          <w:sz w:val="16"/>
          <w:szCs w:val="16"/>
          <w:lang w:eastAsia="en-AU"/>
        </w:rPr>
        <w:t>Accountability so understood relies on the elected parliaments of the Commonwealth and the states, in which public deliberation on significant decisions can take place and through which transparency can be secured. The matters for which each level of government is responsible and therefore accountable are set by the terms of the Australian Constitution, broadly reflecting the principle of subsidiarity. Government in accordance with the Constitution is a sine qua non of the rule of law. The Constitution can be changed, with approval at referendum, for which persuasive public justification of the rationale for change is required</w:t>
      </w:r>
      <w:r>
        <w:rPr>
          <w:i/>
          <w:iCs/>
          <w:sz w:val="16"/>
          <w:szCs w:val="16"/>
          <w:lang w:eastAsia="en-AU"/>
        </w:rPr>
        <w:t>……</w:t>
      </w:r>
      <w:r w:rsidRPr="00B82809">
        <w:rPr>
          <w:i/>
          <w:iCs/>
          <w:sz w:val="16"/>
          <w:szCs w:val="16"/>
          <w:lang w:eastAsia="en-AU"/>
        </w:rPr>
        <w:t>.</w:t>
      </w:r>
    </w:p>
    <w:p w14:paraId="04A4784E" w14:textId="47603894" w:rsidR="00332F9D" w:rsidRPr="00B82809" w:rsidRDefault="00332F9D" w:rsidP="00B82809">
      <w:pPr>
        <w:spacing w:after="0"/>
        <w:ind w:left="720"/>
        <w:rPr>
          <w:i/>
          <w:iCs/>
          <w:sz w:val="16"/>
          <w:szCs w:val="16"/>
        </w:rPr>
      </w:pPr>
      <w:r w:rsidRPr="00B82809">
        <w:rPr>
          <w:i/>
          <w:iCs/>
          <w:sz w:val="16"/>
          <w:szCs w:val="16"/>
          <w:shd w:val="clear" w:color="auto" w:fill="FFFFFF"/>
        </w:rPr>
        <w:t>The Australian Constitution mandates multilevel democracy. It allocates power among the different levels of government that take decisions on behalf of the people, by reference to considerations of subsidiarity. It provides mechanisms for intergovernmental cooperation that protect democratic accountability. And it suggests principles by reference to which some of the most vexed problems of fiscal federalism can be resolved.</w:t>
      </w:r>
      <w:r>
        <w:rPr>
          <w:i/>
          <w:iCs/>
          <w:sz w:val="16"/>
          <w:szCs w:val="16"/>
          <w:shd w:val="clear" w:color="auto" w:fill="FFFFFF"/>
        </w:rPr>
        <w:t>’</w:t>
      </w:r>
      <w:r w:rsidRPr="00B82809">
        <w:rPr>
          <w:i/>
          <w:iCs/>
          <w:sz w:val="16"/>
          <w:szCs w:val="16"/>
        </w:rPr>
        <w:t xml:space="preserve"> </w:t>
      </w:r>
    </w:p>
    <w:p w14:paraId="17D30C5F" w14:textId="381AF736" w:rsidR="00332F9D" w:rsidRPr="00B82809" w:rsidRDefault="00332F9D" w:rsidP="00B82809">
      <w:pPr>
        <w:spacing w:after="0"/>
        <w:rPr>
          <w:sz w:val="16"/>
          <w:szCs w:val="16"/>
        </w:rPr>
      </w:pPr>
      <w:r w:rsidRPr="00B82809">
        <w:rPr>
          <w:sz w:val="16"/>
          <w:szCs w:val="16"/>
        </w:rPr>
        <w:t xml:space="preserve">Cheryl Saunders and Michael </w:t>
      </w:r>
      <w:proofErr w:type="spellStart"/>
      <w:r w:rsidRPr="00B82809">
        <w:rPr>
          <w:sz w:val="16"/>
          <w:szCs w:val="16"/>
        </w:rPr>
        <w:t>Crommelin</w:t>
      </w:r>
      <w:proofErr w:type="spellEnd"/>
      <w:r w:rsidRPr="00B82809">
        <w:rPr>
          <w:sz w:val="16"/>
          <w:szCs w:val="16"/>
        </w:rPr>
        <w:t xml:space="preserve">, </w:t>
      </w:r>
      <w:r w:rsidRPr="00B82809">
        <w:rPr>
          <w:i/>
          <w:iCs/>
          <w:sz w:val="16"/>
          <w:szCs w:val="16"/>
        </w:rPr>
        <w:t>Reforming Australian Federal Democracy</w:t>
      </w:r>
      <w:r>
        <w:rPr>
          <w:sz w:val="16"/>
          <w:szCs w:val="16"/>
        </w:rPr>
        <w:t xml:space="preserve">, </w:t>
      </w:r>
      <w:r w:rsidRPr="00B82809">
        <w:rPr>
          <w:sz w:val="16"/>
          <w:szCs w:val="16"/>
        </w:rPr>
        <w:t>Volume 74, Number 3, 2015</w:t>
      </w:r>
    </w:p>
    <w:p w14:paraId="2CC7DFD6" w14:textId="168E465F" w:rsidR="00332F9D" w:rsidRPr="00B82809" w:rsidRDefault="00332F9D" w:rsidP="00B82809">
      <w:pPr>
        <w:spacing w:after="0"/>
        <w:rPr>
          <w:sz w:val="16"/>
          <w:szCs w:val="16"/>
        </w:rPr>
      </w:pPr>
      <w:r w:rsidRPr="00B82809">
        <w:rPr>
          <w:sz w:val="16"/>
          <w:szCs w:val="16"/>
        </w:rPr>
        <w:t xml:space="preserve"> </w:t>
      </w:r>
      <w:hyperlink r:id="rId8" w:history="1">
        <w:r w:rsidRPr="00B82809">
          <w:rPr>
            <w:rStyle w:val="Hyperlink"/>
            <w:sz w:val="16"/>
            <w:szCs w:val="16"/>
          </w:rPr>
          <w:t>https://meanjin.com.au/essays/reforming-australian-federal-democracy/</w:t>
        </w:r>
      </w:hyperlink>
      <w:r w:rsidRPr="00B82809">
        <w:rPr>
          <w:sz w:val="16"/>
          <w:szCs w:val="16"/>
        </w:rPr>
        <w:t xml:space="preserve">  </w:t>
      </w:r>
    </w:p>
    <w:p w14:paraId="73F7719C" w14:textId="37CB3FA2" w:rsidR="00332F9D" w:rsidRPr="00D116F8" w:rsidRDefault="00332F9D" w:rsidP="00B82809">
      <w:pPr>
        <w:spacing w:after="0"/>
        <w:rPr>
          <w:sz w:val="16"/>
          <w:szCs w:val="16"/>
        </w:rPr>
      </w:pPr>
      <w:r w:rsidRPr="00B82809">
        <w:rPr>
          <w:sz w:val="16"/>
          <w:szCs w:val="16"/>
        </w:rPr>
        <w:t xml:space="preserve">National Commission of Audit at:  </w:t>
      </w:r>
      <w:r w:rsidRPr="00B82809">
        <w:rPr>
          <w:i/>
          <w:iCs/>
          <w:sz w:val="16"/>
          <w:szCs w:val="16"/>
        </w:rPr>
        <w:t>Towards Responsible Government The Report of the National Commission of Audit,</w:t>
      </w:r>
      <w:r w:rsidRPr="00B82809">
        <w:rPr>
          <w:sz w:val="16"/>
          <w:szCs w:val="16"/>
        </w:rPr>
        <w:t xml:space="preserve"> February 2014, </w:t>
      </w:r>
      <w:hyperlink r:id="rId9" w:history="1">
        <w:r w:rsidRPr="00B82809">
          <w:rPr>
            <w:rStyle w:val="Hyperlink"/>
            <w:sz w:val="16"/>
            <w:szCs w:val="16"/>
          </w:rPr>
          <w:t>https://www.ncoa.gov.au/sites/g/files/net4136/f/phase_one_report.pdf</w:t>
        </w:r>
      </w:hyperlink>
      <w:r w:rsidRPr="00B82809">
        <w:rPr>
          <w:sz w:val="16"/>
          <w:szCs w:val="16"/>
        </w:rPr>
        <w:t xml:space="preserve">.  Also noteworthy is the report’s: misuse of the term ‘responsible </w:t>
      </w:r>
      <w:r w:rsidRPr="00D116F8">
        <w:rPr>
          <w:sz w:val="16"/>
          <w:szCs w:val="16"/>
        </w:rPr>
        <w:t>Government’ in its heading</w:t>
      </w:r>
      <w:r>
        <w:rPr>
          <w:sz w:val="16"/>
          <w:szCs w:val="16"/>
        </w:rPr>
        <w:t>;</w:t>
      </w:r>
      <w:r w:rsidRPr="00D116F8">
        <w:rPr>
          <w:sz w:val="16"/>
          <w:szCs w:val="16"/>
        </w:rPr>
        <w:t xml:space="preserve"> incorrect portrayal of Federal responsibility</w:t>
      </w:r>
      <w:r>
        <w:rPr>
          <w:sz w:val="16"/>
          <w:szCs w:val="16"/>
        </w:rPr>
        <w:t>;</w:t>
      </w:r>
      <w:r w:rsidRPr="00D116F8">
        <w:rPr>
          <w:sz w:val="16"/>
          <w:szCs w:val="16"/>
        </w:rPr>
        <w:t xml:space="preserve"> misunderstanding of ‘subsidiarity’</w:t>
      </w:r>
      <w:r>
        <w:rPr>
          <w:sz w:val="16"/>
          <w:szCs w:val="16"/>
        </w:rPr>
        <w:t>;</w:t>
      </w:r>
      <w:r w:rsidRPr="00D116F8">
        <w:rPr>
          <w:sz w:val="16"/>
          <w:szCs w:val="16"/>
        </w:rPr>
        <w:t xml:space="preserve"> failure to refer to High Court decisions in Pape and Williams (no.1) or the (then) case before the court – Williams (no.2)</w:t>
      </w:r>
      <w:r>
        <w:rPr>
          <w:sz w:val="16"/>
          <w:szCs w:val="16"/>
        </w:rPr>
        <w:t>;</w:t>
      </w:r>
      <w:r w:rsidRPr="00D116F8">
        <w:rPr>
          <w:sz w:val="16"/>
          <w:szCs w:val="16"/>
        </w:rPr>
        <w:t xml:space="preserve">  Secretariat not having among its 25 officials any from the Attorney Generals or line Departments.  Some further curios are reported at </w:t>
      </w:r>
      <w:hyperlink r:id="rId10" w:history="1">
        <w:r w:rsidRPr="00D116F8">
          <w:rPr>
            <w:rStyle w:val="Hyperlink"/>
            <w:sz w:val="16"/>
            <w:szCs w:val="16"/>
          </w:rPr>
          <w:t>https://www.thejadebeagle.com/governance.html</w:t>
        </w:r>
      </w:hyperlink>
      <w:r w:rsidRPr="00D116F8">
        <w:rPr>
          <w:sz w:val="16"/>
          <w:szCs w:val="16"/>
        </w:rPr>
        <w:t>.</w:t>
      </w:r>
    </w:p>
    <w:p w14:paraId="0CAAE2B0" w14:textId="5BCA1E40" w:rsidR="00332F9D" w:rsidRDefault="00332F9D">
      <w:pPr>
        <w:pStyle w:val="EndnoteText"/>
      </w:pPr>
      <w:r>
        <w:t xml:space="preserve"> </w:t>
      </w:r>
    </w:p>
  </w:endnote>
  <w:endnote w:id="9">
    <w:p w14:paraId="6CFEDE48" w14:textId="77777777" w:rsidR="00332F9D" w:rsidRPr="00114632" w:rsidRDefault="00332F9D" w:rsidP="00E44F18">
      <w:pPr>
        <w:spacing w:after="0"/>
        <w:rPr>
          <w:rFonts w:cstheme="minorHAnsi"/>
          <w:sz w:val="16"/>
          <w:szCs w:val="16"/>
        </w:rPr>
      </w:pPr>
      <w:r w:rsidRPr="00114632">
        <w:rPr>
          <w:rStyle w:val="EndnoteReference"/>
          <w:rFonts w:cstheme="minorHAnsi"/>
          <w:sz w:val="16"/>
          <w:szCs w:val="16"/>
        </w:rPr>
        <w:endnoteRef/>
      </w:r>
      <w:r w:rsidRPr="00114632">
        <w:rPr>
          <w:rFonts w:cstheme="minorHAnsi"/>
          <w:sz w:val="16"/>
          <w:szCs w:val="16"/>
        </w:rPr>
        <w:t xml:space="preserve"> Andrew </w:t>
      </w:r>
      <w:proofErr w:type="spellStart"/>
      <w:r w:rsidRPr="00114632">
        <w:rPr>
          <w:rFonts w:cstheme="minorHAnsi"/>
          <w:sz w:val="16"/>
          <w:szCs w:val="16"/>
        </w:rPr>
        <w:t>Podger</w:t>
      </w:r>
      <w:proofErr w:type="spellEnd"/>
      <w:r w:rsidRPr="00114632">
        <w:rPr>
          <w:rFonts w:cstheme="minorHAnsi"/>
          <w:sz w:val="16"/>
          <w:szCs w:val="16"/>
        </w:rPr>
        <w:t xml:space="preserve">, AO, Submission to APS review, July 2018 at </w:t>
      </w:r>
      <w:hyperlink r:id="rId11" w:history="1">
        <w:r w:rsidRPr="00114632">
          <w:rPr>
            <w:rStyle w:val="Hyperlink"/>
            <w:rFonts w:cstheme="minorHAnsi"/>
            <w:sz w:val="16"/>
            <w:szCs w:val="16"/>
          </w:rPr>
          <w:t>https://contribute.apsreview.gov.au/submissions</w:t>
        </w:r>
      </w:hyperlink>
      <w:r w:rsidRPr="00114632">
        <w:rPr>
          <w:rFonts w:cstheme="minorHAnsi"/>
          <w:sz w:val="16"/>
          <w:szCs w:val="16"/>
        </w:rPr>
        <w:t xml:space="preserve">.  The relevant text is: </w:t>
      </w:r>
    </w:p>
    <w:p w14:paraId="08A259BC" w14:textId="77777777" w:rsidR="00332F9D" w:rsidRPr="00114632" w:rsidRDefault="00332F9D" w:rsidP="00E44F18">
      <w:pPr>
        <w:spacing w:after="0"/>
        <w:ind w:firstLine="720"/>
        <w:rPr>
          <w:rFonts w:cstheme="minorHAnsi"/>
          <w:b/>
          <w:i/>
          <w:sz w:val="16"/>
          <w:szCs w:val="16"/>
        </w:rPr>
      </w:pPr>
      <w:r w:rsidRPr="00114632">
        <w:rPr>
          <w:rFonts w:cstheme="minorHAnsi"/>
          <w:b/>
          <w:i/>
          <w:sz w:val="16"/>
          <w:szCs w:val="16"/>
        </w:rPr>
        <w:t>‘Federalism directions.</w:t>
      </w:r>
    </w:p>
    <w:p w14:paraId="57593239" w14:textId="77777777" w:rsidR="00332F9D" w:rsidRPr="00114632" w:rsidRDefault="00332F9D" w:rsidP="00E44F18">
      <w:pPr>
        <w:spacing w:after="0"/>
        <w:ind w:left="720"/>
        <w:rPr>
          <w:rFonts w:cstheme="minorHAnsi"/>
          <w:i/>
          <w:sz w:val="16"/>
          <w:szCs w:val="16"/>
        </w:rPr>
      </w:pPr>
      <w:r w:rsidRPr="00114632">
        <w:rPr>
          <w:rFonts w:cstheme="minorHAnsi"/>
          <w:b/>
          <w:i/>
          <w:sz w:val="16"/>
          <w:szCs w:val="16"/>
        </w:rPr>
        <w:t xml:space="preserve"> </w:t>
      </w:r>
      <w:r w:rsidRPr="00114632">
        <w:rPr>
          <w:rFonts w:cstheme="minorHAnsi"/>
          <w:i/>
          <w:sz w:val="16"/>
          <w:szCs w:val="16"/>
        </w:rPr>
        <w:t>The role of the Commonwealth also continues to evolve, affected by the maturing of the nation and by the same forces (including technological change) that are broadening the international agenda; moreover, the broadening international agenda is itself affecting the role of the Commonwealth. The role has steadily increased over the last 117 years and seems likely to continue to do so</w:t>
      </w:r>
      <w:proofErr w:type="gramStart"/>
      <w:r>
        <w:rPr>
          <w:rFonts w:cstheme="minorHAnsi"/>
          <w:i/>
          <w:sz w:val="16"/>
          <w:szCs w:val="16"/>
        </w:rPr>
        <w:t>….</w:t>
      </w:r>
      <w:r w:rsidRPr="00114632">
        <w:rPr>
          <w:rFonts w:cstheme="minorHAnsi"/>
          <w:i/>
          <w:sz w:val="16"/>
          <w:szCs w:val="16"/>
        </w:rPr>
        <w:t>.</w:t>
      </w:r>
      <w:proofErr w:type="gramEnd"/>
      <w:r w:rsidRPr="00114632">
        <w:rPr>
          <w:rFonts w:cstheme="minorHAnsi"/>
          <w:i/>
          <w:sz w:val="16"/>
          <w:szCs w:val="16"/>
        </w:rPr>
        <w:t>’</w:t>
      </w:r>
    </w:p>
    <w:p w14:paraId="13E8A600" w14:textId="77777777" w:rsidR="00332F9D" w:rsidRPr="00114632" w:rsidRDefault="00332F9D" w:rsidP="00E44F18">
      <w:pPr>
        <w:spacing w:after="0"/>
        <w:rPr>
          <w:rFonts w:cstheme="minorHAnsi"/>
          <w:sz w:val="16"/>
          <w:szCs w:val="16"/>
        </w:rPr>
      </w:pPr>
      <w:r w:rsidRPr="00114632">
        <w:rPr>
          <w:rFonts w:cstheme="minorHAnsi"/>
          <w:sz w:val="16"/>
          <w:szCs w:val="16"/>
        </w:rPr>
        <w:t>Of note is that recent High Court decisions do not feature in this statement.</w:t>
      </w:r>
      <w:r>
        <w:rPr>
          <w:rFonts w:cstheme="minorHAnsi"/>
          <w:sz w:val="16"/>
          <w:szCs w:val="16"/>
        </w:rPr>
        <w:t xml:space="preserve">  These decisions have been covered extensively, </w:t>
      </w:r>
      <w:r w:rsidRPr="00114632">
        <w:rPr>
          <w:rFonts w:cstheme="minorHAnsi"/>
          <w:sz w:val="16"/>
          <w:szCs w:val="16"/>
        </w:rPr>
        <w:t xml:space="preserve">for example: </w:t>
      </w:r>
      <w:r w:rsidRPr="00114632">
        <w:rPr>
          <w:rStyle w:val="Emphasis"/>
          <w:rFonts w:cstheme="minorHAnsi"/>
          <w:i w:val="0"/>
          <w:color w:val="222222"/>
          <w:sz w:val="16"/>
          <w:szCs w:val="16"/>
        </w:rPr>
        <w:t>Glenn Ryall</w:t>
      </w:r>
      <w:r w:rsidRPr="00114632">
        <w:rPr>
          <w:rFonts w:cstheme="minorHAnsi"/>
          <w:color w:val="222222"/>
          <w:sz w:val="16"/>
          <w:szCs w:val="16"/>
        </w:rPr>
        <w:t> "</w:t>
      </w:r>
      <w:r w:rsidRPr="00114632">
        <w:rPr>
          <w:rStyle w:val="Emphasis"/>
          <w:rFonts w:cstheme="minorHAnsi"/>
          <w:color w:val="222222"/>
          <w:sz w:val="16"/>
          <w:szCs w:val="16"/>
        </w:rPr>
        <w:t>Williams v. Commonwealth</w:t>
      </w:r>
      <w:r w:rsidRPr="00AE66D6">
        <w:rPr>
          <w:rFonts w:cstheme="minorHAnsi"/>
          <w:i/>
          <w:iCs/>
          <w:color w:val="222222"/>
          <w:sz w:val="16"/>
          <w:szCs w:val="16"/>
        </w:rPr>
        <w:t>—A Turning Point for Parliamentary Accountability and Federalism in Australia?</w:t>
      </w:r>
      <w:r w:rsidRPr="00114632">
        <w:rPr>
          <w:rFonts w:cstheme="minorHAnsi"/>
          <w:color w:val="222222"/>
          <w:sz w:val="16"/>
          <w:szCs w:val="16"/>
        </w:rPr>
        <w:t xml:space="preserve">" </w:t>
      </w:r>
      <w:hyperlink r:id="rId12" w:history="1">
        <w:r w:rsidRPr="00114632">
          <w:rPr>
            <w:rStyle w:val="Hyperlink"/>
            <w:rFonts w:cstheme="minorHAnsi"/>
            <w:sz w:val="16"/>
            <w:szCs w:val="16"/>
          </w:rPr>
          <w:t>https://www.aph.gov.au/sitecore/content/Home/About_Parliament/Senate/Powers_practice_n_procedures/pops/pop60/c07</w:t>
        </w:r>
      </w:hyperlink>
    </w:p>
    <w:p w14:paraId="7269E9CC" w14:textId="0B982E9E" w:rsidR="00332F9D" w:rsidRPr="00114632" w:rsidRDefault="00332F9D" w:rsidP="00E44F18">
      <w:pPr>
        <w:rPr>
          <w:sz w:val="16"/>
          <w:szCs w:val="16"/>
        </w:rPr>
      </w:pPr>
      <w:r w:rsidRPr="00114632">
        <w:rPr>
          <w:rFonts w:cstheme="minorHAnsi"/>
          <w:color w:val="000000"/>
          <w:sz w:val="16"/>
          <w:szCs w:val="16"/>
        </w:rPr>
        <w:t>Chordia, Shipra; Lynch, Andrew; Williams, George --- "</w:t>
      </w:r>
      <w:r w:rsidRPr="00114632">
        <w:rPr>
          <w:rFonts w:cstheme="minorHAnsi"/>
          <w:i/>
          <w:color w:val="000000"/>
          <w:sz w:val="16"/>
          <w:szCs w:val="16"/>
        </w:rPr>
        <w:t>Williams V Commonwealth [No 2]: Commonwealth Executive Power and Spending After Williams [No 2]</w:t>
      </w:r>
      <w:r w:rsidRPr="00114632">
        <w:rPr>
          <w:rFonts w:cstheme="minorHAnsi"/>
          <w:color w:val="000000"/>
          <w:sz w:val="16"/>
          <w:szCs w:val="16"/>
        </w:rPr>
        <w:t xml:space="preserve">" [2015] </w:t>
      </w:r>
      <w:proofErr w:type="spellStart"/>
      <w:r w:rsidRPr="00114632">
        <w:rPr>
          <w:rFonts w:cstheme="minorHAnsi"/>
          <w:color w:val="000000"/>
          <w:sz w:val="16"/>
          <w:szCs w:val="16"/>
        </w:rPr>
        <w:t>MelbULawRw</w:t>
      </w:r>
      <w:proofErr w:type="spellEnd"/>
      <w:r w:rsidRPr="00114632">
        <w:rPr>
          <w:rFonts w:cstheme="minorHAnsi"/>
          <w:color w:val="000000"/>
          <w:sz w:val="16"/>
          <w:szCs w:val="16"/>
        </w:rPr>
        <w:t xml:space="preserve"> 22; (2015) 39(1) Melbourne University Law Review 306</w:t>
      </w:r>
      <w:r w:rsidRPr="00114632">
        <w:rPr>
          <w:rFonts w:cstheme="minorHAnsi"/>
          <w:sz w:val="16"/>
          <w:szCs w:val="16"/>
        </w:rPr>
        <w:t xml:space="preserve"> </w:t>
      </w:r>
      <w:hyperlink r:id="rId13" w:history="1">
        <w:r w:rsidRPr="00114632">
          <w:rPr>
            <w:rStyle w:val="Hyperlink"/>
            <w:rFonts w:cstheme="minorHAnsi"/>
            <w:sz w:val="16"/>
            <w:szCs w:val="16"/>
          </w:rPr>
          <w:t>http://classic.austlii.edu.au/au/journals/MelbULawRw/2015/22.html</w:t>
        </w:r>
      </w:hyperlink>
    </w:p>
  </w:endnote>
  <w:endnote w:id="10">
    <w:p w14:paraId="5C14F0DB" w14:textId="6F3AAC79" w:rsidR="00332F9D" w:rsidRPr="002C1EFD" w:rsidRDefault="00332F9D" w:rsidP="00E44F18">
      <w:pPr>
        <w:spacing w:after="0"/>
        <w:rPr>
          <w:rFonts w:cstheme="minorHAnsi"/>
          <w:sz w:val="16"/>
          <w:szCs w:val="16"/>
        </w:rPr>
      </w:pPr>
      <w:r w:rsidRPr="00AD3AED">
        <w:rPr>
          <w:rStyle w:val="EndnoteReference"/>
          <w:sz w:val="16"/>
          <w:szCs w:val="16"/>
        </w:rPr>
        <w:endnoteRef/>
      </w:r>
      <w:r w:rsidRPr="00AD3AED">
        <w:rPr>
          <w:sz w:val="16"/>
          <w:szCs w:val="16"/>
        </w:rPr>
        <w:t xml:space="preserve"> </w:t>
      </w:r>
      <w:r>
        <w:rPr>
          <w:sz w:val="16"/>
          <w:szCs w:val="16"/>
        </w:rPr>
        <w:t>T</w:t>
      </w:r>
      <w:r w:rsidRPr="002C1EFD">
        <w:rPr>
          <w:rFonts w:cstheme="minorHAnsi"/>
          <w:sz w:val="16"/>
          <w:szCs w:val="16"/>
        </w:rPr>
        <w:t xml:space="preserve">he quote is from Greg Taylor, </w:t>
      </w:r>
      <w:r w:rsidRPr="00AE66D6">
        <w:rPr>
          <w:i/>
          <w:iCs/>
          <w:sz w:val="16"/>
          <w:szCs w:val="16"/>
        </w:rPr>
        <w:t>ON THE ORIGIN OF SECTION 96 OF THE CONSTITUTION,</w:t>
      </w:r>
      <w:r w:rsidRPr="002C1EFD">
        <w:rPr>
          <w:sz w:val="16"/>
          <w:szCs w:val="16"/>
        </w:rPr>
        <w:t xml:space="preserve"> 2016, UNSW Law Journal Volume 39(4) 6 </w:t>
      </w:r>
      <w:hyperlink r:id="rId14" w:history="1">
        <w:r w:rsidRPr="002C1EFD">
          <w:rPr>
            <w:rStyle w:val="Hyperlink"/>
            <w:sz w:val="16"/>
            <w:szCs w:val="16"/>
          </w:rPr>
          <w:t>https://papers.ssrn.com/sol3/papers.cfm?abstract_id=2874638</w:t>
        </w:r>
      </w:hyperlink>
    </w:p>
    <w:p w14:paraId="2A68E451" w14:textId="77777777" w:rsidR="00332F9D" w:rsidRPr="00AD3AED" w:rsidRDefault="00332F9D" w:rsidP="00E44F18">
      <w:pPr>
        <w:pStyle w:val="EndnoteText"/>
        <w:rPr>
          <w:sz w:val="16"/>
          <w:szCs w:val="16"/>
        </w:rPr>
      </w:pPr>
    </w:p>
  </w:endnote>
  <w:endnote w:id="11">
    <w:p w14:paraId="24F0D9DB" w14:textId="6B63BF1A" w:rsidR="00332F9D" w:rsidRDefault="00332F9D" w:rsidP="00603B0B">
      <w:pPr>
        <w:spacing w:after="0"/>
        <w:rPr>
          <w:shd w:val="clear" w:color="auto" w:fill="FFFFFF"/>
        </w:rPr>
      </w:pPr>
      <w:r w:rsidRPr="00603B0B">
        <w:rPr>
          <w:rStyle w:val="EndnoteReference"/>
          <w:sz w:val="16"/>
          <w:szCs w:val="16"/>
        </w:rPr>
        <w:endnoteRef/>
      </w:r>
      <w:r w:rsidRPr="00603B0B">
        <w:rPr>
          <w:sz w:val="16"/>
          <w:szCs w:val="16"/>
        </w:rPr>
        <w:t xml:space="preserve"> </w:t>
      </w:r>
      <w:r>
        <w:rPr>
          <w:sz w:val="16"/>
          <w:szCs w:val="16"/>
        </w:rPr>
        <w:t>Chief Justice Dixon:</w:t>
      </w:r>
      <w:r w:rsidRPr="00603B0B">
        <w:rPr>
          <w:shd w:val="clear" w:color="auto" w:fill="FFFFFF"/>
        </w:rPr>
        <w:t xml:space="preserve"> </w:t>
      </w:r>
    </w:p>
    <w:p w14:paraId="3C8A6927" w14:textId="3E061D20" w:rsidR="00332F9D" w:rsidRDefault="00332F9D" w:rsidP="002A3F76">
      <w:pPr>
        <w:spacing w:after="0"/>
        <w:ind w:left="720"/>
        <w:rPr>
          <w:sz w:val="16"/>
          <w:szCs w:val="16"/>
        </w:rPr>
      </w:pPr>
      <w:r>
        <w:rPr>
          <w:i/>
          <w:iCs/>
          <w:sz w:val="16"/>
          <w:szCs w:val="16"/>
          <w:shd w:val="clear" w:color="auto" w:fill="FFFFFF"/>
        </w:rPr>
        <w:t>‘</w:t>
      </w:r>
      <w:r w:rsidRPr="002A3F76">
        <w:rPr>
          <w:i/>
          <w:iCs/>
          <w:sz w:val="16"/>
          <w:szCs w:val="16"/>
          <w:shd w:val="clear" w:color="auto" w:fill="FFFFFF"/>
        </w:rPr>
        <w:t xml:space="preserve">If s. 96 came before us for the first time for interpretation, the contention might be supported on the ground that the true scope and purpose </w:t>
      </w:r>
      <w:r w:rsidRPr="002A3F76">
        <w:rPr>
          <w:i/>
          <w:iCs/>
          <w:sz w:val="16"/>
          <w:szCs w:val="16"/>
        </w:rPr>
        <w:t>of the power which s. 96 confers upon the Parliament of granting money and imposing terms and conditions did not admit of any attempt to influence the direction of the exercise by the State of its legislative or executive powers. It may well be that s. 96 was conceived by the framers as (1) a transitional power, (2) confined to supplementing the resources of the Treasury of a State by particular subventions when some special or particular need or occasion arose, and (3) imposing terms or conditions relevant to the situation which called for special relief of assistance from the Commonwealth. It seems a not improbable supposition that the framers had some such conception of the purpose of the power. But the course of judicial decision has put any such limited interpretation of s. 96 out of consideration</w:t>
      </w:r>
      <w:r>
        <w:rPr>
          <w:i/>
          <w:iCs/>
          <w:sz w:val="16"/>
          <w:szCs w:val="16"/>
        </w:rPr>
        <w:t>’</w:t>
      </w:r>
      <w:r w:rsidRPr="002A3F76">
        <w:rPr>
          <w:i/>
          <w:iCs/>
          <w:sz w:val="16"/>
          <w:szCs w:val="16"/>
        </w:rPr>
        <w:t>.</w:t>
      </w:r>
      <w:r>
        <w:t xml:space="preserve">  </w:t>
      </w:r>
    </w:p>
    <w:p w14:paraId="7A56784E" w14:textId="38F78C54" w:rsidR="00332F9D" w:rsidRPr="00603B0B" w:rsidRDefault="00332F9D" w:rsidP="00603B0B">
      <w:pPr>
        <w:rPr>
          <w:sz w:val="16"/>
          <w:szCs w:val="16"/>
        </w:rPr>
      </w:pPr>
      <w:r w:rsidRPr="00603B0B">
        <w:rPr>
          <w:sz w:val="16"/>
          <w:szCs w:val="16"/>
        </w:rPr>
        <w:t>Victoria v Commonwealth ("Second Uniform Tax case") [1957] HCA 54; (1957) 99 CLR 575 (23 August 1957)</w:t>
      </w:r>
    </w:p>
  </w:endnote>
  <w:endnote w:id="12">
    <w:p w14:paraId="0BCF3B6D" w14:textId="7570EC8E" w:rsidR="00332F9D" w:rsidRDefault="00332F9D" w:rsidP="002A3F76">
      <w:pPr>
        <w:spacing w:after="0"/>
        <w:rPr>
          <w:rStyle w:val="Hyperlink"/>
          <w:rFonts w:cstheme="minorHAnsi"/>
          <w:sz w:val="16"/>
          <w:szCs w:val="16"/>
        </w:rPr>
      </w:pPr>
      <w:r w:rsidRPr="002A3F76">
        <w:rPr>
          <w:rStyle w:val="EndnoteReference"/>
          <w:sz w:val="16"/>
          <w:szCs w:val="16"/>
        </w:rPr>
        <w:endnoteRef/>
      </w:r>
      <w:r w:rsidRPr="002A3F76">
        <w:rPr>
          <w:sz w:val="16"/>
          <w:szCs w:val="16"/>
        </w:rPr>
        <w:t xml:space="preserve"> </w:t>
      </w:r>
      <w:r w:rsidRPr="002A3F76">
        <w:rPr>
          <w:rFonts w:cstheme="minorHAnsi"/>
          <w:color w:val="000000"/>
          <w:sz w:val="16"/>
          <w:szCs w:val="16"/>
        </w:rPr>
        <w:t xml:space="preserve">Chordia, Shipra, </w:t>
      </w:r>
      <w:r w:rsidRPr="002A3F76">
        <w:rPr>
          <w:rFonts w:cstheme="minorHAnsi"/>
          <w:i/>
          <w:iCs/>
          <w:color w:val="000000"/>
          <w:sz w:val="16"/>
          <w:szCs w:val="16"/>
        </w:rPr>
        <w:t>Section 96 of the Constitution: Developments in Methodology and Interpretation</w:t>
      </w:r>
      <w:r w:rsidRPr="002A3F76">
        <w:rPr>
          <w:rFonts w:cstheme="minorHAnsi"/>
          <w:color w:val="000000"/>
          <w:sz w:val="16"/>
          <w:szCs w:val="16"/>
        </w:rPr>
        <w:t xml:space="preserve"> [2015] </w:t>
      </w:r>
      <w:proofErr w:type="spellStart"/>
      <w:r w:rsidRPr="002A3F76">
        <w:rPr>
          <w:rFonts w:cstheme="minorHAnsi"/>
          <w:color w:val="000000"/>
          <w:sz w:val="16"/>
          <w:szCs w:val="16"/>
        </w:rPr>
        <w:t>UTasLawRw</w:t>
      </w:r>
      <w:proofErr w:type="spellEnd"/>
      <w:r w:rsidRPr="002A3F76">
        <w:rPr>
          <w:rFonts w:cstheme="minorHAnsi"/>
          <w:color w:val="000000"/>
          <w:sz w:val="16"/>
          <w:szCs w:val="16"/>
        </w:rPr>
        <w:t xml:space="preserve"> 13; (2015) 34(2) University of Tasmania Law Review 54 </w:t>
      </w:r>
      <w:hyperlink r:id="rId15" w:history="1">
        <w:r w:rsidRPr="002A3F76">
          <w:rPr>
            <w:rStyle w:val="Hyperlink"/>
            <w:rFonts w:cstheme="minorHAnsi"/>
            <w:sz w:val="16"/>
            <w:szCs w:val="16"/>
          </w:rPr>
          <w:t>http://classic.austlii.edu.au/au/journals/UTasLawRw/2015/13.html</w:t>
        </w:r>
      </w:hyperlink>
    </w:p>
    <w:p w14:paraId="2C8A3E7D" w14:textId="46DF0413" w:rsidR="00332F9D" w:rsidRDefault="00332F9D" w:rsidP="002A3F76">
      <w:pPr>
        <w:spacing w:after="0"/>
        <w:rPr>
          <w:sz w:val="16"/>
          <w:szCs w:val="16"/>
        </w:rPr>
      </w:pPr>
      <w:r>
        <w:rPr>
          <w:sz w:val="16"/>
          <w:szCs w:val="16"/>
        </w:rPr>
        <w:t xml:space="preserve">Chordia noted the High Court’s 1988 reversal of s.92 shambles in Cole v. Whitfield – via admitting material from Constitutional Convention debates for the first time.  </w:t>
      </w:r>
      <w:r w:rsidR="00694793">
        <w:rPr>
          <w:sz w:val="16"/>
          <w:szCs w:val="16"/>
        </w:rPr>
        <w:t xml:space="preserve">The Hon. </w:t>
      </w:r>
      <w:r>
        <w:rPr>
          <w:sz w:val="16"/>
          <w:szCs w:val="16"/>
        </w:rPr>
        <w:t xml:space="preserve">Stephen </w:t>
      </w:r>
      <w:proofErr w:type="spellStart"/>
      <w:r>
        <w:rPr>
          <w:sz w:val="16"/>
          <w:szCs w:val="16"/>
        </w:rPr>
        <w:t>Gagelar</w:t>
      </w:r>
      <w:proofErr w:type="spellEnd"/>
      <w:r>
        <w:rPr>
          <w:sz w:val="16"/>
          <w:szCs w:val="16"/>
        </w:rPr>
        <w:t xml:space="preserve"> (2018) later observed the Mason court in that case:</w:t>
      </w:r>
    </w:p>
    <w:p w14:paraId="5E1980EE" w14:textId="00C347CC" w:rsidR="00332F9D" w:rsidRDefault="00332F9D" w:rsidP="00AD3D0B">
      <w:pPr>
        <w:spacing w:after="0"/>
        <w:ind w:left="720"/>
        <w:rPr>
          <w:sz w:val="16"/>
          <w:szCs w:val="16"/>
        </w:rPr>
      </w:pPr>
      <w:r>
        <w:rPr>
          <w:i/>
          <w:iCs/>
          <w:sz w:val="16"/>
          <w:szCs w:val="16"/>
        </w:rPr>
        <w:t>‘</w:t>
      </w:r>
      <w:r w:rsidRPr="00AD3D0B">
        <w:rPr>
          <w:i/>
          <w:iCs/>
          <w:sz w:val="16"/>
          <w:szCs w:val="16"/>
        </w:rPr>
        <w:t>openly acknowledged that the new interpretation would not solve all problems but they said that it would permit the identification of the relevant questions and a belated acknowledgment of the implications of the long</w:t>
      </w:r>
      <w:r>
        <w:rPr>
          <w:i/>
          <w:iCs/>
          <w:sz w:val="16"/>
          <w:szCs w:val="16"/>
        </w:rPr>
        <w:t xml:space="preserve"> </w:t>
      </w:r>
      <w:r w:rsidRPr="00AD3D0B">
        <w:rPr>
          <w:i/>
          <w:iCs/>
          <w:sz w:val="16"/>
          <w:szCs w:val="16"/>
        </w:rPr>
        <w:t>accepted perception that ‘although the decision [whether an impugned law infringes s 92] was one for a court of law the problems were likely to be largely political, social or economic’</w:t>
      </w:r>
      <w:r>
        <w:rPr>
          <w:sz w:val="16"/>
          <w:szCs w:val="16"/>
        </w:rPr>
        <w:t xml:space="preserve"> </w:t>
      </w:r>
    </w:p>
    <w:p w14:paraId="082FFC86" w14:textId="0FF8FD49" w:rsidR="00332F9D" w:rsidRPr="008263CC" w:rsidRDefault="00332F9D" w:rsidP="00AD3D0B">
      <w:pPr>
        <w:spacing w:after="0"/>
        <w:rPr>
          <w:rFonts w:cstheme="minorHAnsi"/>
          <w:sz w:val="16"/>
          <w:szCs w:val="16"/>
        </w:rPr>
      </w:pPr>
      <w:r w:rsidRPr="008263CC">
        <w:rPr>
          <w:sz w:val="16"/>
          <w:szCs w:val="16"/>
        </w:rPr>
        <w:t>The Hon</w:t>
      </w:r>
      <w:r>
        <w:rPr>
          <w:sz w:val="16"/>
          <w:szCs w:val="16"/>
        </w:rPr>
        <w:t>.</w:t>
      </w:r>
      <w:r w:rsidRPr="008263CC">
        <w:rPr>
          <w:sz w:val="16"/>
          <w:szCs w:val="16"/>
        </w:rPr>
        <w:t xml:space="preserve"> Stephen </w:t>
      </w:r>
      <w:proofErr w:type="spellStart"/>
      <w:r w:rsidRPr="008263CC">
        <w:rPr>
          <w:sz w:val="16"/>
          <w:szCs w:val="16"/>
        </w:rPr>
        <w:t>Gagelar</w:t>
      </w:r>
      <w:proofErr w:type="spellEnd"/>
      <w:r w:rsidRPr="008263CC">
        <w:rPr>
          <w:sz w:val="16"/>
          <w:szCs w:val="16"/>
        </w:rPr>
        <w:t xml:space="preserve">, </w:t>
      </w:r>
      <w:r w:rsidRPr="008263CC">
        <w:rPr>
          <w:i/>
          <w:iCs/>
          <w:sz w:val="16"/>
          <w:szCs w:val="16"/>
        </w:rPr>
        <w:t>The Section 92 Revolution</w:t>
      </w:r>
      <w:r w:rsidRPr="008263CC">
        <w:rPr>
          <w:sz w:val="16"/>
          <w:szCs w:val="16"/>
        </w:rPr>
        <w:t xml:space="preserve">, in James </w:t>
      </w:r>
      <w:proofErr w:type="spellStart"/>
      <w:r w:rsidRPr="008263CC">
        <w:rPr>
          <w:sz w:val="16"/>
          <w:szCs w:val="16"/>
        </w:rPr>
        <w:t>Stellios</w:t>
      </w:r>
      <w:proofErr w:type="spellEnd"/>
      <w:r w:rsidRPr="008263CC">
        <w:rPr>
          <w:sz w:val="16"/>
          <w:szCs w:val="16"/>
        </w:rPr>
        <w:t xml:space="preserve"> (ed) </w:t>
      </w:r>
      <w:r w:rsidRPr="008263CC">
        <w:rPr>
          <w:i/>
          <w:iCs/>
          <w:sz w:val="16"/>
          <w:szCs w:val="16"/>
        </w:rPr>
        <w:t>Encounters with Constitutional Interpretation and Legal Education</w:t>
      </w:r>
      <w:r w:rsidRPr="008263CC">
        <w:rPr>
          <w:sz w:val="16"/>
          <w:szCs w:val="16"/>
        </w:rPr>
        <w:t xml:space="preserve"> (2018) </w:t>
      </w:r>
      <w:hyperlink r:id="rId16" w:history="1">
        <w:r w:rsidRPr="008263CC">
          <w:rPr>
            <w:rStyle w:val="Hyperlink"/>
            <w:sz w:val="16"/>
            <w:szCs w:val="16"/>
          </w:rPr>
          <w:t>http://www.hcourt.gov.au/assets/publications/speeches/current-justices/gagelerj/GagelerJ_Stellios_Coper_Ch_01.pdf</w:t>
        </w:r>
      </w:hyperlink>
    </w:p>
    <w:p w14:paraId="380CE2FC" w14:textId="0BB23409" w:rsidR="00332F9D" w:rsidRDefault="00332F9D" w:rsidP="002A3F76">
      <w:pPr>
        <w:pStyle w:val="EndnoteText"/>
      </w:pPr>
    </w:p>
  </w:endnote>
  <w:endnote w:id="13">
    <w:p w14:paraId="6AFF8C56" w14:textId="1A2B874A" w:rsidR="00332F9D" w:rsidRPr="00114632" w:rsidRDefault="00332F9D" w:rsidP="008A6790">
      <w:pPr>
        <w:spacing w:after="0"/>
        <w:rPr>
          <w:sz w:val="16"/>
          <w:szCs w:val="16"/>
        </w:rPr>
      </w:pPr>
      <w:r w:rsidRPr="00114632">
        <w:rPr>
          <w:rStyle w:val="EndnoteReference"/>
          <w:rFonts w:cstheme="minorHAnsi"/>
          <w:sz w:val="16"/>
          <w:szCs w:val="16"/>
        </w:rPr>
        <w:endnoteRef/>
      </w:r>
      <w:r w:rsidRPr="00114632">
        <w:rPr>
          <w:sz w:val="16"/>
          <w:szCs w:val="16"/>
        </w:rPr>
        <w:t xml:space="preserve"> </w:t>
      </w:r>
      <w:r>
        <w:rPr>
          <w:sz w:val="16"/>
          <w:szCs w:val="16"/>
        </w:rPr>
        <w:t xml:space="preserve">And in Appendix 7. </w:t>
      </w:r>
      <w:r w:rsidRPr="00114632">
        <w:rPr>
          <w:sz w:val="16"/>
          <w:szCs w:val="16"/>
        </w:rPr>
        <w:t>Former High Court Chief Justice Robert French recently suggested there may be an additional channel for validity; through intergovernmental agreements coupled with the ‘nationhood’ power; the existence of such agreement perhaps signifying a nationhood issue provided the</w:t>
      </w:r>
      <w:r>
        <w:rPr>
          <w:sz w:val="16"/>
          <w:szCs w:val="16"/>
        </w:rPr>
        <w:t xml:space="preserve"> agreement</w:t>
      </w:r>
      <w:r w:rsidRPr="00114632">
        <w:rPr>
          <w:sz w:val="16"/>
          <w:szCs w:val="16"/>
        </w:rPr>
        <w:t xml:space="preserve"> did not otherwise infringe on Constitutional prohibitions:  </w:t>
      </w:r>
    </w:p>
    <w:p w14:paraId="717F5A7C" w14:textId="71B19E5E" w:rsidR="00332F9D" w:rsidRPr="00114632" w:rsidRDefault="00332F9D" w:rsidP="008A6790">
      <w:pPr>
        <w:spacing w:after="0"/>
        <w:ind w:left="720"/>
        <w:rPr>
          <w:i/>
          <w:color w:val="000000"/>
          <w:sz w:val="16"/>
          <w:szCs w:val="16"/>
          <w:shd w:val="clear" w:color="auto" w:fill="FFFFFF"/>
        </w:rPr>
      </w:pPr>
      <w:r w:rsidRPr="00114632">
        <w:rPr>
          <w:i/>
          <w:color w:val="000000"/>
          <w:sz w:val="16"/>
          <w:szCs w:val="16"/>
          <w:shd w:val="clear" w:color="auto" w:fill="FFFFFF"/>
        </w:rPr>
        <w:t>‘The entry into an intergovernmental agreement cannot of itself supply otherwise absent constitutional powers of the Commonwealth. However, the fact of the agreement may be an indication that at least the nationhood aspect of the executive power is in play.’</w:t>
      </w:r>
    </w:p>
    <w:p w14:paraId="7E72FC96" w14:textId="6452A314" w:rsidR="00332F9D" w:rsidRPr="00114632" w:rsidRDefault="00332F9D" w:rsidP="008A6790">
      <w:pPr>
        <w:spacing w:after="0"/>
        <w:rPr>
          <w:sz w:val="16"/>
          <w:szCs w:val="16"/>
        </w:rPr>
      </w:pPr>
      <w:r w:rsidRPr="00114632">
        <w:rPr>
          <w:color w:val="000000"/>
          <w:sz w:val="16"/>
          <w:szCs w:val="16"/>
        </w:rPr>
        <w:t xml:space="preserve">French, Robert </w:t>
      </w:r>
      <w:r w:rsidRPr="00114632">
        <w:rPr>
          <w:i/>
          <w:color w:val="000000"/>
          <w:sz w:val="16"/>
          <w:szCs w:val="16"/>
        </w:rPr>
        <w:t>"Executive and Legislative Power in the Implementation of Intergovernmental Agreements"</w:t>
      </w:r>
      <w:r w:rsidRPr="00114632">
        <w:rPr>
          <w:color w:val="000000"/>
          <w:sz w:val="16"/>
          <w:szCs w:val="16"/>
        </w:rPr>
        <w:t xml:space="preserve"> [2018] </w:t>
      </w:r>
      <w:proofErr w:type="spellStart"/>
      <w:r w:rsidRPr="00114632">
        <w:rPr>
          <w:color w:val="000000"/>
          <w:sz w:val="16"/>
          <w:szCs w:val="16"/>
        </w:rPr>
        <w:t>MelbULawRw</w:t>
      </w:r>
      <w:proofErr w:type="spellEnd"/>
      <w:r w:rsidRPr="00114632">
        <w:rPr>
          <w:color w:val="000000"/>
          <w:sz w:val="16"/>
          <w:szCs w:val="16"/>
        </w:rPr>
        <w:t xml:space="preserve"> 12; (2018) 41(3) Melbourne University Law Review 1383 at </w:t>
      </w:r>
      <w:hyperlink r:id="rId17" w:history="1">
        <w:r w:rsidRPr="007413DA">
          <w:rPr>
            <w:rStyle w:val="Hyperlink"/>
            <w:rFonts w:cstheme="minorHAnsi"/>
            <w:sz w:val="16"/>
            <w:szCs w:val="16"/>
          </w:rPr>
          <w:t>http://www.austlii.edu.au/au/journals/MelbULawRw/2018/12.html</w:t>
        </w:r>
      </w:hyperlink>
    </w:p>
    <w:p w14:paraId="4630B3D0" w14:textId="77777777" w:rsidR="00332F9D" w:rsidRPr="00114632" w:rsidRDefault="00332F9D">
      <w:pPr>
        <w:pStyle w:val="EndnoteText"/>
        <w:rPr>
          <w:sz w:val="16"/>
          <w:szCs w:val="16"/>
        </w:rPr>
      </w:pPr>
    </w:p>
  </w:endnote>
  <w:endnote w:id="14">
    <w:p w14:paraId="716D5BDF" w14:textId="1ABD90D6" w:rsidR="00332F9D" w:rsidRPr="00114632" w:rsidRDefault="00332F9D" w:rsidP="007473D6">
      <w:pPr>
        <w:spacing w:after="0"/>
        <w:rPr>
          <w:rFonts w:cstheme="minorHAnsi"/>
          <w:sz w:val="16"/>
          <w:szCs w:val="16"/>
        </w:rPr>
      </w:pPr>
      <w:r w:rsidRPr="00114632">
        <w:rPr>
          <w:rStyle w:val="EndnoteReference"/>
          <w:rFonts w:cstheme="minorHAnsi"/>
          <w:sz w:val="16"/>
          <w:szCs w:val="16"/>
        </w:rPr>
        <w:endnoteRef/>
      </w:r>
      <w:r w:rsidRPr="00114632">
        <w:rPr>
          <w:rFonts w:cstheme="minorHAnsi"/>
          <w:sz w:val="16"/>
          <w:szCs w:val="16"/>
        </w:rPr>
        <w:t xml:space="preserve"> </w:t>
      </w:r>
      <w:r w:rsidRPr="00114632">
        <w:rPr>
          <w:rFonts w:cstheme="minorHAnsi"/>
          <w:sz w:val="16"/>
          <w:szCs w:val="16"/>
          <w:lang w:eastAsia="en-AU"/>
        </w:rPr>
        <w:t xml:space="preserve">French, Justice Robert </w:t>
      </w:r>
      <w:r w:rsidRPr="00114632">
        <w:rPr>
          <w:rFonts w:cstheme="minorHAnsi"/>
          <w:i/>
          <w:sz w:val="16"/>
          <w:szCs w:val="16"/>
          <w:lang w:eastAsia="en-AU"/>
        </w:rPr>
        <w:t>"The referral of state powers - cooperative federalism lives?"</w:t>
      </w:r>
      <w:r w:rsidRPr="00114632">
        <w:rPr>
          <w:rFonts w:cstheme="minorHAnsi"/>
          <w:sz w:val="16"/>
          <w:szCs w:val="16"/>
          <w:lang w:eastAsia="en-AU"/>
        </w:rPr>
        <w:t xml:space="preserve"> (FCA) [2003] </w:t>
      </w:r>
      <w:proofErr w:type="spellStart"/>
      <w:r w:rsidRPr="00114632">
        <w:rPr>
          <w:rFonts w:cstheme="minorHAnsi"/>
          <w:sz w:val="16"/>
          <w:szCs w:val="16"/>
          <w:lang w:eastAsia="en-AU"/>
        </w:rPr>
        <w:t>FedJSchol</w:t>
      </w:r>
      <w:proofErr w:type="spellEnd"/>
      <w:r w:rsidRPr="00114632">
        <w:rPr>
          <w:rFonts w:cstheme="minorHAnsi"/>
          <w:sz w:val="16"/>
          <w:szCs w:val="16"/>
          <w:lang w:eastAsia="en-AU"/>
        </w:rPr>
        <w:t xml:space="preserve"> 3 at </w:t>
      </w:r>
      <w:hyperlink r:id="rId18" w:history="1">
        <w:r w:rsidRPr="00114632">
          <w:rPr>
            <w:rStyle w:val="Hyperlink"/>
            <w:rFonts w:cstheme="minorHAnsi"/>
            <w:sz w:val="16"/>
            <w:szCs w:val="16"/>
          </w:rPr>
          <w:t>http://www.austlii.edu.au/au/journals/FedJSchol/2003/3.html</w:t>
        </w:r>
      </w:hyperlink>
    </w:p>
    <w:p w14:paraId="016EB847" w14:textId="77777777" w:rsidR="00332F9D" w:rsidRPr="00114632" w:rsidRDefault="00332F9D" w:rsidP="007473D6">
      <w:pPr>
        <w:spacing w:after="0"/>
        <w:rPr>
          <w:rFonts w:cstheme="minorHAnsi"/>
          <w:sz w:val="16"/>
          <w:szCs w:val="16"/>
        </w:rPr>
      </w:pPr>
    </w:p>
  </w:endnote>
  <w:endnote w:id="15">
    <w:p w14:paraId="29396D99" w14:textId="46C118DF" w:rsidR="00332F9D" w:rsidRPr="00114632" w:rsidRDefault="00332F9D" w:rsidP="002D2868">
      <w:pPr>
        <w:spacing w:after="0"/>
        <w:rPr>
          <w:rStyle w:val="Hyperlink"/>
          <w:rFonts w:cstheme="minorHAnsi"/>
          <w:sz w:val="16"/>
          <w:szCs w:val="16"/>
        </w:rPr>
      </w:pPr>
      <w:r w:rsidRPr="00114632">
        <w:rPr>
          <w:rStyle w:val="EndnoteReference"/>
          <w:rFonts w:cstheme="minorHAnsi"/>
          <w:sz w:val="16"/>
          <w:szCs w:val="16"/>
        </w:rPr>
        <w:endnoteRef/>
      </w:r>
      <w:r w:rsidRPr="00114632">
        <w:rPr>
          <w:rFonts w:cstheme="minorHAnsi"/>
          <w:sz w:val="16"/>
          <w:szCs w:val="16"/>
        </w:rPr>
        <w:t xml:space="preserve"> </w:t>
      </w:r>
      <w:r w:rsidRPr="00114632">
        <w:rPr>
          <w:rFonts w:eastAsia="Times New Roman" w:cstheme="minorHAnsi"/>
          <w:color w:val="333333"/>
          <w:kern w:val="36"/>
          <w:sz w:val="16"/>
          <w:szCs w:val="16"/>
          <w:lang w:eastAsia="en-AU"/>
        </w:rPr>
        <w:t>Referendum dates and results are at:</w:t>
      </w:r>
      <w:r>
        <w:rPr>
          <w:rFonts w:eastAsia="Times New Roman" w:cstheme="minorHAnsi"/>
          <w:color w:val="333333"/>
          <w:kern w:val="36"/>
          <w:sz w:val="16"/>
          <w:szCs w:val="16"/>
          <w:lang w:eastAsia="en-AU"/>
        </w:rPr>
        <w:t xml:space="preserve"> </w:t>
      </w:r>
      <w:hyperlink r:id="rId19" w:history="1">
        <w:r w:rsidRPr="00114632">
          <w:rPr>
            <w:rStyle w:val="Hyperlink"/>
            <w:rFonts w:cstheme="minorHAnsi"/>
            <w:sz w:val="16"/>
            <w:szCs w:val="16"/>
          </w:rPr>
          <w:t>https://www.aec.gov.au/elections/referendums/Referendum_Dates_and_Results.htm</w:t>
        </w:r>
      </w:hyperlink>
    </w:p>
    <w:p w14:paraId="5ABA9D7C" w14:textId="77777777" w:rsidR="00332F9D" w:rsidRPr="00114632" w:rsidRDefault="00332F9D" w:rsidP="002D2868">
      <w:pPr>
        <w:spacing w:after="0"/>
        <w:rPr>
          <w:rFonts w:cstheme="minorHAnsi"/>
          <w:sz w:val="16"/>
          <w:szCs w:val="16"/>
        </w:rPr>
      </w:pPr>
      <w:r w:rsidRPr="00114632">
        <w:rPr>
          <w:rFonts w:ascii="Arial" w:hAnsi="Arial" w:cs="Arial"/>
          <w:bCs/>
          <w:color w:val="000000"/>
          <w:sz w:val="16"/>
          <w:szCs w:val="16"/>
          <w:shd w:val="clear" w:color="auto" w:fill="FFFFFF"/>
        </w:rPr>
        <w:t xml:space="preserve"> </w:t>
      </w:r>
      <w:r w:rsidRPr="00114632">
        <w:rPr>
          <w:rFonts w:ascii="Arial" w:hAnsi="Arial" w:cs="Arial"/>
          <w:b/>
          <w:bCs/>
          <w:color w:val="000000"/>
          <w:sz w:val="16"/>
          <w:szCs w:val="16"/>
          <w:shd w:val="clear" w:color="auto" w:fill="FFFFFF"/>
        </w:rPr>
        <w:t xml:space="preserve"> </w:t>
      </w:r>
    </w:p>
  </w:endnote>
  <w:endnote w:id="16">
    <w:p w14:paraId="5B370A4E" w14:textId="37FA8A62" w:rsidR="00332F9D" w:rsidRPr="00114632" w:rsidRDefault="00332F9D">
      <w:pPr>
        <w:pStyle w:val="EndnoteText"/>
        <w:rPr>
          <w:rStyle w:val="Hyperlink"/>
          <w:sz w:val="16"/>
          <w:szCs w:val="16"/>
        </w:rPr>
      </w:pPr>
      <w:r w:rsidRPr="00114632">
        <w:rPr>
          <w:rStyle w:val="EndnoteReference"/>
          <w:sz w:val="16"/>
          <w:szCs w:val="16"/>
        </w:rPr>
        <w:endnoteRef/>
      </w:r>
      <w:r w:rsidRPr="00114632">
        <w:rPr>
          <w:sz w:val="16"/>
          <w:szCs w:val="16"/>
        </w:rPr>
        <w:t xml:space="preserve"> </w:t>
      </w:r>
      <w:hyperlink r:id="rId20" w:history="1">
        <w:r w:rsidRPr="00114632">
          <w:rPr>
            <w:rStyle w:val="Hyperlink"/>
            <w:sz w:val="16"/>
            <w:szCs w:val="16"/>
          </w:rPr>
          <w:t>http://classic.austlii.edu.au/au/legis/cth/consol_act/coaca430/s128.html</w:t>
        </w:r>
      </w:hyperlink>
    </w:p>
    <w:p w14:paraId="219BAB25" w14:textId="77777777" w:rsidR="00332F9D" w:rsidRPr="00D61145" w:rsidRDefault="00332F9D">
      <w:pPr>
        <w:pStyle w:val="EndnoteText"/>
        <w:rPr>
          <w:sz w:val="16"/>
          <w:szCs w:val="16"/>
        </w:rPr>
      </w:pPr>
    </w:p>
  </w:endnote>
  <w:endnote w:id="17">
    <w:p w14:paraId="5755FFC8" w14:textId="6EF02555" w:rsidR="00332F9D" w:rsidRDefault="00332F9D" w:rsidP="00CB22E5">
      <w:r w:rsidRPr="00D61145">
        <w:rPr>
          <w:rStyle w:val="EndnoteReference"/>
          <w:sz w:val="16"/>
          <w:szCs w:val="16"/>
        </w:rPr>
        <w:endnoteRef/>
      </w:r>
      <w:r w:rsidRPr="00D61145">
        <w:rPr>
          <w:sz w:val="16"/>
          <w:szCs w:val="16"/>
        </w:rPr>
        <w:t xml:space="preserve"> A proposal that alters the proportionate representation or boundary of a State also needs a ‘yes’ vote from the majority in that State.</w:t>
      </w:r>
    </w:p>
  </w:endnote>
  <w:endnote w:id="18">
    <w:p w14:paraId="12A6FCC4" w14:textId="7281DBEC" w:rsidR="00332F9D" w:rsidRPr="00114632" w:rsidRDefault="00332F9D">
      <w:pPr>
        <w:pStyle w:val="EndnoteText"/>
        <w:rPr>
          <w:sz w:val="16"/>
          <w:szCs w:val="16"/>
        </w:rPr>
      </w:pPr>
      <w:r w:rsidRPr="00114632">
        <w:rPr>
          <w:rStyle w:val="EndnoteReference"/>
          <w:sz w:val="16"/>
          <w:szCs w:val="16"/>
        </w:rPr>
        <w:endnoteRef/>
      </w:r>
      <w:r w:rsidRPr="00114632">
        <w:rPr>
          <w:sz w:val="16"/>
          <w:szCs w:val="16"/>
        </w:rPr>
        <w:t xml:space="preserve"> Mr Turnbull was head of the Australian Republican Movement at the time of the (rejected) republic referendum proposal.  </w:t>
      </w:r>
      <w:hyperlink r:id="rId21" w:history="1">
        <w:r w:rsidRPr="00114632">
          <w:rPr>
            <w:rStyle w:val="Hyperlink"/>
            <w:sz w:val="16"/>
            <w:szCs w:val="16"/>
          </w:rPr>
          <w:t>https://www.smh.com.au/national/turnbull-warns-australian-voters-conservative-on-constitutional-change-20170527-gwegxt.html</w:t>
        </w:r>
      </w:hyperlink>
    </w:p>
    <w:p w14:paraId="7ADED94D" w14:textId="77777777" w:rsidR="00332F9D" w:rsidRPr="00114632" w:rsidRDefault="00332F9D" w:rsidP="007546CB">
      <w:pPr>
        <w:spacing w:after="0"/>
        <w:rPr>
          <w:rFonts w:cstheme="minorHAnsi"/>
          <w:sz w:val="16"/>
          <w:szCs w:val="16"/>
        </w:rPr>
      </w:pPr>
    </w:p>
  </w:endnote>
  <w:endnote w:id="19">
    <w:p w14:paraId="7EEF2B73" w14:textId="77777777" w:rsidR="00332F9D" w:rsidRPr="00114632" w:rsidRDefault="00332F9D" w:rsidP="002C44B7">
      <w:pPr>
        <w:pStyle w:val="EndnoteText"/>
        <w:rPr>
          <w:sz w:val="16"/>
          <w:szCs w:val="16"/>
        </w:rPr>
      </w:pPr>
      <w:r w:rsidRPr="00114632">
        <w:rPr>
          <w:rStyle w:val="EndnoteReference"/>
          <w:sz w:val="16"/>
          <w:szCs w:val="16"/>
        </w:rPr>
        <w:endnoteRef/>
      </w:r>
      <w:r w:rsidRPr="00114632">
        <w:rPr>
          <w:sz w:val="16"/>
          <w:szCs w:val="16"/>
        </w:rPr>
        <w:t xml:space="preserve"> Prior to the referendum, the States could make laws related to Aboriginals and for their inclusion in State population counts.  Thus this 1967 referendum did not create powers for laws to be made regarding Aboriginals – but to extend the power of lawmaking to the Commonwealth. </w:t>
      </w:r>
    </w:p>
    <w:p w14:paraId="3862DD14" w14:textId="77777777" w:rsidR="00332F9D" w:rsidRPr="00114632" w:rsidRDefault="00332F9D" w:rsidP="002C44B7">
      <w:pPr>
        <w:pStyle w:val="EndnoteText"/>
        <w:rPr>
          <w:sz w:val="16"/>
          <w:szCs w:val="16"/>
        </w:rPr>
      </w:pPr>
    </w:p>
  </w:endnote>
  <w:endnote w:id="20">
    <w:p w14:paraId="6A5C7849" w14:textId="0D758E37" w:rsidR="00332F9D" w:rsidRPr="00114632" w:rsidRDefault="00332F9D" w:rsidP="00F45E58">
      <w:pPr>
        <w:pStyle w:val="EndnoteText"/>
        <w:rPr>
          <w:sz w:val="16"/>
          <w:szCs w:val="16"/>
        </w:rPr>
      </w:pPr>
      <w:r w:rsidRPr="00114632">
        <w:rPr>
          <w:rStyle w:val="EndnoteReference"/>
          <w:sz w:val="16"/>
          <w:szCs w:val="16"/>
        </w:rPr>
        <w:endnoteRef/>
      </w:r>
      <w:r w:rsidRPr="00114632">
        <w:rPr>
          <w:sz w:val="16"/>
          <w:szCs w:val="16"/>
        </w:rPr>
        <w:t xml:space="preserve"> </w:t>
      </w:r>
      <w:r w:rsidRPr="00114632">
        <w:rPr>
          <w:rFonts w:cstheme="minorHAnsi"/>
          <w:sz w:val="16"/>
          <w:szCs w:val="16"/>
        </w:rPr>
        <w:t xml:space="preserve">George Williams David Hume, </w:t>
      </w:r>
      <w:r w:rsidRPr="00114632">
        <w:rPr>
          <w:rFonts w:cstheme="minorHAnsi"/>
          <w:i/>
          <w:iCs/>
          <w:sz w:val="16"/>
          <w:szCs w:val="16"/>
        </w:rPr>
        <w:t>People Power: The history and future of the referendum in Australia</w:t>
      </w:r>
      <w:r w:rsidRPr="00114632">
        <w:rPr>
          <w:rFonts w:cstheme="minorHAnsi"/>
          <w:sz w:val="16"/>
          <w:szCs w:val="16"/>
        </w:rPr>
        <w:t>, UNSW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7C13" w14:textId="77777777" w:rsidR="00332F9D" w:rsidRDefault="00332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99558"/>
      <w:docPartObj>
        <w:docPartGallery w:val="Page Numbers (Bottom of Page)"/>
        <w:docPartUnique/>
      </w:docPartObj>
    </w:sdtPr>
    <w:sdtEndPr>
      <w:rPr>
        <w:noProof/>
      </w:rPr>
    </w:sdtEndPr>
    <w:sdtContent>
      <w:p w14:paraId="6B99853C" w14:textId="423C52F9" w:rsidR="00332F9D" w:rsidRDefault="00332F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859949" w14:textId="77777777" w:rsidR="00332F9D" w:rsidRDefault="00332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34BF" w14:textId="77777777" w:rsidR="00332F9D" w:rsidRDefault="0033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F249" w14:textId="77777777" w:rsidR="0021687B" w:rsidRDefault="0021687B" w:rsidP="008056C4">
      <w:pPr>
        <w:spacing w:after="0" w:line="240" w:lineRule="auto"/>
      </w:pPr>
      <w:r>
        <w:separator/>
      </w:r>
    </w:p>
  </w:footnote>
  <w:footnote w:type="continuationSeparator" w:id="0">
    <w:p w14:paraId="0629EA3C" w14:textId="77777777" w:rsidR="0021687B" w:rsidRDefault="0021687B" w:rsidP="00805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6E6A" w14:textId="77777777" w:rsidR="00332F9D" w:rsidRDefault="00332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BE4A" w14:textId="77777777" w:rsidR="00332F9D" w:rsidRDefault="00332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1A2A" w14:textId="77777777" w:rsidR="00332F9D" w:rsidRDefault="00332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B2F"/>
    <w:multiLevelType w:val="multilevel"/>
    <w:tmpl w:val="1A64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6692"/>
    <w:multiLevelType w:val="multilevel"/>
    <w:tmpl w:val="99BE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11719"/>
    <w:multiLevelType w:val="multilevel"/>
    <w:tmpl w:val="B9741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55C13"/>
    <w:multiLevelType w:val="hybridMultilevel"/>
    <w:tmpl w:val="FEE8C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E62ECA"/>
    <w:multiLevelType w:val="hybridMultilevel"/>
    <w:tmpl w:val="447A5740"/>
    <w:lvl w:ilvl="0" w:tplc="BE26520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B22DDE"/>
    <w:multiLevelType w:val="hybridMultilevel"/>
    <w:tmpl w:val="2C88E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B5"/>
    <w:rsid w:val="000110E7"/>
    <w:rsid w:val="000227B5"/>
    <w:rsid w:val="00040A56"/>
    <w:rsid w:val="000457AD"/>
    <w:rsid w:val="000612AA"/>
    <w:rsid w:val="00065502"/>
    <w:rsid w:val="000762A1"/>
    <w:rsid w:val="000820FE"/>
    <w:rsid w:val="00082332"/>
    <w:rsid w:val="000842DB"/>
    <w:rsid w:val="00084DC0"/>
    <w:rsid w:val="00086411"/>
    <w:rsid w:val="000878D2"/>
    <w:rsid w:val="0009142E"/>
    <w:rsid w:val="000B298F"/>
    <w:rsid w:val="000B3D27"/>
    <w:rsid w:val="000B5AD9"/>
    <w:rsid w:val="000B69BE"/>
    <w:rsid w:val="000D3B74"/>
    <w:rsid w:val="000D3B96"/>
    <w:rsid w:val="000D493B"/>
    <w:rsid w:val="000D56E0"/>
    <w:rsid w:val="000D7B18"/>
    <w:rsid w:val="000E6266"/>
    <w:rsid w:val="000F020A"/>
    <w:rsid w:val="000F112B"/>
    <w:rsid w:val="00107F38"/>
    <w:rsid w:val="00112717"/>
    <w:rsid w:val="001145C5"/>
    <w:rsid w:val="00114632"/>
    <w:rsid w:val="00116183"/>
    <w:rsid w:val="0012276C"/>
    <w:rsid w:val="00123586"/>
    <w:rsid w:val="00125F5F"/>
    <w:rsid w:val="00127CA1"/>
    <w:rsid w:val="00132307"/>
    <w:rsid w:val="0013282A"/>
    <w:rsid w:val="00137729"/>
    <w:rsid w:val="00145792"/>
    <w:rsid w:val="001510FA"/>
    <w:rsid w:val="00160756"/>
    <w:rsid w:val="001621F6"/>
    <w:rsid w:val="00163B84"/>
    <w:rsid w:val="00173E9E"/>
    <w:rsid w:val="001819C8"/>
    <w:rsid w:val="0018371E"/>
    <w:rsid w:val="00183D06"/>
    <w:rsid w:val="0018616B"/>
    <w:rsid w:val="00191C3D"/>
    <w:rsid w:val="001C7908"/>
    <w:rsid w:val="001D08F0"/>
    <w:rsid w:val="001E236E"/>
    <w:rsid w:val="001F4B76"/>
    <w:rsid w:val="00207ABB"/>
    <w:rsid w:val="002114C5"/>
    <w:rsid w:val="00215DE7"/>
    <w:rsid w:val="0021687B"/>
    <w:rsid w:val="002212C6"/>
    <w:rsid w:val="00232DAB"/>
    <w:rsid w:val="00234DAB"/>
    <w:rsid w:val="002365DC"/>
    <w:rsid w:val="002460EF"/>
    <w:rsid w:val="00253157"/>
    <w:rsid w:val="00253F2A"/>
    <w:rsid w:val="00261CEB"/>
    <w:rsid w:val="00270CF5"/>
    <w:rsid w:val="002820A2"/>
    <w:rsid w:val="002A3F76"/>
    <w:rsid w:val="002A4069"/>
    <w:rsid w:val="002A7D08"/>
    <w:rsid w:val="002B26CC"/>
    <w:rsid w:val="002B4062"/>
    <w:rsid w:val="002B79FC"/>
    <w:rsid w:val="002C1EFD"/>
    <w:rsid w:val="002C2293"/>
    <w:rsid w:val="002C44B7"/>
    <w:rsid w:val="002D2868"/>
    <w:rsid w:val="002D673A"/>
    <w:rsid w:val="002E037F"/>
    <w:rsid w:val="002E3D55"/>
    <w:rsid w:val="002F4293"/>
    <w:rsid w:val="002F4D75"/>
    <w:rsid w:val="002F7506"/>
    <w:rsid w:val="003036A0"/>
    <w:rsid w:val="003054E6"/>
    <w:rsid w:val="0030680D"/>
    <w:rsid w:val="00307ACF"/>
    <w:rsid w:val="00314C34"/>
    <w:rsid w:val="00315755"/>
    <w:rsid w:val="0031709A"/>
    <w:rsid w:val="00322DAA"/>
    <w:rsid w:val="00332F9D"/>
    <w:rsid w:val="003332C5"/>
    <w:rsid w:val="00333C21"/>
    <w:rsid w:val="0033415D"/>
    <w:rsid w:val="0033655F"/>
    <w:rsid w:val="00340B07"/>
    <w:rsid w:val="00342FFB"/>
    <w:rsid w:val="00345FD7"/>
    <w:rsid w:val="003472A2"/>
    <w:rsid w:val="0035207A"/>
    <w:rsid w:val="00352DD1"/>
    <w:rsid w:val="0035416D"/>
    <w:rsid w:val="003541BF"/>
    <w:rsid w:val="003602ED"/>
    <w:rsid w:val="00367E23"/>
    <w:rsid w:val="00396B1F"/>
    <w:rsid w:val="0039790D"/>
    <w:rsid w:val="003A7EE1"/>
    <w:rsid w:val="003B58EC"/>
    <w:rsid w:val="003C195E"/>
    <w:rsid w:val="003C3F6B"/>
    <w:rsid w:val="003D139B"/>
    <w:rsid w:val="003D4ACC"/>
    <w:rsid w:val="003D4FB6"/>
    <w:rsid w:val="003E29AD"/>
    <w:rsid w:val="003E2A4E"/>
    <w:rsid w:val="003E6664"/>
    <w:rsid w:val="003F4AB3"/>
    <w:rsid w:val="00400DDB"/>
    <w:rsid w:val="00406215"/>
    <w:rsid w:val="00410CDB"/>
    <w:rsid w:val="00422B8E"/>
    <w:rsid w:val="0042377F"/>
    <w:rsid w:val="00425516"/>
    <w:rsid w:val="0043329F"/>
    <w:rsid w:val="00462C79"/>
    <w:rsid w:val="0046320E"/>
    <w:rsid w:val="0048072A"/>
    <w:rsid w:val="0048153E"/>
    <w:rsid w:val="004849CF"/>
    <w:rsid w:val="00491E0D"/>
    <w:rsid w:val="00497351"/>
    <w:rsid w:val="004B1D0F"/>
    <w:rsid w:val="004B43CA"/>
    <w:rsid w:val="004D1DE0"/>
    <w:rsid w:val="004D1F9D"/>
    <w:rsid w:val="004D4B6A"/>
    <w:rsid w:val="004E35BB"/>
    <w:rsid w:val="004E4362"/>
    <w:rsid w:val="004F1B27"/>
    <w:rsid w:val="004F37E4"/>
    <w:rsid w:val="004F5459"/>
    <w:rsid w:val="004F7789"/>
    <w:rsid w:val="00500EA5"/>
    <w:rsid w:val="0053567D"/>
    <w:rsid w:val="005427CB"/>
    <w:rsid w:val="005554F9"/>
    <w:rsid w:val="00556693"/>
    <w:rsid w:val="005656A1"/>
    <w:rsid w:val="00567FE4"/>
    <w:rsid w:val="005701D2"/>
    <w:rsid w:val="005709E7"/>
    <w:rsid w:val="0057118F"/>
    <w:rsid w:val="00572A47"/>
    <w:rsid w:val="00573E1D"/>
    <w:rsid w:val="00576740"/>
    <w:rsid w:val="00582E93"/>
    <w:rsid w:val="00591518"/>
    <w:rsid w:val="00592CD7"/>
    <w:rsid w:val="00592CEC"/>
    <w:rsid w:val="0059545B"/>
    <w:rsid w:val="005A03F4"/>
    <w:rsid w:val="005A4746"/>
    <w:rsid w:val="005A7CC5"/>
    <w:rsid w:val="005B013E"/>
    <w:rsid w:val="005B03FA"/>
    <w:rsid w:val="005B38AD"/>
    <w:rsid w:val="005B42B5"/>
    <w:rsid w:val="005C131E"/>
    <w:rsid w:val="005C1AEE"/>
    <w:rsid w:val="005C350F"/>
    <w:rsid w:val="005D1FD3"/>
    <w:rsid w:val="005D245B"/>
    <w:rsid w:val="005D46B3"/>
    <w:rsid w:val="005E666E"/>
    <w:rsid w:val="005F12CC"/>
    <w:rsid w:val="005F18BA"/>
    <w:rsid w:val="005F393A"/>
    <w:rsid w:val="005F4D0F"/>
    <w:rsid w:val="005F66AA"/>
    <w:rsid w:val="00601A96"/>
    <w:rsid w:val="00603B0B"/>
    <w:rsid w:val="006167CD"/>
    <w:rsid w:val="006229BD"/>
    <w:rsid w:val="00624E43"/>
    <w:rsid w:val="00625536"/>
    <w:rsid w:val="00640697"/>
    <w:rsid w:val="00640E31"/>
    <w:rsid w:val="00646F3C"/>
    <w:rsid w:val="0065088B"/>
    <w:rsid w:val="00656607"/>
    <w:rsid w:val="00672BB7"/>
    <w:rsid w:val="00674B14"/>
    <w:rsid w:val="00674D9F"/>
    <w:rsid w:val="006766E9"/>
    <w:rsid w:val="00676FBE"/>
    <w:rsid w:val="006775E5"/>
    <w:rsid w:val="006849F8"/>
    <w:rsid w:val="00687A0A"/>
    <w:rsid w:val="00692EA7"/>
    <w:rsid w:val="00694793"/>
    <w:rsid w:val="00697DF6"/>
    <w:rsid w:val="006A529A"/>
    <w:rsid w:val="006C1B23"/>
    <w:rsid w:val="006C7BE6"/>
    <w:rsid w:val="006D4235"/>
    <w:rsid w:val="006D4681"/>
    <w:rsid w:val="006D59A5"/>
    <w:rsid w:val="006E63D5"/>
    <w:rsid w:val="006E7E9E"/>
    <w:rsid w:val="006F352B"/>
    <w:rsid w:val="00702A5D"/>
    <w:rsid w:val="00703BF8"/>
    <w:rsid w:val="00720ACE"/>
    <w:rsid w:val="00721BAF"/>
    <w:rsid w:val="00730EB7"/>
    <w:rsid w:val="00743999"/>
    <w:rsid w:val="007473D6"/>
    <w:rsid w:val="007546CB"/>
    <w:rsid w:val="00757C43"/>
    <w:rsid w:val="0076523B"/>
    <w:rsid w:val="00765486"/>
    <w:rsid w:val="00765D1F"/>
    <w:rsid w:val="0077389A"/>
    <w:rsid w:val="00775696"/>
    <w:rsid w:val="00785EB5"/>
    <w:rsid w:val="0078614B"/>
    <w:rsid w:val="007874C2"/>
    <w:rsid w:val="007A7F2D"/>
    <w:rsid w:val="007B405A"/>
    <w:rsid w:val="007B7DCE"/>
    <w:rsid w:val="007C15DD"/>
    <w:rsid w:val="007C175E"/>
    <w:rsid w:val="007C7355"/>
    <w:rsid w:val="007C751D"/>
    <w:rsid w:val="007D2C50"/>
    <w:rsid w:val="007D66BD"/>
    <w:rsid w:val="007E2B77"/>
    <w:rsid w:val="007F290C"/>
    <w:rsid w:val="007F6903"/>
    <w:rsid w:val="00803528"/>
    <w:rsid w:val="008056C4"/>
    <w:rsid w:val="00807035"/>
    <w:rsid w:val="00817E36"/>
    <w:rsid w:val="00824567"/>
    <w:rsid w:val="008263CC"/>
    <w:rsid w:val="008267AF"/>
    <w:rsid w:val="00842A27"/>
    <w:rsid w:val="008472DE"/>
    <w:rsid w:val="00855807"/>
    <w:rsid w:val="00860DBE"/>
    <w:rsid w:val="00864CBB"/>
    <w:rsid w:val="00864EED"/>
    <w:rsid w:val="0086608A"/>
    <w:rsid w:val="00866EF6"/>
    <w:rsid w:val="00876FFE"/>
    <w:rsid w:val="008827CD"/>
    <w:rsid w:val="00883A8B"/>
    <w:rsid w:val="008870B0"/>
    <w:rsid w:val="00887693"/>
    <w:rsid w:val="00893742"/>
    <w:rsid w:val="00894BA5"/>
    <w:rsid w:val="00897B3D"/>
    <w:rsid w:val="008A5F02"/>
    <w:rsid w:val="008A6790"/>
    <w:rsid w:val="008B4372"/>
    <w:rsid w:val="008C3892"/>
    <w:rsid w:val="008C389E"/>
    <w:rsid w:val="008D2DE5"/>
    <w:rsid w:val="008D63D5"/>
    <w:rsid w:val="008E1AEB"/>
    <w:rsid w:val="008E1CD8"/>
    <w:rsid w:val="00902264"/>
    <w:rsid w:val="00904095"/>
    <w:rsid w:val="00906259"/>
    <w:rsid w:val="00912B45"/>
    <w:rsid w:val="00914950"/>
    <w:rsid w:val="00915FAC"/>
    <w:rsid w:val="00923F03"/>
    <w:rsid w:val="009319EB"/>
    <w:rsid w:val="0095036B"/>
    <w:rsid w:val="00950CF2"/>
    <w:rsid w:val="009530C9"/>
    <w:rsid w:val="009555BB"/>
    <w:rsid w:val="0095676A"/>
    <w:rsid w:val="009577E4"/>
    <w:rsid w:val="009634D1"/>
    <w:rsid w:val="009650FC"/>
    <w:rsid w:val="009677D5"/>
    <w:rsid w:val="00971B23"/>
    <w:rsid w:val="009732CE"/>
    <w:rsid w:val="009914D6"/>
    <w:rsid w:val="009A59E0"/>
    <w:rsid w:val="009A6662"/>
    <w:rsid w:val="009E3207"/>
    <w:rsid w:val="009E68B5"/>
    <w:rsid w:val="009E7FBD"/>
    <w:rsid w:val="009F3635"/>
    <w:rsid w:val="009F4A60"/>
    <w:rsid w:val="009F526A"/>
    <w:rsid w:val="00A110A7"/>
    <w:rsid w:val="00A1146E"/>
    <w:rsid w:val="00A20399"/>
    <w:rsid w:val="00A21849"/>
    <w:rsid w:val="00A2789C"/>
    <w:rsid w:val="00A3111D"/>
    <w:rsid w:val="00A3147D"/>
    <w:rsid w:val="00A36A8A"/>
    <w:rsid w:val="00A42FA1"/>
    <w:rsid w:val="00A4572D"/>
    <w:rsid w:val="00A46584"/>
    <w:rsid w:val="00A66E3E"/>
    <w:rsid w:val="00A737AA"/>
    <w:rsid w:val="00A75CE6"/>
    <w:rsid w:val="00A80120"/>
    <w:rsid w:val="00A83A64"/>
    <w:rsid w:val="00AA41D7"/>
    <w:rsid w:val="00AA5444"/>
    <w:rsid w:val="00AB25E7"/>
    <w:rsid w:val="00AC76C3"/>
    <w:rsid w:val="00AD3AED"/>
    <w:rsid w:val="00AD3C9E"/>
    <w:rsid w:val="00AD3D0B"/>
    <w:rsid w:val="00AD60F8"/>
    <w:rsid w:val="00AE3390"/>
    <w:rsid w:val="00AE5150"/>
    <w:rsid w:val="00AE66D6"/>
    <w:rsid w:val="00AF1056"/>
    <w:rsid w:val="00AF4F41"/>
    <w:rsid w:val="00B06277"/>
    <w:rsid w:val="00B115E4"/>
    <w:rsid w:val="00B12134"/>
    <w:rsid w:val="00B13432"/>
    <w:rsid w:val="00B15067"/>
    <w:rsid w:val="00B24C4D"/>
    <w:rsid w:val="00B32E5A"/>
    <w:rsid w:val="00B33AB0"/>
    <w:rsid w:val="00B414EC"/>
    <w:rsid w:val="00B430BB"/>
    <w:rsid w:val="00B435FD"/>
    <w:rsid w:val="00B44FF0"/>
    <w:rsid w:val="00B664B0"/>
    <w:rsid w:val="00B67497"/>
    <w:rsid w:val="00B725CD"/>
    <w:rsid w:val="00B72A54"/>
    <w:rsid w:val="00B75E09"/>
    <w:rsid w:val="00B75E4A"/>
    <w:rsid w:val="00B823F5"/>
    <w:rsid w:val="00B82809"/>
    <w:rsid w:val="00B82975"/>
    <w:rsid w:val="00B92A79"/>
    <w:rsid w:val="00B946BB"/>
    <w:rsid w:val="00BA3BC3"/>
    <w:rsid w:val="00BA7A3B"/>
    <w:rsid w:val="00BB7E0F"/>
    <w:rsid w:val="00BC3A86"/>
    <w:rsid w:val="00BD0056"/>
    <w:rsid w:val="00BD1EED"/>
    <w:rsid w:val="00BD407A"/>
    <w:rsid w:val="00BE3C4D"/>
    <w:rsid w:val="00BE5450"/>
    <w:rsid w:val="00BE5F18"/>
    <w:rsid w:val="00BE668C"/>
    <w:rsid w:val="00C02CDB"/>
    <w:rsid w:val="00C132F2"/>
    <w:rsid w:val="00C16BEB"/>
    <w:rsid w:val="00C201DE"/>
    <w:rsid w:val="00C26CEB"/>
    <w:rsid w:val="00C40009"/>
    <w:rsid w:val="00C4113F"/>
    <w:rsid w:val="00C52054"/>
    <w:rsid w:val="00C65980"/>
    <w:rsid w:val="00C70833"/>
    <w:rsid w:val="00C81E8A"/>
    <w:rsid w:val="00C82A90"/>
    <w:rsid w:val="00C86825"/>
    <w:rsid w:val="00C97877"/>
    <w:rsid w:val="00CA2878"/>
    <w:rsid w:val="00CA308E"/>
    <w:rsid w:val="00CB22E5"/>
    <w:rsid w:val="00CB371F"/>
    <w:rsid w:val="00CC18D5"/>
    <w:rsid w:val="00CC24ED"/>
    <w:rsid w:val="00CC3355"/>
    <w:rsid w:val="00CD1C15"/>
    <w:rsid w:val="00CD67A5"/>
    <w:rsid w:val="00CE0492"/>
    <w:rsid w:val="00CF1746"/>
    <w:rsid w:val="00D03621"/>
    <w:rsid w:val="00D1077B"/>
    <w:rsid w:val="00D116F8"/>
    <w:rsid w:val="00D14D3F"/>
    <w:rsid w:val="00D228A9"/>
    <w:rsid w:val="00D22939"/>
    <w:rsid w:val="00D271A5"/>
    <w:rsid w:val="00D31DC3"/>
    <w:rsid w:val="00D327FD"/>
    <w:rsid w:val="00D45380"/>
    <w:rsid w:val="00D545D5"/>
    <w:rsid w:val="00D56839"/>
    <w:rsid w:val="00D61145"/>
    <w:rsid w:val="00D62E9B"/>
    <w:rsid w:val="00D72746"/>
    <w:rsid w:val="00D90728"/>
    <w:rsid w:val="00D9538F"/>
    <w:rsid w:val="00DA06FC"/>
    <w:rsid w:val="00DA4922"/>
    <w:rsid w:val="00DA539D"/>
    <w:rsid w:val="00DA78C7"/>
    <w:rsid w:val="00DC0360"/>
    <w:rsid w:val="00DD5166"/>
    <w:rsid w:val="00DE4951"/>
    <w:rsid w:val="00DE501F"/>
    <w:rsid w:val="00DE51BF"/>
    <w:rsid w:val="00DE7020"/>
    <w:rsid w:val="00DF0AD1"/>
    <w:rsid w:val="00E00558"/>
    <w:rsid w:val="00E01F0F"/>
    <w:rsid w:val="00E060DE"/>
    <w:rsid w:val="00E0776B"/>
    <w:rsid w:val="00E1697D"/>
    <w:rsid w:val="00E21178"/>
    <w:rsid w:val="00E33FB4"/>
    <w:rsid w:val="00E44F18"/>
    <w:rsid w:val="00E54D62"/>
    <w:rsid w:val="00E635FB"/>
    <w:rsid w:val="00E6451C"/>
    <w:rsid w:val="00E663B9"/>
    <w:rsid w:val="00E66C73"/>
    <w:rsid w:val="00E837A0"/>
    <w:rsid w:val="00E8432C"/>
    <w:rsid w:val="00E85598"/>
    <w:rsid w:val="00E92737"/>
    <w:rsid w:val="00E92942"/>
    <w:rsid w:val="00EA0399"/>
    <w:rsid w:val="00EA31DE"/>
    <w:rsid w:val="00EB24F7"/>
    <w:rsid w:val="00EB5792"/>
    <w:rsid w:val="00EC669E"/>
    <w:rsid w:val="00EC7D14"/>
    <w:rsid w:val="00ED33DB"/>
    <w:rsid w:val="00ED4783"/>
    <w:rsid w:val="00ED5531"/>
    <w:rsid w:val="00EE138C"/>
    <w:rsid w:val="00EF5251"/>
    <w:rsid w:val="00F0591C"/>
    <w:rsid w:val="00F06E00"/>
    <w:rsid w:val="00F100DD"/>
    <w:rsid w:val="00F24F4B"/>
    <w:rsid w:val="00F2625C"/>
    <w:rsid w:val="00F344D7"/>
    <w:rsid w:val="00F34EA9"/>
    <w:rsid w:val="00F35DEA"/>
    <w:rsid w:val="00F424D2"/>
    <w:rsid w:val="00F45E58"/>
    <w:rsid w:val="00F47D21"/>
    <w:rsid w:val="00F527AD"/>
    <w:rsid w:val="00F636BE"/>
    <w:rsid w:val="00F704DE"/>
    <w:rsid w:val="00F77329"/>
    <w:rsid w:val="00F90194"/>
    <w:rsid w:val="00F90623"/>
    <w:rsid w:val="00FA2464"/>
    <w:rsid w:val="00FB4D6F"/>
    <w:rsid w:val="00FB50CB"/>
    <w:rsid w:val="00FB6A8A"/>
    <w:rsid w:val="00FB7ACA"/>
    <w:rsid w:val="00FB7B84"/>
    <w:rsid w:val="00FC0A60"/>
    <w:rsid w:val="00FE1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BA90"/>
  <w15:chartTrackingRefBased/>
  <w15:docId w15:val="{92F2C7AE-9C1D-42B8-983C-DFCD7E17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6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6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6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35D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842A27"/>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C4"/>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unhideWhenUsed/>
    <w:rsid w:val="008056C4"/>
    <w:pPr>
      <w:spacing w:after="0" w:line="240" w:lineRule="auto"/>
    </w:pPr>
    <w:rPr>
      <w:sz w:val="20"/>
      <w:szCs w:val="20"/>
    </w:rPr>
  </w:style>
  <w:style w:type="character" w:customStyle="1" w:styleId="EndnoteTextChar">
    <w:name w:val="Endnote Text Char"/>
    <w:basedOn w:val="DefaultParagraphFont"/>
    <w:link w:val="EndnoteText"/>
    <w:uiPriority w:val="99"/>
    <w:rsid w:val="008056C4"/>
    <w:rPr>
      <w:sz w:val="20"/>
      <w:szCs w:val="20"/>
    </w:rPr>
  </w:style>
  <w:style w:type="character" w:styleId="EndnoteReference">
    <w:name w:val="endnote reference"/>
    <w:basedOn w:val="DefaultParagraphFont"/>
    <w:uiPriority w:val="99"/>
    <w:semiHidden/>
    <w:unhideWhenUsed/>
    <w:rsid w:val="008056C4"/>
    <w:rPr>
      <w:vertAlign w:val="superscript"/>
    </w:rPr>
  </w:style>
  <w:style w:type="character" w:customStyle="1" w:styleId="Heading2Char">
    <w:name w:val="Heading 2 Char"/>
    <w:basedOn w:val="DefaultParagraphFont"/>
    <w:link w:val="Heading2"/>
    <w:uiPriority w:val="9"/>
    <w:rsid w:val="008056C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F1B27"/>
    <w:rPr>
      <w:color w:val="0000FF"/>
      <w:u w:val="single"/>
    </w:rPr>
  </w:style>
  <w:style w:type="character" w:customStyle="1" w:styleId="Heading3Char">
    <w:name w:val="Heading 3 Char"/>
    <w:basedOn w:val="DefaultParagraphFont"/>
    <w:link w:val="Heading3"/>
    <w:uiPriority w:val="9"/>
    <w:rsid w:val="00F636B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87A0A"/>
    <w:pPr>
      <w:outlineLvl w:val="9"/>
    </w:pPr>
    <w:rPr>
      <w:lang w:val="en-US"/>
    </w:rPr>
  </w:style>
  <w:style w:type="paragraph" w:styleId="TOC1">
    <w:name w:val="toc 1"/>
    <w:basedOn w:val="Normal"/>
    <w:next w:val="Normal"/>
    <w:autoRedefine/>
    <w:uiPriority w:val="39"/>
    <w:unhideWhenUsed/>
    <w:rsid w:val="00687A0A"/>
    <w:pPr>
      <w:spacing w:after="100"/>
    </w:pPr>
  </w:style>
  <w:style w:type="paragraph" w:styleId="TOC2">
    <w:name w:val="toc 2"/>
    <w:basedOn w:val="Normal"/>
    <w:next w:val="Normal"/>
    <w:autoRedefine/>
    <w:uiPriority w:val="39"/>
    <w:unhideWhenUsed/>
    <w:rsid w:val="00687A0A"/>
    <w:pPr>
      <w:spacing w:after="100"/>
      <w:ind w:left="220"/>
    </w:pPr>
  </w:style>
  <w:style w:type="paragraph" w:styleId="TOC3">
    <w:name w:val="toc 3"/>
    <w:basedOn w:val="Normal"/>
    <w:next w:val="Normal"/>
    <w:autoRedefine/>
    <w:uiPriority w:val="39"/>
    <w:unhideWhenUsed/>
    <w:rsid w:val="00687A0A"/>
    <w:pPr>
      <w:spacing w:after="100"/>
      <w:ind w:left="440"/>
    </w:pPr>
  </w:style>
  <w:style w:type="paragraph" w:styleId="Header">
    <w:name w:val="header"/>
    <w:basedOn w:val="Normal"/>
    <w:link w:val="HeaderChar"/>
    <w:uiPriority w:val="99"/>
    <w:unhideWhenUsed/>
    <w:rsid w:val="003E6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664"/>
  </w:style>
  <w:style w:type="paragraph" w:styleId="Footer">
    <w:name w:val="footer"/>
    <w:basedOn w:val="Normal"/>
    <w:link w:val="FooterChar"/>
    <w:uiPriority w:val="99"/>
    <w:unhideWhenUsed/>
    <w:rsid w:val="003E6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664"/>
  </w:style>
  <w:style w:type="character" w:styleId="UnresolvedMention">
    <w:name w:val="Unresolved Mention"/>
    <w:basedOn w:val="DefaultParagraphFont"/>
    <w:uiPriority w:val="99"/>
    <w:semiHidden/>
    <w:unhideWhenUsed/>
    <w:rsid w:val="002212C6"/>
    <w:rPr>
      <w:color w:val="605E5C"/>
      <w:shd w:val="clear" w:color="auto" w:fill="E1DFDD"/>
    </w:rPr>
  </w:style>
  <w:style w:type="character" w:styleId="Emphasis">
    <w:name w:val="Emphasis"/>
    <w:basedOn w:val="DefaultParagraphFont"/>
    <w:uiPriority w:val="20"/>
    <w:qFormat/>
    <w:rsid w:val="00112717"/>
    <w:rPr>
      <w:i/>
      <w:iCs/>
    </w:rPr>
  </w:style>
  <w:style w:type="character" w:customStyle="1" w:styleId="ms-sitemapdirectional">
    <w:name w:val="ms-sitemapdirectional"/>
    <w:basedOn w:val="DefaultParagraphFont"/>
    <w:rsid w:val="00112717"/>
  </w:style>
  <w:style w:type="paragraph" w:customStyle="1" w:styleId="shareicon">
    <w:name w:val="shareicon"/>
    <w:basedOn w:val="Normal"/>
    <w:rsid w:val="001127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acer">
    <w:name w:val="spacer"/>
    <w:basedOn w:val="Normal"/>
    <w:rsid w:val="001127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nticon">
    <w:name w:val="printicon"/>
    <w:basedOn w:val="Normal"/>
    <w:rsid w:val="001127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sizedownicon">
    <w:name w:val="fontsizedownicon"/>
    <w:basedOn w:val="Normal"/>
    <w:rsid w:val="001127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sizeupicon">
    <w:name w:val="fontsizeupicon"/>
    <w:basedOn w:val="Normal"/>
    <w:rsid w:val="001127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sizenormalicon">
    <w:name w:val="fontsizenormalicon"/>
    <w:basedOn w:val="Normal"/>
    <w:rsid w:val="001127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sbtntext">
    <w:name w:val="rsbtn_text"/>
    <w:basedOn w:val="DefaultParagraphFont"/>
    <w:rsid w:val="00112717"/>
  </w:style>
  <w:style w:type="paragraph" w:styleId="NormalWeb">
    <w:name w:val="Normal (Web)"/>
    <w:basedOn w:val="Normal"/>
    <w:uiPriority w:val="99"/>
    <w:semiHidden/>
    <w:unhideWhenUsed/>
    <w:rsid w:val="001127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ep">
    <w:name w:val="sep"/>
    <w:basedOn w:val="DefaultParagraphFont"/>
    <w:rsid w:val="00112717"/>
  </w:style>
  <w:style w:type="character" w:customStyle="1" w:styleId="by-author">
    <w:name w:val="by-author"/>
    <w:basedOn w:val="DefaultParagraphFont"/>
    <w:rsid w:val="00112717"/>
  </w:style>
  <w:style w:type="character" w:customStyle="1" w:styleId="author">
    <w:name w:val="author"/>
    <w:basedOn w:val="DefaultParagraphFont"/>
    <w:rsid w:val="00112717"/>
  </w:style>
  <w:style w:type="character" w:styleId="Strong">
    <w:name w:val="Strong"/>
    <w:basedOn w:val="DefaultParagraphFont"/>
    <w:uiPriority w:val="22"/>
    <w:qFormat/>
    <w:rsid w:val="00112717"/>
    <w:rPr>
      <w:b/>
      <w:bCs/>
    </w:rPr>
  </w:style>
  <w:style w:type="character" w:customStyle="1" w:styleId="hdetails">
    <w:name w:val="hdetails"/>
    <w:basedOn w:val="DefaultParagraphFont"/>
    <w:rsid w:val="00123586"/>
  </w:style>
  <w:style w:type="character" w:customStyle="1" w:styleId="Heading4Char">
    <w:name w:val="Heading 4 Char"/>
    <w:basedOn w:val="DefaultParagraphFont"/>
    <w:link w:val="Heading4"/>
    <w:uiPriority w:val="9"/>
    <w:rsid w:val="00F35D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06259"/>
    <w:pPr>
      <w:ind w:left="720"/>
      <w:contextualSpacing/>
    </w:pPr>
  </w:style>
  <w:style w:type="table" w:styleId="TableGrid">
    <w:name w:val="Table Grid"/>
    <w:basedOn w:val="TableNormal"/>
    <w:uiPriority w:val="39"/>
    <w:rsid w:val="00A8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2A27"/>
    <w:rPr>
      <w:rFonts w:ascii="Times New Roman" w:eastAsia="Times New Roman" w:hAnsi="Times New Roman" w:cs="Times New Roman"/>
      <w:b/>
      <w:bCs/>
      <w:sz w:val="20"/>
      <w:szCs w:val="20"/>
      <w:lang w:eastAsia="en-AU"/>
    </w:rPr>
  </w:style>
  <w:style w:type="character" w:customStyle="1" w:styleId="postcalendar">
    <w:name w:val="postcalendar"/>
    <w:basedOn w:val="DefaultParagraphFont"/>
    <w:rsid w:val="006A529A"/>
  </w:style>
  <w:style w:type="character" w:customStyle="1" w:styleId="postauthor">
    <w:name w:val="postauthor"/>
    <w:basedOn w:val="DefaultParagraphFont"/>
    <w:rsid w:val="006A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928">
      <w:bodyDiv w:val="1"/>
      <w:marLeft w:val="0"/>
      <w:marRight w:val="0"/>
      <w:marTop w:val="0"/>
      <w:marBottom w:val="0"/>
      <w:divBdr>
        <w:top w:val="none" w:sz="0" w:space="0" w:color="auto"/>
        <w:left w:val="none" w:sz="0" w:space="0" w:color="auto"/>
        <w:bottom w:val="none" w:sz="0" w:space="0" w:color="auto"/>
        <w:right w:val="none" w:sz="0" w:space="0" w:color="auto"/>
      </w:divBdr>
      <w:divsChild>
        <w:div w:id="428501286">
          <w:marLeft w:val="480"/>
          <w:marRight w:val="0"/>
          <w:marTop w:val="0"/>
          <w:marBottom w:val="0"/>
          <w:divBdr>
            <w:top w:val="none" w:sz="0" w:space="0" w:color="auto"/>
            <w:left w:val="none" w:sz="0" w:space="0" w:color="auto"/>
            <w:bottom w:val="none" w:sz="0" w:space="0" w:color="auto"/>
            <w:right w:val="none" w:sz="0" w:space="0" w:color="auto"/>
          </w:divBdr>
        </w:div>
        <w:div w:id="1801462123">
          <w:marLeft w:val="480"/>
          <w:marRight w:val="0"/>
          <w:marTop w:val="0"/>
          <w:marBottom w:val="0"/>
          <w:divBdr>
            <w:top w:val="none" w:sz="0" w:space="0" w:color="auto"/>
            <w:left w:val="none" w:sz="0" w:space="0" w:color="auto"/>
            <w:bottom w:val="none" w:sz="0" w:space="0" w:color="auto"/>
            <w:right w:val="none" w:sz="0" w:space="0" w:color="auto"/>
          </w:divBdr>
        </w:div>
        <w:div w:id="122816839">
          <w:marLeft w:val="480"/>
          <w:marRight w:val="0"/>
          <w:marTop w:val="0"/>
          <w:marBottom w:val="0"/>
          <w:divBdr>
            <w:top w:val="none" w:sz="0" w:space="0" w:color="auto"/>
            <w:left w:val="none" w:sz="0" w:space="0" w:color="auto"/>
            <w:bottom w:val="none" w:sz="0" w:space="0" w:color="auto"/>
            <w:right w:val="none" w:sz="0" w:space="0" w:color="auto"/>
          </w:divBdr>
        </w:div>
        <w:div w:id="1981375794">
          <w:marLeft w:val="480"/>
          <w:marRight w:val="0"/>
          <w:marTop w:val="0"/>
          <w:marBottom w:val="0"/>
          <w:divBdr>
            <w:top w:val="none" w:sz="0" w:space="0" w:color="auto"/>
            <w:left w:val="none" w:sz="0" w:space="0" w:color="auto"/>
            <w:bottom w:val="none" w:sz="0" w:space="0" w:color="auto"/>
            <w:right w:val="none" w:sz="0" w:space="0" w:color="auto"/>
          </w:divBdr>
        </w:div>
        <w:div w:id="1317799727">
          <w:marLeft w:val="480"/>
          <w:marRight w:val="0"/>
          <w:marTop w:val="0"/>
          <w:marBottom w:val="0"/>
          <w:divBdr>
            <w:top w:val="none" w:sz="0" w:space="0" w:color="auto"/>
            <w:left w:val="none" w:sz="0" w:space="0" w:color="auto"/>
            <w:bottom w:val="none" w:sz="0" w:space="0" w:color="auto"/>
            <w:right w:val="none" w:sz="0" w:space="0" w:color="auto"/>
          </w:divBdr>
        </w:div>
        <w:div w:id="667758280">
          <w:marLeft w:val="480"/>
          <w:marRight w:val="0"/>
          <w:marTop w:val="0"/>
          <w:marBottom w:val="0"/>
          <w:divBdr>
            <w:top w:val="none" w:sz="0" w:space="0" w:color="auto"/>
            <w:left w:val="none" w:sz="0" w:space="0" w:color="auto"/>
            <w:bottom w:val="none" w:sz="0" w:space="0" w:color="auto"/>
            <w:right w:val="none" w:sz="0" w:space="0" w:color="auto"/>
          </w:divBdr>
        </w:div>
        <w:div w:id="1006520006">
          <w:marLeft w:val="480"/>
          <w:marRight w:val="0"/>
          <w:marTop w:val="0"/>
          <w:marBottom w:val="0"/>
          <w:divBdr>
            <w:top w:val="none" w:sz="0" w:space="0" w:color="auto"/>
            <w:left w:val="none" w:sz="0" w:space="0" w:color="auto"/>
            <w:bottom w:val="none" w:sz="0" w:space="0" w:color="auto"/>
            <w:right w:val="none" w:sz="0" w:space="0" w:color="auto"/>
          </w:divBdr>
        </w:div>
        <w:div w:id="620263945">
          <w:marLeft w:val="480"/>
          <w:marRight w:val="0"/>
          <w:marTop w:val="0"/>
          <w:marBottom w:val="0"/>
          <w:divBdr>
            <w:top w:val="none" w:sz="0" w:space="0" w:color="auto"/>
            <w:left w:val="none" w:sz="0" w:space="0" w:color="auto"/>
            <w:bottom w:val="none" w:sz="0" w:space="0" w:color="auto"/>
            <w:right w:val="none" w:sz="0" w:space="0" w:color="auto"/>
          </w:divBdr>
        </w:div>
      </w:divsChild>
    </w:div>
    <w:div w:id="42490431">
      <w:bodyDiv w:val="1"/>
      <w:marLeft w:val="0"/>
      <w:marRight w:val="0"/>
      <w:marTop w:val="0"/>
      <w:marBottom w:val="0"/>
      <w:divBdr>
        <w:top w:val="none" w:sz="0" w:space="0" w:color="auto"/>
        <w:left w:val="none" w:sz="0" w:space="0" w:color="auto"/>
        <w:bottom w:val="none" w:sz="0" w:space="0" w:color="auto"/>
        <w:right w:val="none" w:sz="0" w:space="0" w:color="auto"/>
      </w:divBdr>
    </w:div>
    <w:div w:id="141584603">
      <w:bodyDiv w:val="1"/>
      <w:marLeft w:val="0"/>
      <w:marRight w:val="0"/>
      <w:marTop w:val="0"/>
      <w:marBottom w:val="0"/>
      <w:divBdr>
        <w:top w:val="none" w:sz="0" w:space="0" w:color="auto"/>
        <w:left w:val="none" w:sz="0" w:space="0" w:color="auto"/>
        <w:bottom w:val="none" w:sz="0" w:space="0" w:color="auto"/>
        <w:right w:val="none" w:sz="0" w:space="0" w:color="auto"/>
      </w:divBdr>
    </w:div>
    <w:div w:id="164904918">
      <w:bodyDiv w:val="1"/>
      <w:marLeft w:val="0"/>
      <w:marRight w:val="0"/>
      <w:marTop w:val="0"/>
      <w:marBottom w:val="0"/>
      <w:divBdr>
        <w:top w:val="none" w:sz="0" w:space="0" w:color="auto"/>
        <w:left w:val="none" w:sz="0" w:space="0" w:color="auto"/>
        <w:bottom w:val="none" w:sz="0" w:space="0" w:color="auto"/>
        <w:right w:val="none" w:sz="0" w:space="0" w:color="auto"/>
      </w:divBdr>
    </w:div>
    <w:div w:id="204946315">
      <w:bodyDiv w:val="1"/>
      <w:marLeft w:val="0"/>
      <w:marRight w:val="0"/>
      <w:marTop w:val="0"/>
      <w:marBottom w:val="0"/>
      <w:divBdr>
        <w:top w:val="none" w:sz="0" w:space="0" w:color="auto"/>
        <w:left w:val="none" w:sz="0" w:space="0" w:color="auto"/>
        <w:bottom w:val="none" w:sz="0" w:space="0" w:color="auto"/>
        <w:right w:val="none" w:sz="0" w:space="0" w:color="auto"/>
      </w:divBdr>
    </w:div>
    <w:div w:id="307637382">
      <w:bodyDiv w:val="1"/>
      <w:marLeft w:val="0"/>
      <w:marRight w:val="0"/>
      <w:marTop w:val="0"/>
      <w:marBottom w:val="0"/>
      <w:divBdr>
        <w:top w:val="none" w:sz="0" w:space="0" w:color="auto"/>
        <w:left w:val="none" w:sz="0" w:space="0" w:color="auto"/>
        <w:bottom w:val="none" w:sz="0" w:space="0" w:color="auto"/>
        <w:right w:val="none" w:sz="0" w:space="0" w:color="auto"/>
      </w:divBdr>
    </w:div>
    <w:div w:id="318191639">
      <w:bodyDiv w:val="1"/>
      <w:marLeft w:val="0"/>
      <w:marRight w:val="0"/>
      <w:marTop w:val="0"/>
      <w:marBottom w:val="0"/>
      <w:divBdr>
        <w:top w:val="none" w:sz="0" w:space="0" w:color="auto"/>
        <w:left w:val="none" w:sz="0" w:space="0" w:color="auto"/>
        <w:bottom w:val="none" w:sz="0" w:space="0" w:color="auto"/>
        <w:right w:val="none" w:sz="0" w:space="0" w:color="auto"/>
      </w:divBdr>
    </w:div>
    <w:div w:id="372117762">
      <w:bodyDiv w:val="1"/>
      <w:marLeft w:val="0"/>
      <w:marRight w:val="0"/>
      <w:marTop w:val="0"/>
      <w:marBottom w:val="0"/>
      <w:divBdr>
        <w:top w:val="none" w:sz="0" w:space="0" w:color="auto"/>
        <w:left w:val="none" w:sz="0" w:space="0" w:color="auto"/>
        <w:bottom w:val="none" w:sz="0" w:space="0" w:color="auto"/>
        <w:right w:val="none" w:sz="0" w:space="0" w:color="auto"/>
      </w:divBdr>
    </w:div>
    <w:div w:id="381833161">
      <w:bodyDiv w:val="1"/>
      <w:marLeft w:val="0"/>
      <w:marRight w:val="0"/>
      <w:marTop w:val="0"/>
      <w:marBottom w:val="0"/>
      <w:divBdr>
        <w:top w:val="none" w:sz="0" w:space="0" w:color="auto"/>
        <w:left w:val="none" w:sz="0" w:space="0" w:color="auto"/>
        <w:bottom w:val="none" w:sz="0" w:space="0" w:color="auto"/>
        <w:right w:val="none" w:sz="0" w:space="0" w:color="auto"/>
      </w:divBdr>
      <w:divsChild>
        <w:div w:id="1387921789">
          <w:marLeft w:val="0"/>
          <w:marRight w:val="0"/>
          <w:marTop w:val="0"/>
          <w:marBottom w:val="0"/>
          <w:divBdr>
            <w:top w:val="none" w:sz="0" w:space="0" w:color="auto"/>
            <w:left w:val="none" w:sz="0" w:space="0" w:color="auto"/>
            <w:bottom w:val="none" w:sz="0" w:space="0" w:color="auto"/>
            <w:right w:val="none" w:sz="0" w:space="0" w:color="auto"/>
          </w:divBdr>
          <w:divsChild>
            <w:div w:id="16406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5389">
      <w:bodyDiv w:val="1"/>
      <w:marLeft w:val="0"/>
      <w:marRight w:val="0"/>
      <w:marTop w:val="0"/>
      <w:marBottom w:val="0"/>
      <w:divBdr>
        <w:top w:val="none" w:sz="0" w:space="0" w:color="auto"/>
        <w:left w:val="none" w:sz="0" w:space="0" w:color="auto"/>
        <w:bottom w:val="none" w:sz="0" w:space="0" w:color="auto"/>
        <w:right w:val="none" w:sz="0" w:space="0" w:color="auto"/>
      </w:divBdr>
    </w:div>
    <w:div w:id="735205249">
      <w:bodyDiv w:val="1"/>
      <w:marLeft w:val="0"/>
      <w:marRight w:val="0"/>
      <w:marTop w:val="0"/>
      <w:marBottom w:val="0"/>
      <w:divBdr>
        <w:top w:val="none" w:sz="0" w:space="0" w:color="auto"/>
        <w:left w:val="none" w:sz="0" w:space="0" w:color="auto"/>
        <w:bottom w:val="none" w:sz="0" w:space="0" w:color="auto"/>
        <w:right w:val="none" w:sz="0" w:space="0" w:color="auto"/>
      </w:divBdr>
    </w:div>
    <w:div w:id="776487750">
      <w:bodyDiv w:val="1"/>
      <w:marLeft w:val="0"/>
      <w:marRight w:val="0"/>
      <w:marTop w:val="0"/>
      <w:marBottom w:val="0"/>
      <w:divBdr>
        <w:top w:val="none" w:sz="0" w:space="0" w:color="auto"/>
        <w:left w:val="none" w:sz="0" w:space="0" w:color="auto"/>
        <w:bottom w:val="none" w:sz="0" w:space="0" w:color="auto"/>
        <w:right w:val="none" w:sz="0" w:space="0" w:color="auto"/>
      </w:divBdr>
    </w:div>
    <w:div w:id="864100277">
      <w:bodyDiv w:val="1"/>
      <w:marLeft w:val="0"/>
      <w:marRight w:val="0"/>
      <w:marTop w:val="0"/>
      <w:marBottom w:val="0"/>
      <w:divBdr>
        <w:top w:val="none" w:sz="0" w:space="0" w:color="auto"/>
        <w:left w:val="none" w:sz="0" w:space="0" w:color="auto"/>
        <w:bottom w:val="none" w:sz="0" w:space="0" w:color="auto"/>
        <w:right w:val="none" w:sz="0" w:space="0" w:color="auto"/>
      </w:divBdr>
    </w:div>
    <w:div w:id="1010259670">
      <w:bodyDiv w:val="1"/>
      <w:marLeft w:val="0"/>
      <w:marRight w:val="0"/>
      <w:marTop w:val="0"/>
      <w:marBottom w:val="0"/>
      <w:divBdr>
        <w:top w:val="none" w:sz="0" w:space="0" w:color="auto"/>
        <w:left w:val="none" w:sz="0" w:space="0" w:color="auto"/>
        <w:bottom w:val="none" w:sz="0" w:space="0" w:color="auto"/>
        <w:right w:val="none" w:sz="0" w:space="0" w:color="auto"/>
      </w:divBdr>
      <w:divsChild>
        <w:div w:id="84965770">
          <w:marLeft w:val="-225"/>
          <w:marRight w:val="-225"/>
          <w:marTop w:val="0"/>
          <w:marBottom w:val="150"/>
          <w:divBdr>
            <w:top w:val="none" w:sz="0" w:space="0" w:color="auto"/>
            <w:left w:val="none" w:sz="0" w:space="0" w:color="auto"/>
            <w:bottom w:val="none" w:sz="0" w:space="0" w:color="auto"/>
            <w:right w:val="none" w:sz="0" w:space="0" w:color="auto"/>
          </w:divBdr>
          <w:divsChild>
            <w:div w:id="667906306">
              <w:marLeft w:val="0"/>
              <w:marRight w:val="0"/>
              <w:marTop w:val="0"/>
              <w:marBottom w:val="0"/>
              <w:divBdr>
                <w:top w:val="none" w:sz="0" w:space="0" w:color="auto"/>
                <w:left w:val="none" w:sz="0" w:space="0" w:color="auto"/>
                <w:bottom w:val="none" w:sz="0" w:space="0" w:color="auto"/>
                <w:right w:val="none" w:sz="0" w:space="0" w:color="auto"/>
              </w:divBdr>
              <w:divsChild>
                <w:div w:id="852114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9153494">
          <w:marLeft w:val="-225"/>
          <w:marRight w:val="-225"/>
          <w:marTop w:val="0"/>
          <w:marBottom w:val="0"/>
          <w:divBdr>
            <w:top w:val="none" w:sz="0" w:space="0" w:color="auto"/>
            <w:left w:val="none" w:sz="0" w:space="0" w:color="auto"/>
            <w:bottom w:val="none" w:sz="0" w:space="0" w:color="auto"/>
            <w:right w:val="none" w:sz="0" w:space="0" w:color="auto"/>
          </w:divBdr>
          <w:divsChild>
            <w:div w:id="2101481242">
              <w:marLeft w:val="0"/>
              <w:marRight w:val="0"/>
              <w:marTop w:val="0"/>
              <w:marBottom w:val="0"/>
              <w:divBdr>
                <w:top w:val="single" w:sz="2" w:space="0" w:color="FFFFFF"/>
                <w:left w:val="single" w:sz="2" w:space="11" w:color="FFFFFF"/>
                <w:bottom w:val="single" w:sz="2" w:space="0" w:color="FFFFFF"/>
                <w:right w:val="single" w:sz="2" w:space="11" w:color="FFFFFF"/>
              </w:divBdr>
              <w:divsChild>
                <w:div w:id="1676762205">
                  <w:marLeft w:val="0"/>
                  <w:marRight w:val="0"/>
                  <w:marTop w:val="0"/>
                  <w:marBottom w:val="0"/>
                  <w:divBdr>
                    <w:top w:val="none" w:sz="0" w:space="0" w:color="auto"/>
                    <w:left w:val="none" w:sz="0" w:space="0" w:color="auto"/>
                    <w:bottom w:val="none" w:sz="0" w:space="0" w:color="auto"/>
                    <w:right w:val="none" w:sz="0" w:space="0" w:color="auto"/>
                  </w:divBdr>
                  <w:divsChild>
                    <w:div w:id="1988435639">
                      <w:marLeft w:val="0"/>
                      <w:marRight w:val="0"/>
                      <w:marTop w:val="75"/>
                      <w:marBottom w:val="0"/>
                      <w:divBdr>
                        <w:top w:val="none" w:sz="0" w:space="0" w:color="auto"/>
                        <w:left w:val="none" w:sz="0" w:space="0" w:color="auto"/>
                        <w:bottom w:val="none" w:sz="0" w:space="0" w:color="auto"/>
                        <w:right w:val="none" w:sz="0" w:space="0" w:color="auto"/>
                      </w:divBdr>
                      <w:divsChild>
                        <w:div w:id="1624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86224">
      <w:bodyDiv w:val="1"/>
      <w:marLeft w:val="0"/>
      <w:marRight w:val="0"/>
      <w:marTop w:val="0"/>
      <w:marBottom w:val="0"/>
      <w:divBdr>
        <w:top w:val="none" w:sz="0" w:space="0" w:color="auto"/>
        <w:left w:val="none" w:sz="0" w:space="0" w:color="auto"/>
        <w:bottom w:val="none" w:sz="0" w:space="0" w:color="auto"/>
        <w:right w:val="none" w:sz="0" w:space="0" w:color="auto"/>
      </w:divBdr>
    </w:div>
    <w:div w:id="1185941910">
      <w:bodyDiv w:val="1"/>
      <w:marLeft w:val="0"/>
      <w:marRight w:val="0"/>
      <w:marTop w:val="0"/>
      <w:marBottom w:val="0"/>
      <w:divBdr>
        <w:top w:val="none" w:sz="0" w:space="0" w:color="auto"/>
        <w:left w:val="none" w:sz="0" w:space="0" w:color="auto"/>
        <w:bottom w:val="none" w:sz="0" w:space="0" w:color="auto"/>
        <w:right w:val="none" w:sz="0" w:space="0" w:color="auto"/>
      </w:divBdr>
    </w:div>
    <w:div w:id="1320500717">
      <w:bodyDiv w:val="1"/>
      <w:marLeft w:val="0"/>
      <w:marRight w:val="0"/>
      <w:marTop w:val="0"/>
      <w:marBottom w:val="0"/>
      <w:divBdr>
        <w:top w:val="none" w:sz="0" w:space="0" w:color="auto"/>
        <w:left w:val="none" w:sz="0" w:space="0" w:color="auto"/>
        <w:bottom w:val="none" w:sz="0" w:space="0" w:color="auto"/>
        <w:right w:val="none" w:sz="0" w:space="0" w:color="auto"/>
      </w:divBdr>
    </w:div>
    <w:div w:id="1342203205">
      <w:bodyDiv w:val="1"/>
      <w:marLeft w:val="0"/>
      <w:marRight w:val="0"/>
      <w:marTop w:val="0"/>
      <w:marBottom w:val="0"/>
      <w:divBdr>
        <w:top w:val="none" w:sz="0" w:space="0" w:color="auto"/>
        <w:left w:val="none" w:sz="0" w:space="0" w:color="auto"/>
        <w:bottom w:val="none" w:sz="0" w:space="0" w:color="auto"/>
        <w:right w:val="none" w:sz="0" w:space="0" w:color="auto"/>
      </w:divBdr>
    </w:div>
    <w:div w:id="1377775962">
      <w:bodyDiv w:val="1"/>
      <w:marLeft w:val="0"/>
      <w:marRight w:val="0"/>
      <w:marTop w:val="0"/>
      <w:marBottom w:val="0"/>
      <w:divBdr>
        <w:top w:val="none" w:sz="0" w:space="0" w:color="auto"/>
        <w:left w:val="none" w:sz="0" w:space="0" w:color="auto"/>
        <w:bottom w:val="none" w:sz="0" w:space="0" w:color="auto"/>
        <w:right w:val="none" w:sz="0" w:space="0" w:color="auto"/>
      </w:divBdr>
    </w:div>
    <w:div w:id="1434201420">
      <w:bodyDiv w:val="1"/>
      <w:marLeft w:val="0"/>
      <w:marRight w:val="0"/>
      <w:marTop w:val="0"/>
      <w:marBottom w:val="0"/>
      <w:divBdr>
        <w:top w:val="none" w:sz="0" w:space="0" w:color="auto"/>
        <w:left w:val="none" w:sz="0" w:space="0" w:color="auto"/>
        <w:bottom w:val="none" w:sz="0" w:space="0" w:color="auto"/>
        <w:right w:val="none" w:sz="0" w:space="0" w:color="auto"/>
      </w:divBdr>
    </w:div>
    <w:div w:id="1451821278">
      <w:bodyDiv w:val="1"/>
      <w:marLeft w:val="0"/>
      <w:marRight w:val="0"/>
      <w:marTop w:val="0"/>
      <w:marBottom w:val="0"/>
      <w:divBdr>
        <w:top w:val="none" w:sz="0" w:space="0" w:color="auto"/>
        <w:left w:val="none" w:sz="0" w:space="0" w:color="auto"/>
        <w:bottom w:val="none" w:sz="0" w:space="0" w:color="auto"/>
        <w:right w:val="none" w:sz="0" w:space="0" w:color="auto"/>
      </w:divBdr>
    </w:div>
    <w:div w:id="1745495007">
      <w:bodyDiv w:val="1"/>
      <w:marLeft w:val="0"/>
      <w:marRight w:val="0"/>
      <w:marTop w:val="0"/>
      <w:marBottom w:val="0"/>
      <w:divBdr>
        <w:top w:val="none" w:sz="0" w:space="0" w:color="auto"/>
        <w:left w:val="none" w:sz="0" w:space="0" w:color="auto"/>
        <w:bottom w:val="none" w:sz="0" w:space="0" w:color="auto"/>
        <w:right w:val="none" w:sz="0" w:space="0" w:color="auto"/>
      </w:divBdr>
    </w:div>
    <w:div w:id="1750154842">
      <w:bodyDiv w:val="1"/>
      <w:marLeft w:val="0"/>
      <w:marRight w:val="0"/>
      <w:marTop w:val="0"/>
      <w:marBottom w:val="0"/>
      <w:divBdr>
        <w:top w:val="none" w:sz="0" w:space="0" w:color="auto"/>
        <w:left w:val="none" w:sz="0" w:space="0" w:color="auto"/>
        <w:bottom w:val="none" w:sz="0" w:space="0" w:color="auto"/>
        <w:right w:val="none" w:sz="0" w:space="0" w:color="auto"/>
      </w:divBdr>
      <w:divsChild>
        <w:div w:id="359668779">
          <w:marLeft w:val="0"/>
          <w:marRight w:val="0"/>
          <w:marTop w:val="0"/>
          <w:marBottom w:val="0"/>
          <w:divBdr>
            <w:top w:val="none" w:sz="0" w:space="0" w:color="auto"/>
            <w:left w:val="none" w:sz="0" w:space="0" w:color="auto"/>
            <w:bottom w:val="none" w:sz="0" w:space="0" w:color="auto"/>
            <w:right w:val="none" w:sz="0" w:space="0" w:color="auto"/>
          </w:divBdr>
        </w:div>
        <w:div w:id="1065448919">
          <w:marLeft w:val="0"/>
          <w:marRight w:val="0"/>
          <w:marTop w:val="0"/>
          <w:marBottom w:val="0"/>
          <w:divBdr>
            <w:top w:val="none" w:sz="0" w:space="0" w:color="auto"/>
            <w:left w:val="none" w:sz="0" w:space="0" w:color="auto"/>
            <w:bottom w:val="none" w:sz="0" w:space="0" w:color="auto"/>
            <w:right w:val="none" w:sz="0" w:space="0" w:color="auto"/>
          </w:divBdr>
        </w:div>
      </w:divsChild>
    </w:div>
    <w:div w:id="1780025635">
      <w:bodyDiv w:val="1"/>
      <w:marLeft w:val="0"/>
      <w:marRight w:val="0"/>
      <w:marTop w:val="0"/>
      <w:marBottom w:val="0"/>
      <w:divBdr>
        <w:top w:val="none" w:sz="0" w:space="0" w:color="auto"/>
        <w:left w:val="none" w:sz="0" w:space="0" w:color="auto"/>
        <w:bottom w:val="none" w:sz="0" w:space="0" w:color="auto"/>
        <w:right w:val="none" w:sz="0" w:space="0" w:color="auto"/>
      </w:divBdr>
    </w:div>
    <w:div w:id="1798720020">
      <w:bodyDiv w:val="1"/>
      <w:marLeft w:val="0"/>
      <w:marRight w:val="0"/>
      <w:marTop w:val="0"/>
      <w:marBottom w:val="0"/>
      <w:divBdr>
        <w:top w:val="none" w:sz="0" w:space="0" w:color="auto"/>
        <w:left w:val="none" w:sz="0" w:space="0" w:color="auto"/>
        <w:bottom w:val="none" w:sz="0" w:space="0" w:color="auto"/>
        <w:right w:val="none" w:sz="0" w:space="0" w:color="auto"/>
      </w:divBdr>
      <w:divsChild>
        <w:div w:id="1658067702">
          <w:marLeft w:val="960"/>
          <w:marRight w:val="0"/>
          <w:marTop w:val="0"/>
          <w:marBottom w:val="0"/>
          <w:divBdr>
            <w:top w:val="none" w:sz="0" w:space="0" w:color="auto"/>
            <w:left w:val="none" w:sz="0" w:space="0" w:color="auto"/>
            <w:bottom w:val="none" w:sz="0" w:space="0" w:color="auto"/>
            <w:right w:val="none" w:sz="0" w:space="0" w:color="auto"/>
          </w:divBdr>
        </w:div>
      </w:divsChild>
    </w:div>
    <w:div w:id="1846705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3537">
          <w:marLeft w:val="0"/>
          <w:marRight w:val="0"/>
          <w:marTop w:val="0"/>
          <w:marBottom w:val="0"/>
          <w:divBdr>
            <w:top w:val="none" w:sz="0" w:space="0" w:color="auto"/>
            <w:left w:val="none" w:sz="0" w:space="0" w:color="auto"/>
            <w:bottom w:val="none" w:sz="0" w:space="0" w:color="auto"/>
            <w:right w:val="none" w:sz="0" w:space="0" w:color="auto"/>
          </w:divBdr>
          <w:divsChild>
            <w:div w:id="16601163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3322295">
      <w:bodyDiv w:val="1"/>
      <w:marLeft w:val="0"/>
      <w:marRight w:val="0"/>
      <w:marTop w:val="0"/>
      <w:marBottom w:val="0"/>
      <w:divBdr>
        <w:top w:val="none" w:sz="0" w:space="0" w:color="auto"/>
        <w:left w:val="none" w:sz="0" w:space="0" w:color="auto"/>
        <w:bottom w:val="none" w:sz="0" w:space="0" w:color="auto"/>
        <w:right w:val="none" w:sz="0" w:space="0" w:color="auto"/>
      </w:divBdr>
    </w:div>
    <w:div w:id="1864242131">
      <w:bodyDiv w:val="1"/>
      <w:marLeft w:val="0"/>
      <w:marRight w:val="0"/>
      <w:marTop w:val="0"/>
      <w:marBottom w:val="0"/>
      <w:divBdr>
        <w:top w:val="none" w:sz="0" w:space="0" w:color="auto"/>
        <w:left w:val="none" w:sz="0" w:space="0" w:color="auto"/>
        <w:bottom w:val="none" w:sz="0" w:space="0" w:color="auto"/>
        <w:right w:val="none" w:sz="0" w:space="0" w:color="auto"/>
      </w:divBdr>
    </w:div>
    <w:div w:id="1902131084">
      <w:bodyDiv w:val="1"/>
      <w:marLeft w:val="0"/>
      <w:marRight w:val="0"/>
      <w:marTop w:val="0"/>
      <w:marBottom w:val="0"/>
      <w:divBdr>
        <w:top w:val="none" w:sz="0" w:space="0" w:color="auto"/>
        <w:left w:val="none" w:sz="0" w:space="0" w:color="auto"/>
        <w:bottom w:val="none" w:sz="0" w:space="0" w:color="auto"/>
        <w:right w:val="none" w:sz="0" w:space="0" w:color="auto"/>
      </w:divBdr>
    </w:div>
    <w:div w:id="1967274836">
      <w:bodyDiv w:val="1"/>
      <w:marLeft w:val="0"/>
      <w:marRight w:val="0"/>
      <w:marTop w:val="0"/>
      <w:marBottom w:val="0"/>
      <w:divBdr>
        <w:top w:val="none" w:sz="0" w:space="0" w:color="auto"/>
        <w:left w:val="none" w:sz="0" w:space="0" w:color="auto"/>
        <w:bottom w:val="none" w:sz="0" w:space="0" w:color="auto"/>
        <w:right w:val="none" w:sz="0" w:space="0" w:color="auto"/>
      </w:divBdr>
    </w:div>
    <w:div w:id="1976179625">
      <w:bodyDiv w:val="1"/>
      <w:marLeft w:val="0"/>
      <w:marRight w:val="0"/>
      <w:marTop w:val="0"/>
      <w:marBottom w:val="0"/>
      <w:divBdr>
        <w:top w:val="none" w:sz="0" w:space="0" w:color="auto"/>
        <w:left w:val="none" w:sz="0" w:space="0" w:color="auto"/>
        <w:bottom w:val="none" w:sz="0" w:space="0" w:color="auto"/>
        <w:right w:val="none" w:sz="0" w:space="0" w:color="auto"/>
      </w:divBdr>
    </w:div>
    <w:div w:id="1984389176">
      <w:bodyDiv w:val="1"/>
      <w:marLeft w:val="0"/>
      <w:marRight w:val="0"/>
      <w:marTop w:val="0"/>
      <w:marBottom w:val="0"/>
      <w:divBdr>
        <w:top w:val="none" w:sz="0" w:space="0" w:color="auto"/>
        <w:left w:val="none" w:sz="0" w:space="0" w:color="auto"/>
        <w:bottom w:val="none" w:sz="0" w:space="0" w:color="auto"/>
        <w:right w:val="none" w:sz="0" w:space="0" w:color="auto"/>
      </w:divBdr>
    </w:div>
    <w:div w:id="2099710447">
      <w:bodyDiv w:val="1"/>
      <w:marLeft w:val="0"/>
      <w:marRight w:val="0"/>
      <w:marTop w:val="0"/>
      <w:marBottom w:val="0"/>
      <w:divBdr>
        <w:top w:val="none" w:sz="0" w:space="0" w:color="auto"/>
        <w:left w:val="none" w:sz="0" w:space="0" w:color="auto"/>
        <w:bottom w:val="none" w:sz="0" w:space="0" w:color="auto"/>
        <w:right w:val="none" w:sz="0" w:space="0" w:color="auto"/>
      </w:divBdr>
    </w:div>
    <w:div w:id="2114936686">
      <w:bodyDiv w:val="1"/>
      <w:marLeft w:val="0"/>
      <w:marRight w:val="0"/>
      <w:marTop w:val="0"/>
      <w:marBottom w:val="0"/>
      <w:divBdr>
        <w:top w:val="none" w:sz="0" w:space="0" w:color="auto"/>
        <w:left w:val="none" w:sz="0" w:space="0" w:color="auto"/>
        <w:bottom w:val="none" w:sz="0" w:space="0" w:color="auto"/>
        <w:right w:val="none" w:sz="0" w:space="0" w:color="auto"/>
      </w:divBdr>
    </w:div>
    <w:div w:id="2117096884">
      <w:bodyDiv w:val="1"/>
      <w:marLeft w:val="0"/>
      <w:marRight w:val="0"/>
      <w:marTop w:val="0"/>
      <w:marBottom w:val="0"/>
      <w:divBdr>
        <w:top w:val="none" w:sz="0" w:space="0" w:color="auto"/>
        <w:left w:val="none" w:sz="0" w:space="0" w:color="auto"/>
        <w:bottom w:val="none" w:sz="0" w:space="0" w:color="auto"/>
        <w:right w:val="none" w:sz="0" w:space="0" w:color="auto"/>
      </w:divBdr>
    </w:div>
    <w:div w:id="2119058967">
      <w:bodyDiv w:val="1"/>
      <w:marLeft w:val="0"/>
      <w:marRight w:val="0"/>
      <w:marTop w:val="0"/>
      <w:marBottom w:val="0"/>
      <w:divBdr>
        <w:top w:val="none" w:sz="0" w:space="0" w:color="auto"/>
        <w:left w:val="none" w:sz="0" w:space="0" w:color="auto"/>
        <w:bottom w:val="none" w:sz="0" w:space="0" w:color="auto"/>
        <w:right w:val="none" w:sz="0" w:space="0" w:color="auto"/>
      </w:divBdr>
    </w:div>
    <w:div w:id="21308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meanjin.com.au/essays/reforming-australian-federal-democracy/" TargetMode="External"/><Relationship Id="rId13" Type="http://schemas.openxmlformats.org/officeDocument/2006/relationships/hyperlink" Target="http://classic.austlii.edu.au/au/journals/MelbULawRw/2015/22.html" TargetMode="External"/><Relationship Id="rId18" Type="http://schemas.openxmlformats.org/officeDocument/2006/relationships/hyperlink" Target="http://www.austlii.edu.au/au/journals/FedJSchol/2003/3.html" TargetMode="External"/><Relationship Id="rId3" Type="http://schemas.openxmlformats.org/officeDocument/2006/relationships/hyperlink" Target="https://www.smh.com.au/federal-election-2019/labor-s-childcare-wages-plan-to-cost-at-least-1-6-billion-a-year-20190501-p51j1n.html" TargetMode="External"/><Relationship Id="rId21" Type="http://schemas.openxmlformats.org/officeDocument/2006/relationships/hyperlink" Target="https://www.smh.com.au/national/turnbull-warns-australian-voters-conservative-on-constitutional-change-20170527-gwegxt.html" TargetMode="External"/><Relationship Id="rId7" Type="http://schemas.openxmlformats.org/officeDocument/2006/relationships/hyperlink" Target="https://www.themandarin.com.au/64341-happened-federalism-white-paper/" TargetMode="External"/><Relationship Id="rId12" Type="http://schemas.openxmlformats.org/officeDocument/2006/relationships/hyperlink" Target="https://www.aph.gov.au/sitecore/content/Home/About_Parliament/Senate/Powers_practice_n_procedures/pops/pop60/c07" TargetMode="External"/><Relationship Id="rId17" Type="http://schemas.openxmlformats.org/officeDocument/2006/relationships/hyperlink" Target="http://www.austlii.edu.au/au/journals/MelbULawRw/2018/12.html" TargetMode="External"/><Relationship Id="rId2" Type="http://schemas.openxmlformats.org/officeDocument/2006/relationships/hyperlink" Target="https://www.standard.net.au/story/6022930/united-australia-party-candidate-pledges-tax-breaks-for-south-west-residents/" TargetMode="External"/><Relationship Id="rId16" Type="http://schemas.openxmlformats.org/officeDocument/2006/relationships/hyperlink" Target="http://www.hcourt.gov.au/assets/publications/speeches/current-justices/gagelerj/GagelerJ_Stellios_Coper_Ch_01.pdf" TargetMode="External"/><Relationship Id="rId20" Type="http://schemas.openxmlformats.org/officeDocument/2006/relationships/hyperlink" Target="http://classic.austlii.edu.au/au/legis/cth/consol_act/coaca430/s128.html" TargetMode="External"/><Relationship Id="rId1" Type="http://schemas.openxmlformats.org/officeDocument/2006/relationships/hyperlink" Target="https://www.smh.com.au/federal-election-2019/voters-choice-a-fast-track-to-change-or-the-status-quo-20190510-p51m6t.html" TargetMode="External"/><Relationship Id="rId6" Type="http://schemas.openxmlformats.org/officeDocument/2006/relationships/hyperlink" Target="https://www.thejadebeagle.com/submission-to-aps-review-2019.html" TargetMode="External"/><Relationship Id="rId11" Type="http://schemas.openxmlformats.org/officeDocument/2006/relationships/hyperlink" Target="https://contribute.apsreview.gov.au/submissions" TargetMode="External"/><Relationship Id="rId5" Type="http://schemas.openxmlformats.org/officeDocument/2006/relationships/hyperlink" Target="https://www.portnews.com.au/story/6115769/pm-makes-a-45-million-tidal-pool-promise/" TargetMode="External"/><Relationship Id="rId15" Type="http://schemas.openxmlformats.org/officeDocument/2006/relationships/hyperlink" Target="http://classic.austlii.edu.au/au/journals/UTasLawRw/2015/13.html" TargetMode="External"/><Relationship Id="rId10" Type="http://schemas.openxmlformats.org/officeDocument/2006/relationships/hyperlink" Target="https://www.thejadebeagle.com/governance.html" TargetMode="External"/><Relationship Id="rId19" Type="http://schemas.openxmlformats.org/officeDocument/2006/relationships/hyperlink" Target="https://www.aec.gov.au/elections/referendums/Referendum_Dates_and_Results.htm" TargetMode="External"/><Relationship Id="rId4" Type="http://schemas.openxmlformats.org/officeDocument/2006/relationships/hyperlink" Target="https://www.ags.gov.au/publications/express-law/el101.pdf" TargetMode="External"/><Relationship Id="rId9" Type="http://schemas.openxmlformats.org/officeDocument/2006/relationships/hyperlink" Target="https://www.ncoa.gov.au/sites/g/files/net4136/f/phase_one_report.pdf" TargetMode="External"/><Relationship Id="rId14" Type="http://schemas.openxmlformats.org/officeDocument/2006/relationships/hyperlink" Target="https://papers.ssrn.com/sol3/papers.cfm?abstract_id=2874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F205-FCEC-4C9C-82D6-E58E3673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13</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43</cp:revision>
  <dcterms:created xsi:type="dcterms:W3CDTF">2019-07-16T01:48:00Z</dcterms:created>
  <dcterms:modified xsi:type="dcterms:W3CDTF">2019-07-29T02:46:00Z</dcterms:modified>
</cp:coreProperties>
</file>