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AU"/>
        </w:rPr>
        <w:id w:val="2144690254"/>
        <w:docPartObj>
          <w:docPartGallery w:val="Table of Contents"/>
          <w:docPartUnique/>
        </w:docPartObj>
      </w:sdtPr>
      <w:sdtEndPr>
        <w:rPr>
          <w:b/>
          <w:bCs/>
          <w:noProof/>
        </w:rPr>
      </w:sdtEndPr>
      <w:sdtContent>
        <w:p w14:paraId="75CF7E6A" w14:textId="218329E4" w:rsidR="00400B59" w:rsidRDefault="00400B59">
          <w:pPr>
            <w:pStyle w:val="TOCHeading"/>
          </w:pPr>
          <w:r>
            <w:t>Contents</w:t>
          </w:r>
        </w:p>
        <w:p w14:paraId="53DB8989" w14:textId="5EAB740B" w:rsidR="00695ABA" w:rsidRDefault="00400B5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1796186" w:history="1">
            <w:r w:rsidR="00695ABA" w:rsidRPr="008A6613">
              <w:rPr>
                <w:rStyle w:val="Hyperlink"/>
                <w:noProof/>
              </w:rPr>
              <w:t>Facts and minds</w:t>
            </w:r>
            <w:r w:rsidR="00695ABA">
              <w:rPr>
                <w:noProof/>
                <w:webHidden/>
              </w:rPr>
              <w:tab/>
            </w:r>
            <w:r w:rsidR="00695ABA">
              <w:rPr>
                <w:noProof/>
                <w:webHidden/>
              </w:rPr>
              <w:fldChar w:fldCharType="begin"/>
            </w:r>
            <w:r w:rsidR="00695ABA">
              <w:rPr>
                <w:noProof/>
                <w:webHidden/>
              </w:rPr>
              <w:instrText xml:space="preserve"> PAGEREF _Toc71796186 \h </w:instrText>
            </w:r>
            <w:r w:rsidR="00695ABA">
              <w:rPr>
                <w:noProof/>
                <w:webHidden/>
              </w:rPr>
            </w:r>
            <w:r w:rsidR="00695ABA">
              <w:rPr>
                <w:noProof/>
                <w:webHidden/>
              </w:rPr>
              <w:fldChar w:fldCharType="separate"/>
            </w:r>
            <w:r w:rsidR="00695ABA">
              <w:rPr>
                <w:noProof/>
                <w:webHidden/>
              </w:rPr>
              <w:t>2</w:t>
            </w:r>
            <w:r w:rsidR="00695ABA">
              <w:rPr>
                <w:noProof/>
                <w:webHidden/>
              </w:rPr>
              <w:fldChar w:fldCharType="end"/>
            </w:r>
          </w:hyperlink>
        </w:p>
        <w:p w14:paraId="28383E10" w14:textId="33098516" w:rsidR="00695ABA" w:rsidRDefault="00D92B15">
          <w:pPr>
            <w:pStyle w:val="TOC2"/>
            <w:tabs>
              <w:tab w:val="left" w:pos="660"/>
              <w:tab w:val="right" w:leader="dot" w:pos="9016"/>
            </w:tabs>
            <w:rPr>
              <w:rFonts w:eastAsiaTheme="minorEastAsia"/>
              <w:noProof/>
              <w:lang w:eastAsia="en-AU"/>
            </w:rPr>
          </w:pPr>
          <w:hyperlink w:anchor="_Toc71796187" w:history="1">
            <w:r w:rsidR="00695ABA" w:rsidRPr="008A6613">
              <w:rPr>
                <w:rStyle w:val="Hyperlink"/>
                <w:noProof/>
              </w:rPr>
              <w:t>1.</w:t>
            </w:r>
            <w:r w:rsidR="00695ABA">
              <w:rPr>
                <w:rFonts w:eastAsiaTheme="minorEastAsia"/>
                <w:noProof/>
                <w:lang w:eastAsia="en-AU"/>
              </w:rPr>
              <w:tab/>
            </w:r>
            <w:r w:rsidR="00695ABA" w:rsidRPr="008A6613">
              <w:rPr>
                <w:rStyle w:val="Hyperlink"/>
                <w:noProof/>
              </w:rPr>
              <w:t>Introduction</w:t>
            </w:r>
            <w:r w:rsidR="00695ABA">
              <w:rPr>
                <w:noProof/>
                <w:webHidden/>
              </w:rPr>
              <w:tab/>
            </w:r>
            <w:r w:rsidR="00695ABA">
              <w:rPr>
                <w:noProof/>
                <w:webHidden/>
              </w:rPr>
              <w:fldChar w:fldCharType="begin"/>
            </w:r>
            <w:r w:rsidR="00695ABA">
              <w:rPr>
                <w:noProof/>
                <w:webHidden/>
              </w:rPr>
              <w:instrText xml:space="preserve"> PAGEREF _Toc71796187 \h </w:instrText>
            </w:r>
            <w:r w:rsidR="00695ABA">
              <w:rPr>
                <w:noProof/>
                <w:webHidden/>
              </w:rPr>
            </w:r>
            <w:r w:rsidR="00695ABA">
              <w:rPr>
                <w:noProof/>
                <w:webHidden/>
              </w:rPr>
              <w:fldChar w:fldCharType="separate"/>
            </w:r>
            <w:r w:rsidR="00695ABA">
              <w:rPr>
                <w:noProof/>
                <w:webHidden/>
              </w:rPr>
              <w:t>2</w:t>
            </w:r>
            <w:r w:rsidR="00695ABA">
              <w:rPr>
                <w:noProof/>
                <w:webHidden/>
              </w:rPr>
              <w:fldChar w:fldCharType="end"/>
            </w:r>
          </w:hyperlink>
        </w:p>
        <w:p w14:paraId="10B1B7DE" w14:textId="61D0BB13" w:rsidR="00695ABA" w:rsidRDefault="00D92B15">
          <w:pPr>
            <w:pStyle w:val="TOC2"/>
            <w:tabs>
              <w:tab w:val="left" w:pos="660"/>
              <w:tab w:val="right" w:leader="dot" w:pos="9016"/>
            </w:tabs>
            <w:rPr>
              <w:rFonts w:eastAsiaTheme="minorEastAsia"/>
              <w:noProof/>
              <w:lang w:eastAsia="en-AU"/>
            </w:rPr>
          </w:pPr>
          <w:hyperlink w:anchor="_Toc71796188" w:history="1">
            <w:r w:rsidR="00695ABA" w:rsidRPr="008A6613">
              <w:rPr>
                <w:rStyle w:val="Hyperlink"/>
                <w:noProof/>
              </w:rPr>
              <w:t>2.</w:t>
            </w:r>
            <w:r w:rsidR="00695ABA">
              <w:rPr>
                <w:rFonts w:eastAsiaTheme="minorEastAsia"/>
                <w:noProof/>
                <w:lang w:eastAsia="en-AU"/>
              </w:rPr>
              <w:tab/>
            </w:r>
            <w:r w:rsidR="00695ABA" w:rsidRPr="008A6613">
              <w:rPr>
                <w:rStyle w:val="Hyperlink"/>
                <w:noProof/>
              </w:rPr>
              <w:t>Road spending and revenue</w:t>
            </w:r>
            <w:r w:rsidR="00695ABA">
              <w:rPr>
                <w:noProof/>
                <w:webHidden/>
              </w:rPr>
              <w:tab/>
            </w:r>
            <w:r w:rsidR="00695ABA">
              <w:rPr>
                <w:noProof/>
                <w:webHidden/>
              </w:rPr>
              <w:fldChar w:fldCharType="begin"/>
            </w:r>
            <w:r w:rsidR="00695ABA">
              <w:rPr>
                <w:noProof/>
                <w:webHidden/>
              </w:rPr>
              <w:instrText xml:space="preserve"> PAGEREF _Toc71796188 \h </w:instrText>
            </w:r>
            <w:r w:rsidR="00695ABA">
              <w:rPr>
                <w:noProof/>
                <w:webHidden/>
              </w:rPr>
            </w:r>
            <w:r w:rsidR="00695ABA">
              <w:rPr>
                <w:noProof/>
                <w:webHidden/>
              </w:rPr>
              <w:fldChar w:fldCharType="separate"/>
            </w:r>
            <w:r w:rsidR="00695ABA">
              <w:rPr>
                <w:noProof/>
                <w:webHidden/>
              </w:rPr>
              <w:t>2</w:t>
            </w:r>
            <w:r w:rsidR="00695ABA">
              <w:rPr>
                <w:noProof/>
                <w:webHidden/>
              </w:rPr>
              <w:fldChar w:fldCharType="end"/>
            </w:r>
          </w:hyperlink>
        </w:p>
        <w:p w14:paraId="0CE78124" w14:textId="2E2777D0" w:rsidR="00695ABA" w:rsidRDefault="00D92B15">
          <w:pPr>
            <w:pStyle w:val="TOC2"/>
            <w:tabs>
              <w:tab w:val="left" w:pos="660"/>
              <w:tab w:val="right" w:leader="dot" w:pos="9016"/>
            </w:tabs>
            <w:rPr>
              <w:rFonts w:eastAsiaTheme="minorEastAsia"/>
              <w:noProof/>
              <w:lang w:eastAsia="en-AU"/>
            </w:rPr>
          </w:pPr>
          <w:hyperlink w:anchor="_Toc71796189" w:history="1">
            <w:r w:rsidR="00695ABA" w:rsidRPr="008A6613">
              <w:rPr>
                <w:rStyle w:val="Hyperlink"/>
                <w:noProof/>
              </w:rPr>
              <w:t>3.</w:t>
            </w:r>
            <w:r w:rsidR="00695ABA">
              <w:rPr>
                <w:rFonts w:eastAsiaTheme="minorEastAsia"/>
                <w:noProof/>
                <w:lang w:eastAsia="en-AU"/>
              </w:rPr>
              <w:tab/>
            </w:r>
            <w:r w:rsidR="00695ABA" w:rsidRPr="008A6613">
              <w:rPr>
                <w:rStyle w:val="Hyperlink"/>
                <w:noProof/>
              </w:rPr>
              <w:t>Fossil fuel subsidies?</w:t>
            </w:r>
            <w:r w:rsidR="00695ABA">
              <w:rPr>
                <w:noProof/>
                <w:webHidden/>
              </w:rPr>
              <w:tab/>
            </w:r>
            <w:r w:rsidR="00695ABA">
              <w:rPr>
                <w:noProof/>
                <w:webHidden/>
              </w:rPr>
              <w:fldChar w:fldCharType="begin"/>
            </w:r>
            <w:r w:rsidR="00695ABA">
              <w:rPr>
                <w:noProof/>
                <w:webHidden/>
              </w:rPr>
              <w:instrText xml:space="preserve"> PAGEREF _Toc71796189 \h </w:instrText>
            </w:r>
            <w:r w:rsidR="00695ABA">
              <w:rPr>
                <w:noProof/>
                <w:webHidden/>
              </w:rPr>
            </w:r>
            <w:r w:rsidR="00695ABA">
              <w:rPr>
                <w:noProof/>
                <w:webHidden/>
              </w:rPr>
              <w:fldChar w:fldCharType="separate"/>
            </w:r>
            <w:r w:rsidR="00695ABA">
              <w:rPr>
                <w:noProof/>
                <w:webHidden/>
              </w:rPr>
              <w:t>3</w:t>
            </w:r>
            <w:r w:rsidR="00695ABA">
              <w:rPr>
                <w:noProof/>
                <w:webHidden/>
              </w:rPr>
              <w:fldChar w:fldCharType="end"/>
            </w:r>
          </w:hyperlink>
        </w:p>
        <w:p w14:paraId="2851EC1D" w14:textId="4DD03675" w:rsidR="00695ABA" w:rsidRDefault="00D92B15">
          <w:pPr>
            <w:pStyle w:val="TOC3"/>
            <w:tabs>
              <w:tab w:val="left" w:pos="1100"/>
              <w:tab w:val="right" w:leader="dot" w:pos="9016"/>
            </w:tabs>
            <w:rPr>
              <w:rFonts w:eastAsiaTheme="minorEastAsia"/>
              <w:noProof/>
              <w:lang w:eastAsia="en-AU"/>
            </w:rPr>
          </w:pPr>
          <w:hyperlink w:anchor="_Toc71796190" w:history="1">
            <w:r w:rsidR="00695ABA" w:rsidRPr="008A6613">
              <w:rPr>
                <w:rStyle w:val="Hyperlink"/>
                <w:noProof/>
              </w:rPr>
              <w:t>3.1</w:t>
            </w:r>
            <w:r w:rsidR="00695ABA">
              <w:rPr>
                <w:rFonts w:eastAsiaTheme="minorEastAsia"/>
                <w:noProof/>
                <w:lang w:eastAsia="en-AU"/>
              </w:rPr>
              <w:tab/>
            </w:r>
            <w:r w:rsidR="00695ABA" w:rsidRPr="008A6613">
              <w:rPr>
                <w:rStyle w:val="Hyperlink"/>
                <w:noProof/>
              </w:rPr>
              <w:t>Introduction</w:t>
            </w:r>
            <w:r w:rsidR="00695ABA">
              <w:rPr>
                <w:noProof/>
                <w:webHidden/>
              </w:rPr>
              <w:tab/>
            </w:r>
            <w:r w:rsidR="00695ABA">
              <w:rPr>
                <w:noProof/>
                <w:webHidden/>
              </w:rPr>
              <w:fldChar w:fldCharType="begin"/>
            </w:r>
            <w:r w:rsidR="00695ABA">
              <w:rPr>
                <w:noProof/>
                <w:webHidden/>
              </w:rPr>
              <w:instrText xml:space="preserve"> PAGEREF _Toc71796190 \h </w:instrText>
            </w:r>
            <w:r w:rsidR="00695ABA">
              <w:rPr>
                <w:noProof/>
                <w:webHidden/>
              </w:rPr>
            </w:r>
            <w:r w:rsidR="00695ABA">
              <w:rPr>
                <w:noProof/>
                <w:webHidden/>
              </w:rPr>
              <w:fldChar w:fldCharType="separate"/>
            </w:r>
            <w:r w:rsidR="00695ABA">
              <w:rPr>
                <w:noProof/>
                <w:webHidden/>
              </w:rPr>
              <w:t>3</w:t>
            </w:r>
            <w:r w:rsidR="00695ABA">
              <w:rPr>
                <w:noProof/>
                <w:webHidden/>
              </w:rPr>
              <w:fldChar w:fldCharType="end"/>
            </w:r>
          </w:hyperlink>
        </w:p>
        <w:p w14:paraId="69DBEA8D" w14:textId="50AF8166" w:rsidR="00695ABA" w:rsidRDefault="00D92B15">
          <w:pPr>
            <w:pStyle w:val="TOC3"/>
            <w:tabs>
              <w:tab w:val="left" w:pos="1100"/>
              <w:tab w:val="right" w:leader="dot" w:pos="9016"/>
            </w:tabs>
            <w:rPr>
              <w:rFonts w:eastAsiaTheme="minorEastAsia"/>
              <w:noProof/>
              <w:lang w:eastAsia="en-AU"/>
            </w:rPr>
          </w:pPr>
          <w:hyperlink w:anchor="_Toc71796191" w:history="1">
            <w:r w:rsidR="00695ABA" w:rsidRPr="008A6613">
              <w:rPr>
                <w:rStyle w:val="Hyperlink"/>
                <w:noProof/>
              </w:rPr>
              <w:t>3.2</w:t>
            </w:r>
            <w:r w:rsidR="00695ABA">
              <w:rPr>
                <w:rFonts w:eastAsiaTheme="minorEastAsia"/>
                <w:noProof/>
                <w:lang w:eastAsia="en-AU"/>
              </w:rPr>
              <w:tab/>
            </w:r>
            <w:r w:rsidR="00695ABA" w:rsidRPr="008A6613">
              <w:rPr>
                <w:rStyle w:val="Hyperlink"/>
                <w:noProof/>
              </w:rPr>
              <w:t>Some cited research</w:t>
            </w:r>
            <w:r w:rsidR="00695ABA">
              <w:rPr>
                <w:noProof/>
                <w:webHidden/>
              </w:rPr>
              <w:tab/>
            </w:r>
            <w:r w:rsidR="00695ABA">
              <w:rPr>
                <w:noProof/>
                <w:webHidden/>
              </w:rPr>
              <w:fldChar w:fldCharType="begin"/>
            </w:r>
            <w:r w:rsidR="00695ABA">
              <w:rPr>
                <w:noProof/>
                <w:webHidden/>
              </w:rPr>
              <w:instrText xml:space="preserve"> PAGEREF _Toc71796191 \h </w:instrText>
            </w:r>
            <w:r w:rsidR="00695ABA">
              <w:rPr>
                <w:noProof/>
                <w:webHidden/>
              </w:rPr>
            </w:r>
            <w:r w:rsidR="00695ABA">
              <w:rPr>
                <w:noProof/>
                <w:webHidden/>
              </w:rPr>
              <w:fldChar w:fldCharType="separate"/>
            </w:r>
            <w:r w:rsidR="00695ABA">
              <w:rPr>
                <w:noProof/>
                <w:webHidden/>
              </w:rPr>
              <w:t>4</w:t>
            </w:r>
            <w:r w:rsidR="00695ABA">
              <w:rPr>
                <w:noProof/>
                <w:webHidden/>
              </w:rPr>
              <w:fldChar w:fldCharType="end"/>
            </w:r>
          </w:hyperlink>
        </w:p>
        <w:p w14:paraId="34C21125" w14:textId="35F2481B" w:rsidR="00695ABA" w:rsidRDefault="00D92B15">
          <w:pPr>
            <w:pStyle w:val="TOC3"/>
            <w:tabs>
              <w:tab w:val="left" w:pos="1100"/>
              <w:tab w:val="right" w:leader="dot" w:pos="9016"/>
            </w:tabs>
            <w:rPr>
              <w:rFonts w:eastAsiaTheme="minorEastAsia"/>
              <w:noProof/>
              <w:lang w:eastAsia="en-AU"/>
            </w:rPr>
          </w:pPr>
          <w:hyperlink w:anchor="_Toc71796192" w:history="1">
            <w:r w:rsidR="00695ABA" w:rsidRPr="008A6613">
              <w:rPr>
                <w:rStyle w:val="Hyperlink"/>
                <w:noProof/>
              </w:rPr>
              <w:t>3.3</w:t>
            </w:r>
            <w:r w:rsidR="00695ABA">
              <w:rPr>
                <w:rFonts w:eastAsiaTheme="minorEastAsia"/>
                <w:noProof/>
                <w:lang w:eastAsia="en-AU"/>
              </w:rPr>
              <w:tab/>
            </w:r>
            <w:r w:rsidR="00695ABA" w:rsidRPr="008A6613">
              <w:rPr>
                <w:rStyle w:val="Hyperlink"/>
                <w:noProof/>
              </w:rPr>
              <w:t>Institute results</w:t>
            </w:r>
            <w:r w:rsidR="00695ABA">
              <w:rPr>
                <w:noProof/>
                <w:webHidden/>
              </w:rPr>
              <w:tab/>
            </w:r>
            <w:r w:rsidR="00695ABA">
              <w:rPr>
                <w:noProof/>
                <w:webHidden/>
              </w:rPr>
              <w:fldChar w:fldCharType="begin"/>
            </w:r>
            <w:r w:rsidR="00695ABA">
              <w:rPr>
                <w:noProof/>
                <w:webHidden/>
              </w:rPr>
              <w:instrText xml:space="preserve"> PAGEREF _Toc71796192 \h </w:instrText>
            </w:r>
            <w:r w:rsidR="00695ABA">
              <w:rPr>
                <w:noProof/>
                <w:webHidden/>
              </w:rPr>
            </w:r>
            <w:r w:rsidR="00695ABA">
              <w:rPr>
                <w:noProof/>
                <w:webHidden/>
              </w:rPr>
              <w:fldChar w:fldCharType="separate"/>
            </w:r>
            <w:r w:rsidR="00695ABA">
              <w:rPr>
                <w:noProof/>
                <w:webHidden/>
              </w:rPr>
              <w:t>5</w:t>
            </w:r>
            <w:r w:rsidR="00695ABA">
              <w:rPr>
                <w:noProof/>
                <w:webHidden/>
              </w:rPr>
              <w:fldChar w:fldCharType="end"/>
            </w:r>
          </w:hyperlink>
        </w:p>
        <w:p w14:paraId="14187DD4" w14:textId="48AECFCA" w:rsidR="00695ABA" w:rsidRDefault="00D92B15">
          <w:pPr>
            <w:pStyle w:val="TOC3"/>
            <w:tabs>
              <w:tab w:val="left" w:pos="1100"/>
              <w:tab w:val="right" w:leader="dot" w:pos="9016"/>
            </w:tabs>
            <w:rPr>
              <w:rFonts w:eastAsiaTheme="minorEastAsia"/>
              <w:noProof/>
              <w:lang w:eastAsia="en-AU"/>
            </w:rPr>
          </w:pPr>
          <w:hyperlink w:anchor="_Toc71796193" w:history="1">
            <w:r w:rsidR="00695ABA" w:rsidRPr="008A6613">
              <w:rPr>
                <w:rStyle w:val="Hyperlink"/>
                <w:noProof/>
              </w:rPr>
              <w:t>3.4</w:t>
            </w:r>
            <w:r w:rsidR="00695ABA">
              <w:rPr>
                <w:rFonts w:eastAsiaTheme="minorEastAsia"/>
                <w:noProof/>
                <w:lang w:eastAsia="en-AU"/>
              </w:rPr>
              <w:tab/>
            </w:r>
            <w:r w:rsidR="00695ABA" w:rsidRPr="008A6613">
              <w:rPr>
                <w:rStyle w:val="Hyperlink"/>
                <w:noProof/>
              </w:rPr>
              <w:t>Methodology error</w:t>
            </w:r>
            <w:r w:rsidR="00695ABA">
              <w:rPr>
                <w:noProof/>
                <w:webHidden/>
              </w:rPr>
              <w:tab/>
            </w:r>
            <w:r w:rsidR="00695ABA">
              <w:rPr>
                <w:noProof/>
                <w:webHidden/>
              </w:rPr>
              <w:fldChar w:fldCharType="begin"/>
            </w:r>
            <w:r w:rsidR="00695ABA">
              <w:rPr>
                <w:noProof/>
                <w:webHidden/>
              </w:rPr>
              <w:instrText xml:space="preserve"> PAGEREF _Toc71796193 \h </w:instrText>
            </w:r>
            <w:r w:rsidR="00695ABA">
              <w:rPr>
                <w:noProof/>
                <w:webHidden/>
              </w:rPr>
            </w:r>
            <w:r w:rsidR="00695ABA">
              <w:rPr>
                <w:noProof/>
                <w:webHidden/>
              </w:rPr>
              <w:fldChar w:fldCharType="separate"/>
            </w:r>
            <w:r w:rsidR="00695ABA">
              <w:rPr>
                <w:noProof/>
                <w:webHidden/>
              </w:rPr>
              <w:t>5</w:t>
            </w:r>
            <w:r w:rsidR="00695ABA">
              <w:rPr>
                <w:noProof/>
                <w:webHidden/>
              </w:rPr>
              <w:fldChar w:fldCharType="end"/>
            </w:r>
          </w:hyperlink>
        </w:p>
        <w:p w14:paraId="0A9FE923" w14:textId="5D2D5AB8" w:rsidR="00695ABA" w:rsidRDefault="00D92B15">
          <w:pPr>
            <w:pStyle w:val="TOC3"/>
            <w:tabs>
              <w:tab w:val="left" w:pos="1100"/>
              <w:tab w:val="right" w:leader="dot" w:pos="9016"/>
            </w:tabs>
            <w:rPr>
              <w:rFonts w:eastAsiaTheme="minorEastAsia"/>
              <w:noProof/>
              <w:lang w:eastAsia="en-AU"/>
            </w:rPr>
          </w:pPr>
          <w:hyperlink w:anchor="_Toc71796194" w:history="1">
            <w:r w:rsidR="00695ABA" w:rsidRPr="008A6613">
              <w:rPr>
                <w:rStyle w:val="Hyperlink"/>
                <w:noProof/>
              </w:rPr>
              <w:t>3.5</w:t>
            </w:r>
            <w:r w:rsidR="00695ABA">
              <w:rPr>
                <w:rFonts w:eastAsiaTheme="minorEastAsia"/>
                <w:noProof/>
                <w:lang w:eastAsia="en-AU"/>
              </w:rPr>
              <w:tab/>
            </w:r>
            <w:r w:rsidR="00695ABA" w:rsidRPr="008A6613">
              <w:rPr>
                <w:rStyle w:val="Hyperlink"/>
                <w:noProof/>
              </w:rPr>
              <w:t>Other problems</w:t>
            </w:r>
            <w:r w:rsidR="00695ABA">
              <w:rPr>
                <w:noProof/>
                <w:webHidden/>
              </w:rPr>
              <w:tab/>
            </w:r>
            <w:r w:rsidR="00695ABA">
              <w:rPr>
                <w:noProof/>
                <w:webHidden/>
              </w:rPr>
              <w:fldChar w:fldCharType="begin"/>
            </w:r>
            <w:r w:rsidR="00695ABA">
              <w:rPr>
                <w:noProof/>
                <w:webHidden/>
              </w:rPr>
              <w:instrText xml:space="preserve"> PAGEREF _Toc71796194 \h </w:instrText>
            </w:r>
            <w:r w:rsidR="00695ABA">
              <w:rPr>
                <w:noProof/>
                <w:webHidden/>
              </w:rPr>
            </w:r>
            <w:r w:rsidR="00695ABA">
              <w:rPr>
                <w:noProof/>
                <w:webHidden/>
              </w:rPr>
              <w:fldChar w:fldCharType="separate"/>
            </w:r>
            <w:r w:rsidR="00695ABA">
              <w:rPr>
                <w:noProof/>
                <w:webHidden/>
              </w:rPr>
              <w:t>6</w:t>
            </w:r>
            <w:r w:rsidR="00695ABA">
              <w:rPr>
                <w:noProof/>
                <w:webHidden/>
              </w:rPr>
              <w:fldChar w:fldCharType="end"/>
            </w:r>
          </w:hyperlink>
        </w:p>
        <w:p w14:paraId="33BFA341" w14:textId="0AA52B82" w:rsidR="00695ABA" w:rsidRDefault="00D92B15">
          <w:pPr>
            <w:pStyle w:val="TOC3"/>
            <w:tabs>
              <w:tab w:val="left" w:pos="1100"/>
              <w:tab w:val="right" w:leader="dot" w:pos="9016"/>
            </w:tabs>
            <w:rPr>
              <w:rFonts w:eastAsiaTheme="minorEastAsia"/>
              <w:noProof/>
              <w:lang w:eastAsia="en-AU"/>
            </w:rPr>
          </w:pPr>
          <w:hyperlink w:anchor="_Toc71796195" w:history="1">
            <w:r w:rsidR="00695ABA" w:rsidRPr="008A6613">
              <w:rPr>
                <w:rStyle w:val="Hyperlink"/>
                <w:noProof/>
              </w:rPr>
              <w:t>3.6</w:t>
            </w:r>
            <w:r w:rsidR="00695ABA">
              <w:rPr>
                <w:rFonts w:eastAsiaTheme="minorEastAsia"/>
                <w:noProof/>
                <w:lang w:eastAsia="en-AU"/>
              </w:rPr>
              <w:tab/>
            </w:r>
            <w:r w:rsidR="00695ABA" w:rsidRPr="008A6613">
              <w:rPr>
                <w:rStyle w:val="Hyperlink"/>
                <w:noProof/>
              </w:rPr>
              <w:t>Were roads included…..</w:t>
            </w:r>
            <w:r w:rsidR="00695ABA">
              <w:rPr>
                <w:noProof/>
                <w:webHidden/>
              </w:rPr>
              <w:tab/>
            </w:r>
            <w:r w:rsidR="00695ABA">
              <w:rPr>
                <w:noProof/>
                <w:webHidden/>
              </w:rPr>
              <w:fldChar w:fldCharType="begin"/>
            </w:r>
            <w:r w:rsidR="00695ABA">
              <w:rPr>
                <w:noProof/>
                <w:webHidden/>
              </w:rPr>
              <w:instrText xml:space="preserve"> PAGEREF _Toc71796195 \h </w:instrText>
            </w:r>
            <w:r w:rsidR="00695ABA">
              <w:rPr>
                <w:noProof/>
                <w:webHidden/>
              </w:rPr>
            </w:r>
            <w:r w:rsidR="00695ABA">
              <w:rPr>
                <w:noProof/>
                <w:webHidden/>
              </w:rPr>
              <w:fldChar w:fldCharType="separate"/>
            </w:r>
            <w:r w:rsidR="00695ABA">
              <w:rPr>
                <w:noProof/>
                <w:webHidden/>
              </w:rPr>
              <w:t>7</w:t>
            </w:r>
            <w:r w:rsidR="00695ABA">
              <w:rPr>
                <w:noProof/>
                <w:webHidden/>
              </w:rPr>
              <w:fldChar w:fldCharType="end"/>
            </w:r>
          </w:hyperlink>
        </w:p>
        <w:p w14:paraId="59E6CFA6" w14:textId="68D1658E" w:rsidR="00695ABA" w:rsidRDefault="00D92B15">
          <w:pPr>
            <w:pStyle w:val="TOC2"/>
            <w:tabs>
              <w:tab w:val="left" w:pos="660"/>
              <w:tab w:val="right" w:leader="dot" w:pos="9016"/>
            </w:tabs>
            <w:rPr>
              <w:rFonts w:eastAsiaTheme="minorEastAsia"/>
              <w:noProof/>
              <w:lang w:eastAsia="en-AU"/>
            </w:rPr>
          </w:pPr>
          <w:hyperlink w:anchor="_Toc71796196" w:history="1">
            <w:r w:rsidR="00695ABA" w:rsidRPr="008A6613">
              <w:rPr>
                <w:rStyle w:val="Hyperlink"/>
                <w:noProof/>
              </w:rPr>
              <w:t>4.</w:t>
            </w:r>
            <w:r w:rsidR="00695ABA">
              <w:rPr>
                <w:rFonts w:eastAsiaTheme="minorEastAsia"/>
                <w:noProof/>
                <w:lang w:eastAsia="en-AU"/>
              </w:rPr>
              <w:tab/>
            </w:r>
            <w:r w:rsidR="00695ABA" w:rsidRPr="008A6613">
              <w:rPr>
                <w:rStyle w:val="Hyperlink"/>
                <w:noProof/>
              </w:rPr>
              <w:t>Conclusions</w:t>
            </w:r>
            <w:r w:rsidR="00695ABA">
              <w:rPr>
                <w:noProof/>
                <w:webHidden/>
              </w:rPr>
              <w:tab/>
            </w:r>
            <w:r w:rsidR="00695ABA">
              <w:rPr>
                <w:noProof/>
                <w:webHidden/>
              </w:rPr>
              <w:fldChar w:fldCharType="begin"/>
            </w:r>
            <w:r w:rsidR="00695ABA">
              <w:rPr>
                <w:noProof/>
                <w:webHidden/>
              </w:rPr>
              <w:instrText xml:space="preserve"> PAGEREF _Toc71796196 \h </w:instrText>
            </w:r>
            <w:r w:rsidR="00695ABA">
              <w:rPr>
                <w:noProof/>
                <w:webHidden/>
              </w:rPr>
            </w:r>
            <w:r w:rsidR="00695ABA">
              <w:rPr>
                <w:noProof/>
                <w:webHidden/>
              </w:rPr>
              <w:fldChar w:fldCharType="separate"/>
            </w:r>
            <w:r w:rsidR="00695ABA">
              <w:rPr>
                <w:noProof/>
                <w:webHidden/>
              </w:rPr>
              <w:t>8</w:t>
            </w:r>
            <w:r w:rsidR="00695ABA">
              <w:rPr>
                <w:noProof/>
                <w:webHidden/>
              </w:rPr>
              <w:fldChar w:fldCharType="end"/>
            </w:r>
          </w:hyperlink>
        </w:p>
        <w:p w14:paraId="34319BAC" w14:textId="06B907BF" w:rsidR="00400B59" w:rsidRDefault="00400B59">
          <w:r>
            <w:rPr>
              <w:b/>
              <w:bCs/>
              <w:noProof/>
            </w:rPr>
            <w:fldChar w:fldCharType="end"/>
          </w:r>
        </w:p>
      </w:sdtContent>
    </w:sdt>
    <w:p w14:paraId="612BD9EA" w14:textId="77777777" w:rsidR="00400B59" w:rsidRDefault="00400B59">
      <w:pPr>
        <w:rPr>
          <w:rFonts w:eastAsiaTheme="majorEastAsia" w:cstheme="majorBidi"/>
          <w:b/>
          <w:color w:val="2F5496" w:themeColor="accent1" w:themeShade="BF"/>
          <w:sz w:val="32"/>
          <w:szCs w:val="32"/>
        </w:rPr>
      </w:pPr>
      <w:r>
        <w:br w:type="page"/>
      </w:r>
    </w:p>
    <w:p w14:paraId="03DF387F" w14:textId="111B58D7" w:rsidR="00225F2E" w:rsidRDefault="007B1F84" w:rsidP="007B1F84">
      <w:pPr>
        <w:pStyle w:val="Heading1"/>
      </w:pPr>
      <w:bookmarkStart w:id="0" w:name="_Toc71796186"/>
      <w:r>
        <w:lastRenderedPageBreak/>
        <w:t>Facts and minds</w:t>
      </w:r>
      <w:bookmarkEnd w:id="0"/>
    </w:p>
    <w:p w14:paraId="4E3D4FC6" w14:textId="717ABF55" w:rsidR="004708A6" w:rsidRDefault="007B1F84" w:rsidP="007B1F84">
      <w:pPr>
        <w:pStyle w:val="Heading2"/>
      </w:pPr>
      <w:bookmarkStart w:id="1" w:name="_Toc71796187"/>
      <w:r w:rsidRPr="007B1F84">
        <w:t>1.</w:t>
      </w:r>
      <w:r>
        <w:tab/>
      </w:r>
      <w:r w:rsidR="004708A6">
        <w:t>Introduction</w:t>
      </w:r>
      <w:bookmarkEnd w:id="1"/>
    </w:p>
    <w:p w14:paraId="5995200B" w14:textId="7FDA8147" w:rsidR="006076AE" w:rsidRDefault="006076AE" w:rsidP="00225F2E">
      <w:pPr>
        <w:spacing w:after="0"/>
      </w:pPr>
      <w:r>
        <w:t xml:space="preserve">Each year, </w:t>
      </w:r>
      <w:r w:rsidR="00AB2A41">
        <w:t xml:space="preserve">the beagle asks </w:t>
      </w:r>
      <w:r>
        <w:t xml:space="preserve">about road policy – more accurately, the lack thereof.  In particular </w:t>
      </w:r>
      <w:r w:rsidR="009E236F">
        <w:t xml:space="preserve">about </w:t>
      </w:r>
      <w:r>
        <w:t>Australia-wide expenditure on roads vastly outstrip</w:t>
      </w:r>
      <w:r w:rsidR="00400EA2">
        <w:t>ping</w:t>
      </w:r>
      <w:r>
        <w:t xml:space="preserve"> road related revenue.  </w:t>
      </w:r>
      <w:r w:rsidR="00EC5DD3">
        <w:t>Coming to the</w:t>
      </w:r>
      <w:r>
        <w:t xml:space="preserve"> view</w:t>
      </w:r>
      <w:r w:rsidR="004708A6">
        <w:t>:</w:t>
      </w:r>
      <w:r>
        <w:t xml:space="preserve"> road spending should be reduced.</w:t>
      </w:r>
      <w:r w:rsidR="00EA1C64">
        <w:rPr>
          <w:rStyle w:val="EndnoteReference"/>
        </w:rPr>
        <w:endnoteReference w:id="1"/>
      </w:r>
      <w:r>
        <w:t xml:space="preserve"> </w:t>
      </w:r>
    </w:p>
    <w:p w14:paraId="1C03E99A" w14:textId="77777777" w:rsidR="00225F2E" w:rsidRDefault="00225F2E" w:rsidP="00225F2E">
      <w:pPr>
        <w:spacing w:after="0"/>
      </w:pPr>
    </w:p>
    <w:p w14:paraId="021B932D" w14:textId="5A4D4565" w:rsidR="00225F2E" w:rsidRDefault="006076AE" w:rsidP="00225F2E">
      <w:pPr>
        <w:spacing w:after="0"/>
      </w:pPr>
      <w:r>
        <w:t>And each year, just prior to the Commonwealth Budget, some ‘think</w:t>
      </w:r>
      <w:r w:rsidR="009E236F">
        <w:t>-</w:t>
      </w:r>
      <w:r>
        <w:t xml:space="preserve">tanks’ </w:t>
      </w:r>
      <w:r w:rsidR="004708A6">
        <w:t xml:space="preserve">and lobby groups </w:t>
      </w:r>
      <w:r>
        <w:t>publish view</w:t>
      </w:r>
      <w:r w:rsidR="004708A6">
        <w:t>s</w:t>
      </w:r>
      <w:r>
        <w:t xml:space="preserve"> that road spending should be increased</w:t>
      </w:r>
      <w:r w:rsidR="004708A6">
        <w:t>, or taxes cut</w:t>
      </w:r>
      <w:r>
        <w:t xml:space="preserve">.  The reason given: Commonwealth </w:t>
      </w:r>
      <w:r w:rsidR="009E236F">
        <w:t>s</w:t>
      </w:r>
      <w:r>
        <w:t xml:space="preserve">pending </w:t>
      </w:r>
      <w:r w:rsidR="009E236F">
        <w:t xml:space="preserve">on roads </w:t>
      </w:r>
      <w:r>
        <w:t>is far less than its road related revenue.</w:t>
      </w:r>
      <w:r w:rsidR="00EA1C64">
        <w:t xml:space="preserve">  </w:t>
      </w:r>
      <w:r w:rsidR="00225F2E">
        <w:t>Which is misleading.</w:t>
      </w:r>
      <w:r w:rsidR="007B1F84" w:rsidRPr="007B1F84">
        <w:rPr>
          <w:rStyle w:val="EndnoteReference"/>
        </w:rPr>
        <w:t xml:space="preserve"> </w:t>
      </w:r>
      <w:r w:rsidR="007B1F84">
        <w:rPr>
          <w:rStyle w:val="EndnoteReference"/>
        </w:rPr>
        <w:endnoteReference w:id="2"/>
      </w:r>
      <w:r w:rsidR="00225F2E">
        <w:t xml:space="preserve">  </w:t>
      </w:r>
    </w:p>
    <w:p w14:paraId="06A56C02" w14:textId="77777777" w:rsidR="00225F2E" w:rsidRDefault="00225F2E" w:rsidP="00225F2E">
      <w:pPr>
        <w:spacing w:after="0"/>
      </w:pPr>
    </w:p>
    <w:p w14:paraId="4DBF9883" w14:textId="18E9E01C" w:rsidR="009E236F" w:rsidRDefault="004708A6" w:rsidP="00225F2E">
      <w:pPr>
        <w:spacing w:after="0"/>
      </w:pPr>
      <w:r>
        <w:t>Th</w:t>
      </w:r>
      <w:r w:rsidR="007B1F84">
        <w:t>is</w:t>
      </w:r>
      <w:r>
        <w:t xml:space="preserve"> year</w:t>
      </w:r>
      <w:r w:rsidR="007B1F84">
        <w:t>,</w:t>
      </w:r>
      <w:r>
        <w:t xml:space="preserve"> 2020-21</w:t>
      </w:r>
      <w:r w:rsidR="007B1F84">
        <w:t>,</w:t>
      </w:r>
      <w:r>
        <w:t xml:space="preserve"> </w:t>
      </w:r>
      <w:r w:rsidR="007B1F84">
        <w:t>has been</w:t>
      </w:r>
      <w:r>
        <w:t xml:space="preserve"> no different</w:t>
      </w:r>
      <w:r w:rsidR="009E236F">
        <w:t xml:space="preserve">. </w:t>
      </w:r>
    </w:p>
    <w:p w14:paraId="02DC58F5" w14:textId="77777777" w:rsidR="00225F2E" w:rsidRDefault="00225F2E" w:rsidP="00225F2E">
      <w:pPr>
        <w:spacing w:after="0"/>
      </w:pPr>
    </w:p>
    <w:p w14:paraId="2034A0A4" w14:textId="7B23422A" w:rsidR="00170F9F" w:rsidRDefault="0026722A" w:rsidP="00225F2E">
      <w:pPr>
        <w:spacing w:after="0"/>
      </w:pPr>
      <w:r>
        <w:t>Yet t</w:t>
      </w:r>
      <w:r w:rsidR="007B1F84">
        <w:t>his year</w:t>
      </w:r>
      <w:r w:rsidR="009E236F">
        <w:t xml:space="preserve"> another</w:t>
      </w:r>
      <w:r w:rsidR="00440B37">
        <w:t xml:space="preserve"> ‘think tank’</w:t>
      </w:r>
      <w:r w:rsidR="004708A6">
        <w:t xml:space="preserve"> claim</w:t>
      </w:r>
      <w:r w:rsidR="007B1F84">
        <w:t>ed</w:t>
      </w:r>
      <w:r w:rsidR="004708A6">
        <w:t xml:space="preserve"> </w:t>
      </w:r>
      <w:r w:rsidR="009215A2">
        <w:t xml:space="preserve">Australian </w:t>
      </w:r>
      <w:r w:rsidR="004708A6">
        <w:t xml:space="preserve">governments </w:t>
      </w:r>
      <w:r w:rsidR="008959F2">
        <w:t xml:space="preserve">provide grants and tax concessions </w:t>
      </w:r>
      <w:r>
        <w:t>– subsidies - of</w:t>
      </w:r>
      <w:r w:rsidR="008959F2">
        <w:t xml:space="preserve"> around $10.3bn to assist </w:t>
      </w:r>
      <w:r w:rsidR="004708A6">
        <w:t>fossil fuel</w:t>
      </w:r>
      <w:r w:rsidR="008959F2">
        <w:t xml:space="preserve"> industries</w:t>
      </w:r>
      <w:r w:rsidR="009E236F">
        <w:t>.</w:t>
      </w:r>
      <w:r w:rsidR="00170F9F">
        <w:rPr>
          <w:rStyle w:val="EndnoteReference"/>
        </w:rPr>
        <w:endnoteReference w:id="3"/>
      </w:r>
      <w:r w:rsidR="008959F2">
        <w:t xml:space="preserve">  </w:t>
      </w:r>
    </w:p>
    <w:p w14:paraId="49C7646C" w14:textId="77777777" w:rsidR="00225F2E" w:rsidRDefault="00225F2E" w:rsidP="00225F2E">
      <w:pPr>
        <w:spacing w:after="0"/>
      </w:pPr>
    </w:p>
    <w:p w14:paraId="127FFBBF" w14:textId="5CF8D377" w:rsidR="00EA1C64" w:rsidRDefault="008959F2" w:rsidP="00225F2E">
      <w:pPr>
        <w:spacing w:after="0"/>
      </w:pPr>
      <w:r>
        <w:t>Given road transport is a substantial fossil fuel user</w:t>
      </w:r>
      <w:r w:rsidR="00440B37">
        <w:t xml:space="preserve"> – around 32.2</w:t>
      </w:r>
      <w:r w:rsidR="009215A2">
        <w:t xml:space="preserve">billion </w:t>
      </w:r>
      <w:r w:rsidR="0013511D">
        <w:t>litres</w:t>
      </w:r>
      <w:r w:rsidR="00440B37">
        <w:t xml:space="preserve"> in 2020 </w:t>
      </w:r>
      <w:r w:rsidR="009E236F">
        <w:t>–</w:t>
      </w:r>
      <w:r w:rsidR="00440B37">
        <w:t xml:space="preserve"> </w:t>
      </w:r>
      <w:r w:rsidR="009E236F">
        <w:t xml:space="preserve">readers could be forgiven for thinking </w:t>
      </w:r>
      <w:r w:rsidR="00EA1C64">
        <w:t xml:space="preserve">the </w:t>
      </w:r>
      <w:r w:rsidR="00FC4C8B">
        <w:t xml:space="preserve">claim </w:t>
      </w:r>
      <w:r w:rsidR="009E236F">
        <w:t>would refer to</w:t>
      </w:r>
      <w:r w:rsidR="00EA1C64">
        <w:t xml:space="preserve"> road</w:t>
      </w:r>
      <w:r w:rsidR="00FC4C8B">
        <w:t>s</w:t>
      </w:r>
      <w:r w:rsidR="00EA1C64">
        <w:t>.</w:t>
      </w:r>
      <w:r w:rsidR="009E236F">
        <w:t xml:space="preserve">  </w:t>
      </w:r>
      <w:r w:rsidR="00EC5DD3">
        <w:t>Yet it did n</w:t>
      </w:r>
      <w:r w:rsidR="009E236F">
        <w:t>ot.</w:t>
      </w:r>
      <w:r w:rsidR="00170F9F">
        <w:rPr>
          <w:rStyle w:val="EndnoteReference"/>
        </w:rPr>
        <w:endnoteReference w:id="4"/>
      </w:r>
    </w:p>
    <w:p w14:paraId="057E0F1C" w14:textId="77777777" w:rsidR="00225F2E" w:rsidRDefault="00225F2E" w:rsidP="00225F2E">
      <w:pPr>
        <w:spacing w:after="0"/>
      </w:pPr>
    </w:p>
    <w:p w14:paraId="329371D7" w14:textId="6A8A3C67" w:rsidR="009215A2" w:rsidRDefault="007B1F84" w:rsidP="00225F2E">
      <w:pPr>
        <w:spacing w:after="0"/>
      </w:pPr>
      <w:r>
        <w:t xml:space="preserve">Hence, </w:t>
      </w:r>
      <w:r w:rsidR="009E236F">
        <w:t xml:space="preserve">this year’s note on road policy has another topic </w:t>
      </w:r>
      <w:r w:rsidR="009215A2">
        <w:t>–</w:t>
      </w:r>
      <w:r w:rsidR="009E236F">
        <w:t xml:space="preserve"> </w:t>
      </w:r>
      <w:r w:rsidR="009215A2">
        <w:t>the fossil fuel subsidy claim.</w:t>
      </w:r>
    </w:p>
    <w:p w14:paraId="029349A7" w14:textId="77777777" w:rsidR="00225F2E" w:rsidRDefault="00225F2E" w:rsidP="00225F2E">
      <w:pPr>
        <w:spacing w:after="0"/>
      </w:pPr>
    </w:p>
    <w:p w14:paraId="4A84C4C5" w14:textId="449B4D38" w:rsidR="00225F2E" w:rsidRDefault="007B1F84" w:rsidP="00225F2E">
      <w:pPr>
        <w:pStyle w:val="Heading2"/>
      </w:pPr>
      <w:bookmarkStart w:id="2" w:name="_Toc71796188"/>
      <w:r>
        <w:t>2.</w:t>
      </w:r>
      <w:r>
        <w:tab/>
      </w:r>
      <w:r w:rsidR="009215A2">
        <w:t>Road spending and revenue</w:t>
      </w:r>
      <w:bookmarkEnd w:id="2"/>
    </w:p>
    <w:p w14:paraId="1963E2FD" w14:textId="35622C44" w:rsidR="00A35696" w:rsidRDefault="00440B37" w:rsidP="00225F2E">
      <w:pPr>
        <w:spacing w:after="0"/>
      </w:pPr>
      <w:r>
        <w:t xml:space="preserve">This year, the </w:t>
      </w:r>
      <w:r w:rsidR="00FA6E7B">
        <w:t>Australian Taxpayers Alliance</w:t>
      </w:r>
      <w:r w:rsidR="009215A2">
        <w:t xml:space="preserve"> prominently presented the </w:t>
      </w:r>
      <w:r w:rsidR="007B1F84">
        <w:t>‘</w:t>
      </w:r>
      <w:r w:rsidR="009215A2">
        <w:t>road spending is less than revenue</w:t>
      </w:r>
      <w:r w:rsidR="007B1F84">
        <w:t>’</w:t>
      </w:r>
      <w:r w:rsidR="009215A2">
        <w:t xml:space="preserve"> furphy</w:t>
      </w:r>
      <w:r w:rsidR="00FA6E7B">
        <w:t>.</w:t>
      </w:r>
      <w:r w:rsidR="009215A2">
        <w:t xml:space="preserve">  </w:t>
      </w:r>
      <w:r w:rsidR="00A35696">
        <w:t xml:space="preserve">On February 11 it claimed: </w:t>
      </w:r>
    </w:p>
    <w:p w14:paraId="0E8CED16" w14:textId="35F8806F" w:rsidR="00A35696" w:rsidRPr="00225F2E" w:rsidRDefault="00A35696" w:rsidP="00225F2E">
      <w:pPr>
        <w:shd w:val="clear" w:color="auto" w:fill="FFFFFF"/>
        <w:spacing w:after="0"/>
        <w:ind w:left="720"/>
        <w:rPr>
          <w:rFonts w:eastAsia="Times New Roman" w:cstheme="minorHAnsi"/>
          <w:i/>
          <w:iCs/>
          <w:color w:val="050505"/>
          <w:sz w:val="20"/>
          <w:szCs w:val="20"/>
          <w:lang w:eastAsia="en-AU"/>
        </w:rPr>
      </w:pPr>
      <w:r w:rsidRPr="00225F2E">
        <w:rPr>
          <w:rFonts w:cstheme="minorHAnsi"/>
          <w:i/>
          <w:iCs/>
          <w:sz w:val="20"/>
          <w:szCs w:val="20"/>
        </w:rPr>
        <w:t>‘</w:t>
      </w:r>
      <w:r w:rsidRPr="00225F2E">
        <w:rPr>
          <w:rFonts w:eastAsia="Times New Roman" w:cstheme="minorHAnsi"/>
          <w:i/>
          <w:iCs/>
          <w:color w:val="050505"/>
          <w:sz w:val="20"/>
          <w:szCs w:val="20"/>
          <w:lang w:eastAsia="en-AU"/>
        </w:rPr>
        <w:t>We're told that fuel excise is necessary for maintaining roads and bridges, but less than 48% of the revenue generated from fuel taxes accounts for federal spending on transportation.</w:t>
      </w:r>
    </w:p>
    <w:p w14:paraId="4F7014F2" w14:textId="75A9E4C4" w:rsidR="00A35696" w:rsidRPr="00225F2E" w:rsidRDefault="00A35696" w:rsidP="00225F2E">
      <w:pPr>
        <w:shd w:val="clear" w:color="auto" w:fill="FFFFFF"/>
        <w:spacing w:after="0" w:line="240" w:lineRule="auto"/>
        <w:ind w:firstLine="720"/>
        <w:rPr>
          <w:rFonts w:eastAsia="Times New Roman" w:cstheme="minorHAnsi"/>
          <w:i/>
          <w:iCs/>
          <w:color w:val="050505"/>
          <w:sz w:val="20"/>
          <w:szCs w:val="20"/>
          <w:lang w:eastAsia="en-AU"/>
        </w:rPr>
      </w:pPr>
      <w:r w:rsidRPr="00A35696">
        <w:rPr>
          <w:rFonts w:eastAsia="Times New Roman" w:cstheme="minorHAnsi"/>
          <w:i/>
          <w:iCs/>
          <w:color w:val="050505"/>
          <w:sz w:val="20"/>
          <w:szCs w:val="20"/>
          <w:lang w:eastAsia="en-AU"/>
        </w:rPr>
        <w:t>Aussies shouldn't be lied into paying out the nose every time they fill up their tank.</w:t>
      </w:r>
      <w:r w:rsidRPr="00225F2E">
        <w:rPr>
          <w:rFonts w:eastAsia="Times New Roman" w:cstheme="minorHAnsi"/>
          <w:i/>
          <w:iCs/>
          <w:color w:val="050505"/>
          <w:sz w:val="20"/>
          <w:szCs w:val="20"/>
          <w:lang w:eastAsia="en-AU"/>
        </w:rPr>
        <w:t>’</w:t>
      </w:r>
    </w:p>
    <w:p w14:paraId="11BA16C9" w14:textId="2B08DFEF" w:rsidR="00A35696" w:rsidRPr="00225F2E" w:rsidRDefault="00A35696" w:rsidP="00796F7D">
      <w:pPr>
        <w:pStyle w:val="Heading2"/>
        <w:rPr>
          <w:rFonts w:eastAsia="Times New Roman"/>
          <w:lang w:eastAsia="en-AU"/>
        </w:rPr>
      </w:pPr>
    </w:p>
    <w:p w14:paraId="0E838F2C" w14:textId="4CCFD65C" w:rsidR="00A35696" w:rsidRDefault="00A35696" w:rsidP="00225F2E">
      <w:pPr>
        <w:shd w:val="clear" w:color="auto" w:fill="FFFFFF"/>
        <w:spacing w:after="0" w:line="240" w:lineRule="auto"/>
        <w:ind w:left="720"/>
        <w:rPr>
          <w:rFonts w:eastAsia="Times New Roman" w:cstheme="minorHAnsi"/>
          <w:i/>
          <w:iCs/>
          <w:color w:val="050505"/>
          <w:sz w:val="23"/>
          <w:szCs w:val="23"/>
          <w:lang w:eastAsia="en-AU"/>
        </w:rPr>
      </w:pPr>
      <w:r w:rsidRPr="00225F2E">
        <w:rPr>
          <w:rFonts w:eastAsia="Times New Roman" w:cstheme="minorHAnsi"/>
          <w:i/>
          <w:iCs/>
          <w:color w:val="050505"/>
          <w:sz w:val="20"/>
          <w:szCs w:val="20"/>
          <w:lang w:eastAsia="en-AU"/>
        </w:rPr>
        <w:t>Are we paying fuel taxes to fund our roads and bridges?  Federal Revenue From Fuel Taxes $19,170,000,000.  Federal budget for road, air and sea transport $7,429,000,000.  Source: aph.gov.au, budget.gov.au.”</w:t>
      </w:r>
      <w:r w:rsidR="007B1F84" w:rsidRPr="007B1F84">
        <w:rPr>
          <w:rStyle w:val="EndnoteReference"/>
        </w:rPr>
        <w:t xml:space="preserve"> </w:t>
      </w:r>
      <w:r w:rsidR="007B1F84">
        <w:rPr>
          <w:rStyle w:val="EndnoteReference"/>
        </w:rPr>
        <w:endnoteReference w:id="5"/>
      </w:r>
    </w:p>
    <w:p w14:paraId="7E78F842" w14:textId="77777777" w:rsidR="00903D8A" w:rsidRPr="00A35696" w:rsidRDefault="00903D8A" w:rsidP="00225F2E">
      <w:pPr>
        <w:shd w:val="clear" w:color="auto" w:fill="FFFFFF"/>
        <w:spacing w:after="0" w:line="240" w:lineRule="auto"/>
        <w:ind w:left="720"/>
        <w:rPr>
          <w:rFonts w:eastAsia="Times New Roman" w:cstheme="minorHAnsi"/>
          <w:i/>
          <w:iCs/>
          <w:color w:val="050505"/>
          <w:sz w:val="23"/>
          <w:szCs w:val="23"/>
          <w:lang w:eastAsia="en-AU"/>
        </w:rPr>
      </w:pPr>
    </w:p>
    <w:p w14:paraId="3A44E937" w14:textId="6D593B57" w:rsidR="00A35696" w:rsidRDefault="009215A2" w:rsidP="00225F2E">
      <w:pPr>
        <w:spacing w:after="0"/>
      </w:pPr>
      <w:r>
        <w:t>As in previous years, such</w:t>
      </w:r>
      <w:r w:rsidR="00A35696">
        <w:t xml:space="preserve"> claims are wrong and misleading</w:t>
      </w:r>
      <w:r>
        <w:t>:</w:t>
      </w:r>
      <w:r w:rsidR="00A35696">
        <w:t xml:space="preserve">  </w:t>
      </w:r>
    </w:p>
    <w:p w14:paraId="2CF288D7" w14:textId="2D2AC114" w:rsidR="00A35696" w:rsidRDefault="00A35696" w:rsidP="00225F2E">
      <w:pPr>
        <w:pStyle w:val="ListParagraph"/>
        <w:numPr>
          <w:ilvl w:val="0"/>
          <w:numId w:val="1"/>
        </w:numPr>
        <w:spacing w:after="0"/>
        <w:ind w:left="360"/>
      </w:pPr>
      <w:r>
        <w:t xml:space="preserve">Taxes, including fuel taxes, are unrelated to transport spending.  That is the </w:t>
      </w:r>
      <w:r w:rsidR="009215A2">
        <w:t xml:space="preserve">central issue </w:t>
      </w:r>
      <w:r>
        <w:t>proposals for ‘road reform’</w:t>
      </w:r>
      <w:r w:rsidR="009215A2">
        <w:t xml:space="preserve"> purportedly seek to address</w:t>
      </w:r>
      <w:r w:rsidR="009F1C62">
        <w:rPr>
          <w:rStyle w:val="EndnoteReference"/>
        </w:rPr>
        <w:endnoteReference w:id="6"/>
      </w:r>
      <w:r w:rsidR="007B1F84">
        <w:t>;</w:t>
      </w:r>
    </w:p>
    <w:p w14:paraId="26AEC52E" w14:textId="7FB72A88" w:rsidR="009F1C62" w:rsidRDefault="009F1C62" w:rsidP="00225F2E">
      <w:pPr>
        <w:pStyle w:val="ListParagraph"/>
        <w:numPr>
          <w:ilvl w:val="0"/>
          <w:numId w:val="1"/>
        </w:numPr>
        <w:spacing w:after="0"/>
        <w:ind w:left="360"/>
      </w:pPr>
      <w:r>
        <w:t xml:space="preserve">The vast majority of road spending is by State and local governments.  </w:t>
      </w:r>
      <w:r w:rsidR="009215A2">
        <w:t>In t</w:t>
      </w:r>
      <w:r>
        <w:t>he latest figures – for 201</w:t>
      </w:r>
      <w:r w:rsidR="00C8699B">
        <w:t>8</w:t>
      </w:r>
      <w:r>
        <w:t>-1</w:t>
      </w:r>
      <w:r w:rsidR="00C8699B">
        <w:t>9</w:t>
      </w:r>
      <w:r>
        <w:t xml:space="preserve"> – the Commonwealth account</w:t>
      </w:r>
      <w:r w:rsidR="00C32264">
        <w:t>ed</w:t>
      </w:r>
      <w:r>
        <w:t xml:space="preserve"> for only 20% of </w:t>
      </w:r>
      <w:r w:rsidR="00CB49CF">
        <w:t xml:space="preserve">government </w:t>
      </w:r>
      <w:r>
        <w:t>road spending</w:t>
      </w:r>
      <w:r w:rsidR="00C32264">
        <w:t>.  Its</w:t>
      </w:r>
      <w:r>
        <w:t xml:space="preserve"> $6.2bn </w:t>
      </w:r>
      <w:r w:rsidR="00C32264">
        <w:t xml:space="preserve">outlays </w:t>
      </w:r>
      <w:r>
        <w:t xml:space="preserve">compare with </w:t>
      </w:r>
      <w:r w:rsidR="0026722A">
        <w:t xml:space="preserve">State </w:t>
      </w:r>
      <w:r>
        <w:t>local governments</w:t>
      </w:r>
      <w:r w:rsidR="009215A2">
        <w:t>’</w:t>
      </w:r>
      <w:r>
        <w:t xml:space="preserve"> $</w:t>
      </w:r>
      <w:r w:rsidR="0026722A">
        <w:t>2</w:t>
      </w:r>
      <w:r w:rsidR="001D3C7B">
        <w:t>2</w:t>
      </w:r>
      <w:r w:rsidR="0026722A">
        <w:t>.</w:t>
      </w:r>
      <w:r w:rsidR="001D3C7B">
        <w:t>7</w:t>
      </w:r>
      <w:r>
        <w:t>bn</w:t>
      </w:r>
      <w:r>
        <w:rPr>
          <w:rStyle w:val="EndnoteReference"/>
        </w:rPr>
        <w:endnoteReference w:id="7"/>
      </w:r>
      <w:r>
        <w:t>;</w:t>
      </w:r>
    </w:p>
    <w:p w14:paraId="1FB5FFD1" w14:textId="767173E1" w:rsidR="00CB49CF" w:rsidRDefault="00C32264" w:rsidP="00225F2E">
      <w:pPr>
        <w:pStyle w:val="ListParagraph"/>
        <w:numPr>
          <w:ilvl w:val="0"/>
          <w:numId w:val="1"/>
        </w:numPr>
        <w:spacing w:after="0"/>
        <w:ind w:left="360"/>
      </w:pPr>
      <w:r>
        <w:t>In</w:t>
      </w:r>
      <w:r w:rsidR="009F1C62">
        <w:t xml:space="preserve"> 201</w:t>
      </w:r>
      <w:r w:rsidR="00C8699B">
        <w:t>8</w:t>
      </w:r>
      <w:r w:rsidR="009F1C62">
        <w:t>-1</w:t>
      </w:r>
      <w:r w:rsidR="00C8699B">
        <w:t>9</w:t>
      </w:r>
      <w:r w:rsidR="009F1C62">
        <w:t>, the Commonwealth and States raise</w:t>
      </w:r>
      <w:r>
        <w:t>d</w:t>
      </w:r>
      <w:r w:rsidR="009F1C62">
        <w:t xml:space="preserve"> roughly the same amount of road related revenues</w:t>
      </w:r>
      <w:r>
        <w:t xml:space="preserve"> -</w:t>
      </w:r>
      <w:r w:rsidR="009F1C62">
        <w:t xml:space="preserve"> $11.</w:t>
      </w:r>
      <w:r w:rsidR="001D3C7B">
        <w:t>6</w:t>
      </w:r>
      <w:r w:rsidR="009F1C62">
        <w:t xml:space="preserve">bn and $11.2bn respectively.  The </w:t>
      </w:r>
      <w:r>
        <w:t xml:space="preserve">all-government </w:t>
      </w:r>
      <w:r w:rsidR="00CE5885">
        <w:t xml:space="preserve">road fiscal </w:t>
      </w:r>
      <w:r w:rsidR="009F1C62">
        <w:t xml:space="preserve">deficit – revenue less than spending </w:t>
      </w:r>
      <w:r>
        <w:t xml:space="preserve">- </w:t>
      </w:r>
      <w:r w:rsidR="009F1C62">
        <w:t xml:space="preserve">was </w:t>
      </w:r>
      <w:r w:rsidR="00CB49CF">
        <w:t>$</w:t>
      </w:r>
      <w:r>
        <w:t>5.</w:t>
      </w:r>
      <w:r w:rsidR="001D3C7B">
        <w:t>7</w:t>
      </w:r>
      <w:r w:rsidR="00CB49CF">
        <w:t>bn</w:t>
      </w:r>
      <w:r w:rsidR="007733BD">
        <w:t>.  The</w:t>
      </w:r>
      <w:r>
        <w:t xml:space="preserve"> public sector deficit </w:t>
      </w:r>
      <w:r w:rsidR="007733BD">
        <w:t xml:space="preserve">was </w:t>
      </w:r>
      <w:r>
        <w:t>even greater at $</w:t>
      </w:r>
      <w:r w:rsidR="001D3C7B">
        <w:t>6</w:t>
      </w:r>
      <w:r>
        <w:t>.</w:t>
      </w:r>
      <w:r w:rsidR="001D3C7B">
        <w:t>1</w:t>
      </w:r>
      <w:r>
        <w:t>bn</w:t>
      </w:r>
      <w:r w:rsidR="007733BD">
        <w:t>;</w:t>
      </w:r>
    </w:p>
    <w:p w14:paraId="11F2EF89" w14:textId="32BF5708" w:rsidR="00CB49CF" w:rsidRDefault="007733BD" w:rsidP="00225F2E">
      <w:pPr>
        <w:pStyle w:val="ListParagraph"/>
        <w:numPr>
          <w:ilvl w:val="0"/>
          <w:numId w:val="1"/>
        </w:numPr>
        <w:spacing w:after="0"/>
        <w:ind w:left="360"/>
      </w:pPr>
      <w:r>
        <w:t>T</w:t>
      </w:r>
      <w:r w:rsidR="00CB49CF">
        <w:t>he Commonwealth</w:t>
      </w:r>
      <w:r>
        <w:t>’s</w:t>
      </w:r>
      <w:r w:rsidR="00CB49CF">
        <w:t xml:space="preserve"> </w:t>
      </w:r>
      <w:r w:rsidR="009215A2">
        <w:t>surplus</w:t>
      </w:r>
      <w:r w:rsidR="00CB49CF">
        <w:t xml:space="preserve"> was swamped by State and local government deficit</w:t>
      </w:r>
      <w:r w:rsidR="00C32264">
        <w:t>s</w:t>
      </w:r>
      <w:r w:rsidR="00CB49CF">
        <w:t>;</w:t>
      </w:r>
    </w:p>
    <w:p w14:paraId="47C2AC92" w14:textId="69F9E02E" w:rsidR="007733BD" w:rsidRDefault="007733BD" w:rsidP="00225F2E">
      <w:pPr>
        <w:pStyle w:val="ListParagraph"/>
        <w:numPr>
          <w:ilvl w:val="0"/>
          <w:numId w:val="1"/>
        </w:numPr>
        <w:spacing w:after="0"/>
        <w:ind w:left="360"/>
      </w:pPr>
      <w:r>
        <w:t xml:space="preserve">States </w:t>
      </w:r>
      <w:r w:rsidR="009215A2">
        <w:t xml:space="preserve">(and local governments) can </w:t>
      </w:r>
      <w:r w:rsidR="0026722A">
        <w:t xml:space="preserve">support </w:t>
      </w:r>
      <w:r w:rsidR="009215A2">
        <w:t>the</w:t>
      </w:r>
      <w:r w:rsidR="0026722A">
        <w:t>se</w:t>
      </w:r>
      <w:r w:rsidR="009215A2">
        <w:t xml:space="preserve"> deficits from the flow of Commonwealth general purpose grants – which were</w:t>
      </w:r>
      <w:r>
        <w:t xml:space="preserve"> in the order of $</w:t>
      </w:r>
      <w:r w:rsidR="00083F97">
        <w:t>127</w:t>
      </w:r>
      <w:r>
        <w:t>bn</w:t>
      </w:r>
      <w:r w:rsidR="00083F97">
        <w:t xml:space="preserve"> in 2018-19.</w:t>
      </w:r>
      <w:r w:rsidR="00083F97">
        <w:rPr>
          <w:rStyle w:val="EndnoteReference"/>
        </w:rPr>
        <w:endnoteReference w:id="8"/>
      </w:r>
    </w:p>
    <w:p w14:paraId="64EA2693" w14:textId="77777777" w:rsidR="00AC2096" w:rsidRDefault="00AC2096" w:rsidP="00225F2E">
      <w:pPr>
        <w:spacing w:after="0"/>
      </w:pPr>
    </w:p>
    <w:p w14:paraId="21F3ABA7" w14:textId="04CA6DFD" w:rsidR="007733BD" w:rsidRDefault="00CB49CF" w:rsidP="00225F2E">
      <w:pPr>
        <w:spacing w:after="0"/>
      </w:pPr>
      <w:r>
        <w:t>Similar results have been reported for each year since 2007-08</w:t>
      </w:r>
      <w:r w:rsidR="007733BD">
        <w:t>.</w:t>
      </w:r>
    </w:p>
    <w:p w14:paraId="2C16DD26" w14:textId="77777777" w:rsidR="00225F2E" w:rsidRDefault="00225F2E" w:rsidP="00225F2E">
      <w:pPr>
        <w:spacing w:after="0"/>
      </w:pPr>
    </w:p>
    <w:p w14:paraId="468C5240" w14:textId="79C6446D" w:rsidR="00264514" w:rsidRDefault="00903D8A" w:rsidP="00225F2E">
      <w:pPr>
        <w:spacing w:after="0"/>
      </w:pPr>
      <w:r>
        <w:lastRenderedPageBreak/>
        <w:t>Claims such as made by the Alliance</w:t>
      </w:r>
      <w:r w:rsidR="007733BD">
        <w:t xml:space="preserve"> invite readers to </w:t>
      </w:r>
      <w:r>
        <w:t>conclude</w:t>
      </w:r>
      <w:r w:rsidR="007733BD">
        <w:t xml:space="preserve"> governments should spend on roads what they </w:t>
      </w:r>
      <w:r w:rsidR="00264514">
        <w:t xml:space="preserve">presently </w:t>
      </w:r>
      <w:r w:rsidR="007733BD">
        <w:t xml:space="preserve">collect from roads.  </w:t>
      </w:r>
      <w:r w:rsidR="00264514">
        <w:t xml:space="preserve">Were this to occur, there </w:t>
      </w:r>
      <w:r w:rsidR="00CB49CF">
        <w:t xml:space="preserve">would </w:t>
      </w:r>
      <w:r w:rsidR="00264514">
        <w:t>be</w:t>
      </w:r>
      <w:r w:rsidR="00CB49CF">
        <w:t xml:space="preserve"> a </w:t>
      </w:r>
      <w:r>
        <w:t>2</w:t>
      </w:r>
      <w:r w:rsidR="001D3C7B">
        <w:t>1</w:t>
      </w:r>
      <w:r>
        <w:t>%</w:t>
      </w:r>
      <w:r w:rsidR="00CB49CF">
        <w:t xml:space="preserve"> reduction in aggregate road spending</w:t>
      </w:r>
      <w:r>
        <w:t>,</w:t>
      </w:r>
      <w:r w:rsidR="00CB49CF">
        <w:t xml:space="preserve"> </w:t>
      </w:r>
      <w:r w:rsidR="00264514">
        <w:t>distortions in</w:t>
      </w:r>
      <w:r w:rsidR="00CB49CF">
        <w:t xml:space="preserve"> spending towards national highways at the expense of local roads and Constitutional</w:t>
      </w:r>
      <w:r w:rsidR="00264514">
        <w:t xml:space="preserve"> </w:t>
      </w:r>
      <w:r w:rsidR="00CB49CF">
        <w:t>problem</w:t>
      </w:r>
      <w:r w:rsidR="00264514">
        <w:t>s</w:t>
      </w:r>
      <w:r w:rsidR="00CB49CF">
        <w:t>.</w:t>
      </w:r>
      <w:r w:rsidR="00CB49CF">
        <w:rPr>
          <w:rStyle w:val="EndnoteReference"/>
        </w:rPr>
        <w:endnoteReference w:id="9"/>
      </w:r>
    </w:p>
    <w:p w14:paraId="3153756F" w14:textId="77777777" w:rsidR="00225F2E" w:rsidRDefault="00225F2E" w:rsidP="00225F2E">
      <w:pPr>
        <w:spacing w:after="0"/>
      </w:pPr>
    </w:p>
    <w:p w14:paraId="3726C34D" w14:textId="7614ACEC" w:rsidR="00264514" w:rsidRDefault="00C32264" w:rsidP="00225F2E">
      <w:pPr>
        <w:spacing w:after="0"/>
      </w:pPr>
      <w:r>
        <w:t>The</w:t>
      </w:r>
      <w:r w:rsidR="00264514">
        <w:t xml:space="preserve"> core elements of th</w:t>
      </w:r>
      <w:r w:rsidR="00FC4C8B">
        <w:t>es</w:t>
      </w:r>
      <w:r w:rsidR="00264514">
        <w:t>e</w:t>
      </w:r>
      <w:r>
        <w:t xml:space="preserve"> facts were </w:t>
      </w:r>
      <w:r w:rsidR="00CE5885">
        <w:t>given</w:t>
      </w:r>
      <w:r>
        <w:t xml:space="preserve"> to the Alliance and remain unchallenged.  Nonetheless, the Alliance </w:t>
      </w:r>
      <w:r w:rsidR="00264514">
        <w:t xml:space="preserve">on 21 April 2021 </w:t>
      </w:r>
      <w:r>
        <w:t>repeated the essence of its argument</w:t>
      </w:r>
      <w:r w:rsidR="00264514">
        <w:t>:</w:t>
      </w:r>
    </w:p>
    <w:p w14:paraId="3E48A5F4" w14:textId="77777777" w:rsidR="00264514" w:rsidRPr="00225F2E" w:rsidRDefault="00264514" w:rsidP="00225F2E">
      <w:pPr>
        <w:spacing w:after="0"/>
        <w:ind w:left="720"/>
        <w:rPr>
          <w:rFonts w:cstheme="minorHAnsi"/>
          <w:i/>
          <w:iCs/>
          <w:color w:val="050505"/>
          <w:sz w:val="20"/>
          <w:szCs w:val="20"/>
          <w:shd w:val="clear" w:color="auto" w:fill="FFFFFF"/>
        </w:rPr>
      </w:pPr>
      <w:r w:rsidRPr="00225F2E">
        <w:rPr>
          <w:rFonts w:cstheme="minorHAnsi"/>
          <w:i/>
          <w:iCs/>
          <w:color w:val="050505"/>
          <w:sz w:val="20"/>
          <w:szCs w:val="20"/>
          <w:shd w:val="clear" w:color="auto" w:fill="FFFFFF"/>
        </w:rPr>
        <w:t>‘The fuel excise is justified to the Australian public as a way to pay for roads and bridges. However, less than half of the revenue generated from the excise funds transportation infrastructure, a fact that is most clearly observable by the sorry state of our roads.’</w:t>
      </w:r>
    </w:p>
    <w:p w14:paraId="43795E18" w14:textId="77777777" w:rsidR="00225F2E" w:rsidRDefault="00225F2E" w:rsidP="00225F2E">
      <w:pPr>
        <w:spacing w:after="0"/>
      </w:pPr>
    </w:p>
    <w:p w14:paraId="255A7D2F" w14:textId="3EF7CCD2" w:rsidR="00264514" w:rsidRDefault="00264514" w:rsidP="00225F2E">
      <w:pPr>
        <w:spacing w:after="0"/>
      </w:pPr>
      <w:r>
        <w:t xml:space="preserve">This repeat is </w:t>
      </w:r>
      <w:r w:rsidR="00903D8A">
        <w:t>at least as wrong as before</w:t>
      </w:r>
      <w:r w:rsidR="000148A0">
        <w:t>:</w:t>
      </w:r>
      <w:r>
        <w:t xml:space="preserve">  </w:t>
      </w:r>
    </w:p>
    <w:p w14:paraId="2FEC432A" w14:textId="2C7F599A" w:rsidR="00456B88" w:rsidRDefault="00456B88" w:rsidP="00225F2E">
      <w:pPr>
        <w:pStyle w:val="ListParagraph"/>
        <w:numPr>
          <w:ilvl w:val="0"/>
          <w:numId w:val="1"/>
        </w:numPr>
        <w:spacing w:after="0"/>
        <w:ind w:left="360"/>
      </w:pPr>
      <w:r>
        <w:t xml:space="preserve">It is unclear who justified the excise on the basis of being a way to pay for roads and bridges.  Were </w:t>
      </w:r>
      <w:r w:rsidR="0027584E">
        <w:t>the excise</w:t>
      </w:r>
      <w:r>
        <w:t xml:space="preserve"> to do so, it would need to be set at a much higher level than at present;</w:t>
      </w:r>
    </w:p>
    <w:p w14:paraId="1FFC4696" w14:textId="77777777" w:rsidR="00FC4C8B" w:rsidRDefault="00456B88" w:rsidP="00225F2E">
      <w:pPr>
        <w:pStyle w:val="ListParagraph"/>
        <w:numPr>
          <w:ilvl w:val="0"/>
          <w:numId w:val="1"/>
        </w:numPr>
        <w:spacing w:after="0"/>
        <w:ind w:left="360"/>
      </w:pPr>
      <w:r>
        <w:t xml:space="preserve">The revenue generated from the excise goes to Commonwealth consolidated revenue.  </w:t>
      </w:r>
      <w:r w:rsidR="00FC4C8B">
        <w:t>At law, n</w:t>
      </w:r>
      <w:r>
        <w:t>one of it funds transport infrastructure</w:t>
      </w:r>
      <w:r w:rsidR="00FC4C8B">
        <w:t>;</w:t>
      </w:r>
    </w:p>
    <w:p w14:paraId="325F1F8D" w14:textId="3D7D7529" w:rsidR="00456B88" w:rsidRDefault="00FC4C8B" w:rsidP="00225F2E">
      <w:pPr>
        <w:pStyle w:val="ListParagraph"/>
        <w:numPr>
          <w:ilvl w:val="0"/>
          <w:numId w:val="1"/>
        </w:numPr>
        <w:spacing w:after="0"/>
        <w:ind w:left="360"/>
      </w:pPr>
      <w:r>
        <w:t>T</w:t>
      </w:r>
      <w:r w:rsidR="00456B88">
        <w:t xml:space="preserve">he Commonwealth does not own roads, and therefore is unable to spend directly on roads.  Rather Commonwealth </w:t>
      </w:r>
      <w:r>
        <w:t>monies</w:t>
      </w:r>
      <w:r w:rsidR="00456B88">
        <w:t xml:space="preserve"> used for road</w:t>
      </w:r>
      <w:r w:rsidR="000148A0">
        <w:t>s</w:t>
      </w:r>
      <w:r w:rsidR="00456B88">
        <w:t xml:space="preserve"> </w:t>
      </w:r>
      <w:r>
        <w:t>are</w:t>
      </w:r>
      <w:r w:rsidR="00456B88">
        <w:t xml:space="preserve"> </w:t>
      </w:r>
      <w:r w:rsidR="0027584E">
        <w:t xml:space="preserve">drawn from consolidated revenue and </w:t>
      </w:r>
      <w:r w:rsidR="00456B88">
        <w:t xml:space="preserve">made available through Commonwealth </w:t>
      </w:r>
      <w:r w:rsidR="00903D8A">
        <w:t>p</w:t>
      </w:r>
      <w:r w:rsidR="00456B88">
        <w:t>ayments to States;</w:t>
      </w:r>
    </w:p>
    <w:p w14:paraId="16D00A25" w14:textId="640DFC79" w:rsidR="00456B88" w:rsidRDefault="00456B88" w:rsidP="00225F2E">
      <w:pPr>
        <w:pStyle w:val="ListParagraph"/>
        <w:numPr>
          <w:ilvl w:val="0"/>
          <w:numId w:val="1"/>
        </w:numPr>
        <w:spacing w:after="0"/>
        <w:ind w:left="360"/>
      </w:pPr>
      <w:r>
        <w:t xml:space="preserve">The official road spending and revenue figures have not been updated since February 2021.  </w:t>
      </w:r>
      <w:r w:rsidR="0027584E">
        <w:t>For Australia, government r</w:t>
      </w:r>
      <w:r>
        <w:t>evenue collected from road use fell short of road spending by $3</w:t>
      </w:r>
      <w:r w:rsidR="00E5030C">
        <w:t>1</w:t>
      </w:r>
      <w:r w:rsidR="001D3C7B">
        <w:t>.</w:t>
      </w:r>
      <w:r w:rsidR="00E5030C">
        <w:t>3</w:t>
      </w:r>
      <w:r>
        <w:t xml:space="preserve">bn in the </w:t>
      </w:r>
      <w:r w:rsidR="00CE5885">
        <w:t xml:space="preserve">most recently reported </w:t>
      </w:r>
      <w:r>
        <w:t>decade</w:t>
      </w:r>
      <w:r w:rsidR="00903D8A">
        <w:t xml:space="preserve"> </w:t>
      </w:r>
      <w:r w:rsidR="00CE5885">
        <w:t xml:space="preserve">- </w:t>
      </w:r>
      <w:r w:rsidR="00903D8A">
        <w:t>to 201</w:t>
      </w:r>
      <w:r w:rsidR="001D3C7B">
        <w:t>8</w:t>
      </w:r>
      <w:r w:rsidR="00903D8A">
        <w:t>-1</w:t>
      </w:r>
      <w:r w:rsidR="001D3C7B">
        <w:t>9</w:t>
      </w:r>
      <w:r>
        <w:t xml:space="preserve">.  </w:t>
      </w:r>
    </w:p>
    <w:p w14:paraId="173CDD2F" w14:textId="77777777" w:rsidR="00225F2E" w:rsidRDefault="00225F2E" w:rsidP="00225F2E">
      <w:pPr>
        <w:pStyle w:val="ListParagraph"/>
        <w:spacing w:after="0"/>
        <w:ind w:left="360"/>
      </w:pPr>
    </w:p>
    <w:p w14:paraId="6882B907" w14:textId="24507FE6" w:rsidR="000148A0" w:rsidRDefault="00225F2E" w:rsidP="00225F2E">
      <w:pPr>
        <w:spacing w:after="0"/>
      </w:pPr>
      <w:r>
        <w:t>Yet t</w:t>
      </w:r>
      <w:r w:rsidR="000148A0">
        <w:t>he</w:t>
      </w:r>
      <w:r w:rsidR="00FC4C8B">
        <w:t xml:space="preserve"> Alliance is correct in noting</w:t>
      </w:r>
      <w:r w:rsidR="000148A0">
        <w:t xml:space="preserve"> observations of roads in poor condition. </w:t>
      </w:r>
      <w:r w:rsidR="00903D8A">
        <w:t xml:space="preserve"> </w:t>
      </w:r>
      <w:r w:rsidR="00E64E93">
        <w:t>I</w:t>
      </w:r>
      <w:r w:rsidR="000148A0">
        <w:t xml:space="preserve">n the context of </w:t>
      </w:r>
      <w:r w:rsidR="0027584E">
        <w:t xml:space="preserve">consistent and </w:t>
      </w:r>
      <w:r w:rsidR="000148A0">
        <w:t>large fiscal deficits</w:t>
      </w:r>
      <w:r w:rsidR="00FC4C8B">
        <w:t>,</w:t>
      </w:r>
      <w:r w:rsidR="000148A0">
        <w:t xml:space="preserve"> </w:t>
      </w:r>
      <w:r w:rsidR="00E64E93">
        <w:t>such</w:t>
      </w:r>
      <w:r w:rsidR="0027584E">
        <w:t xml:space="preserve"> observations</w:t>
      </w:r>
      <w:r w:rsidR="000148A0">
        <w:t xml:space="preserve"> </w:t>
      </w:r>
      <w:r w:rsidR="0027584E">
        <w:t xml:space="preserve">suggest a substantial </w:t>
      </w:r>
      <w:r w:rsidR="000148A0">
        <w:t>misallocation of road spending towards new projects and to motorways/highways</w:t>
      </w:r>
      <w:r>
        <w:t xml:space="preserve">.  This </w:t>
      </w:r>
      <w:r w:rsidR="005B7119">
        <w:t>has been</w:t>
      </w:r>
      <w:r w:rsidR="000148A0">
        <w:t xml:space="preserve"> at the expense of maintenance of local and arterial roads.  Part of the cause </w:t>
      </w:r>
      <w:r>
        <w:t>is</w:t>
      </w:r>
      <w:r w:rsidR="000148A0">
        <w:t xml:space="preserve"> Commonwealth preference to </w:t>
      </w:r>
      <w:r w:rsidR="00FC4C8B">
        <w:t>provide specific purpose payments to</w:t>
      </w:r>
      <w:r w:rsidR="000148A0">
        <w:t xml:space="preserve"> State</w:t>
      </w:r>
      <w:r w:rsidR="00FC4C8B">
        <w:t>s’</w:t>
      </w:r>
      <w:r w:rsidR="000148A0">
        <w:t xml:space="preserve"> major road projects.</w:t>
      </w:r>
    </w:p>
    <w:p w14:paraId="5D3E91BF" w14:textId="77777777" w:rsidR="00225F2E" w:rsidRDefault="00225F2E" w:rsidP="00225F2E">
      <w:pPr>
        <w:spacing w:after="0"/>
      </w:pPr>
    </w:p>
    <w:p w14:paraId="3A156BEF" w14:textId="6DCD2157" w:rsidR="0027584E" w:rsidRDefault="000148A0" w:rsidP="00225F2E">
      <w:pPr>
        <w:spacing w:after="0"/>
      </w:pPr>
      <w:r>
        <w:t xml:space="preserve">Were the Commonwealth to take up the </w:t>
      </w:r>
      <w:r w:rsidR="00E64E93">
        <w:t xml:space="preserve">‘spend the revenue’ </w:t>
      </w:r>
      <w:r>
        <w:t xml:space="preserve">suggestion, it would increase specific purpose road grants to the States and </w:t>
      </w:r>
      <w:r w:rsidR="00225F2E">
        <w:t xml:space="preserve">likely </w:t>
      </w:r>
      <w:r>
        <w:t>offset these outlays by reducing general purpose grants.  Th</w:t>
      </w:r>
      <w:r w:rsidR="00225F2E">
        <w:t>is</w:t>
      </w:r>
      <w:r>
        <w:t xml:space="preserve"> would increase spending on motorways/highways and reduce </w:t>
      </w:r>
      <w:r w:rsidR="005B7119">
        <w:t xml:space="preserve">the ability of State and local governments to </w:t>
      </w:r>
      <w:r>
        <w:t>spend on local and arterial roads.  The result would be a worsening in road condition</w:t>
      </w:r>
      <w:r w:rsidR="00E64E93">
        <w:t xml:space="preserve"> - u</w:t>
      </w:r>
      <w:r w:rsidR="0027584E">
        <w:t>nless States were to radically increase the revenues they collect from roads.</w:t>
      </w:r>
    </w:p>
    <w:p w14:paraId="7DD9DBEF" w14:textId="77777777" w:rsidR="00225F2E" w:rsidRDefault="00225F2E" w:rsidP="00225F2E">
      <w:pPr>
        <w:spacing w:after="0"/>
      </w:pPr>
    </w:p>
    <w:p w14:paraId="21C1D7DA" w14:textId="123AC94F" w:rsidR="00E64E93" w:rsidRDefault="00E64E93" w:rsidP="00225F2E">
      <w:pPr>
        <w:spacing w:after="0"/>
      </w:pPr>
      <w:r>
        <w:t xml:space="preserve">In summary, </w:t>
      </w:r>
      <w:r w:rsidR="00225F2E">
        <w:t>when relevant facts are taken into account</w:t>
      </w:r>
      <w:r w:rsidR="00CE5885">
        <w:t>,</w:t>
      </w:r>
      <w:r w:rsidR="00225F2E">
        <w:t xml:space="preserve"> </w:t>
      </w:r>
      <w:r>
        <w:t xml:space="preserve">the presented ‘reasoning’ </w:t>
      </w:r>
      <w:r w:rsidR="00225F2E">
        <w:t>gives</w:t>
      </w:r>
      <w:r>
        <w:t xml:space="preserve"> results likely considered perverse by proponents.</w:t>
      </w:r>
    </w:p>
    <w:p w14:paraId="014698C4" w14:textId="0C5F36E7" w:rsidR="002861F1" w:rsidRDefault="002861F1" w:rsidP="00225F2E">
      <w:pPr>
        <w:spacing w:after="0"/>
      </w:pPr>
    </w:p>
    <w:p w14:paraId="453E993D" w14:textId="5B1C07FE" w:rsidR="00264514" w:rsidRDefault="00910750" w:rsidP="00225F2E">
      <w:pPr>
        <w:pStyle w:val="Heading2"/>
      </w:pPr>
      <w:bookmarkStart w:id="3" w:name="_Toc71796189"/>
      <w:r>
        <w:t>3.</w:t>
      </w:r>
      <w:r>
        <w:tab/>
      </w:r>
      <w:r w:rsidR="00225F2E">
        <w:t>Fossil fuel subsid</w:t>
      </w:r>
      <w:r>
        <w:t>ies</w:t>
      </w:r>
      <w:r w:rsidR="00225F2E">
        <w:t>?</w:t>
      </w:r>
      <w:bookmarkEnd w:id="3"/>
    </w:p>
    <w:p w14:paraId="382F6025" w14:textId="77777777" w:rsidR="00887426" w:rsidRDefault="00887426" w:rsidP="00887426">
      <w:pPr>
        <w:pStyle w:val="Heading3"/>
      </w:pPr>
      <w:bookmarkStart w:id="4" w:name="_Toc71796190"/>
      <w:r>
        <w:t>3.1</w:t>
      </w:r>
      <w:r>
        <w:tab/>
        <w:t>Introduction</w:t>
      </w:r>
      <w:bookmarkEnd w:id="4"/>
    </w:p>
    <w:p w14:paraId="319F901D" w14:textId="330093B5" w:rsidR="00225F2E" w:rsidRDefault="00225F2E" w:rsidP="00225F2E">
      <w:pPr>
        <w:spacing w:after="0"/>
      </w:pPr>
      <w:r>
        <w:t>In April 2021, the Australia Institute</w:t>
      </w:r>
      <w:r w:rsidR="00264514">
        <w:t xml:space="preserve"> </w:t>
      </w:r>
      <w:r w:rsidR="00C53DF9">
        <w:t xml:space="preserve">claimed there is </w:t>
      </w:r>
      <w:r>
        <w:t>extensive subsidisation of fossil fuels</w:t>
      </w:r>
      <w:r w:rsidR="00C53DF9">
        <w:t>:</w:t>
      </w:r>
    </w:p>
    <w:p w14:paraId="3C1D047A" w14:textId="77777777" w:rsidR="00C53DF9" w:rsidRDefault="00C53DF9" w:rsidP="00C53DF9">
      <w:pPr>
        <w:spacing w:after="0"/>
        <w:ind w:left="720"/>
      </w:pPr>
      <w:r>
        <w:rPr>
          <w:i/>
          <w:iCs/>
          <w:sz w:val="20"/>
          <w:szCs w:val="20"/>
        </w:rPr>
        <w:t>‘</w:t>
      </w:r>
      <w:r w:rsidRPr="00C53DF9">
        <w:rPr>
          <w:i/>
          <w:iCs/>
          <w:sz w:val="20"/>
          <w:szCs w:val="20"/>
        </w:rPr>
        <w:t>In 2020-21, Australian Federal and state governments provided a total of $10.3 billion worth of spending and tax breaks to assist fossil fuel industries. The $7.8 billion cost of the fuel tax rebate alone is more than the budget of the Australian Army</w:t>
      </w:r>
      <w:r>
        <w:rPr>
          <w:i/>
          <w:iCs/>
          <w:sz w:val="20"/>
          <w:szCs w:val="20"/>
        </w:rPr>
        <w:t>……’</w:t>
      </w:r>
      <w:r w:rsidRPr="00C53DF9">
        <w:rPr>
          <w:i/>
          <w:iCs/>
          <w:sz w:val="20"/>
          <w:szCs w:val="20"/>
        </w:rPr>
        <w:t>.</w:t>
      </w:r>
      <w:r>
        <w:t xml:space="preserve"> </w:t>
      </w:r>
    </w:p>
    <w:p w14:paraId="312A1D8C" w14:textId="77777777" w:rsidR="00C53DF9" w:rsidRDefault="00C53DF9" w:rsidP="00C53DF9">
      <w:pPr>
        <w:spacing w:after="0"/>
      </w:pPr>
    </w:p>
    <w:p w14:paraId="75BBE2EC" w14:textId="5854B6CA" w:rsidR="00C53DF9" w:rsidRDefault="00887426" w:rsidP="00C53DF9">
      <w:pPr>
        <w:spacing w:after="0"/>
      </w:pPr>
      <w:r>
        <w:t>This</w:t>
      </w:r>
      <w:r w:rsidR="00225F2E">
        <w:t xml:space="preserve"> </w:t>
      </w:r>
      <w:r w:rsidR="00C53DF9">
        <w:t>appears to be inspired by election of a new US President and a claim the US</w:t>
      </w:r>
      <w:r w:rsidR="00910750">
        <w:t>A</w:t>
      </w:r>
      <w:r w:rsidR="00C53DF9">
        <w:t xml:space="preserve"> Treasury:  </w:t>
      </w:r>
    </w:p>
    <w:p w14:paraId="6EDAB954" w14:textId="002CC9A6" w:rsidR="00C53DF9" w:rsidRPr="00C53DF9" w:rsidRDefault="00C53DF9" w:rsidP="00C53DF9">
      <w:pPr>
        <w:spacing w:after="0"/>
        <w:ind w:left="720"/>
        <w:rPr>
          <w:i/>
          <w:iCs/>
          <w:sz w:val="20"/>
          <w:szCs w:val="20"/>
        </w:rPr>
      </w:pPr>
      <w:r w:rsidRPr="00C53DF9">
        <w:rPr>
          <w:i/>
          <w:iCs/>
          <w:sz w:val="20"/>
          <w:szCs w:val="20"/>
        </w:rPr>
        <w:t>‘estimates that government revenue could be increased by $35 billion over ten years by cutting out various ways that the US Government and tax system assist the fossil fuel sector.’</w:t>
      </w:r>
    </w:p>
    <w:p w14:paraId="51409B41" w14:textId="77777777" w:rsidR="00C53DF9" w:rsidRPr="00C53DF9" w:rsidRDefault="00C53DF9" w:rsidP="00C53DF9">
      <w:pPr>
        <w:spacing w:after="0"/>
        <w:ind w:left="720"/>
        <w:rPr>
          <w:i/>
          <w:iCs/>
        </w:rPr>
      </w:pPr>
    </w:p>
    <w:p w14:paraId="08699D46" w14:textId="77777777" w:rsidR="00887426" w:rsidRDefault="00887426" w:rsidP="00887426">
      <w:pPr>
        <w:pStyle w:val="Heading3"/>
      </w:pPr>
      <w:bookmarkStart w:id="5" w:name="_Toc71796191"/>
      <w:r>
        <w:t>3.2</w:t>
      </w:r>
      <w:r>
        <w:tab/>
        <w:t>Some cited research</w:t>
      </w:r>
      <w:bookmarkEnd w:id="5"/>
    </w:p>
    <w:p w14:paraId="5BE89A46" w14:textId="6EAA6CDB" w:rsidR="00A21AC9" w:rsidRDefault="00C53DF9" w:rsidP="00C53DF9">
      <w:pPr>
        <w:spacing w:after="0"/>
      </w:pPr>
      <w:r>
        <w:t xml:space="preserve">The </w:t>
      </w:r>
      <w:r w:rsidR="00887426">
        <w:t xml:space="preserve">relevant </w:t>
      </w:r>
      <w:r>
        <w:t>report present</w:t>
      </w:r>
      <w:r w:rsidR="006D3726">
        <w:t>ed</w:t>
      </w:r>
      <w:r>
        <w:t xml:space="preserve"> previous estimates of subsidies</w:t>
      </w:r>
      <w:r w:rsidR="00CE5885">
        <w:t xml:space="preserve"> -</w:t>
      </w:r>
      <w:r>
        <w:t xml:space="preserve"> </w:t>
      </w:r>
      <w:r w:rsidR="00887426">
        <w:t>from</w:t>
      </w:r>
      <w:r>
        <w:t xml:space="preserve"> </w:t>
      </w:r>
      <w:r w:rsidR="002E4664">
        <w:t>$1bn (Productivity Commission 2018-19) to $29bn (IMF 2015)</w:t>
      </w:r>
      <w:r w:rsidR="00887426">
        <w:t>.  It note</w:t>
      </w:r>
      <w:r w:rsidR="006D3726">
        <w:t>d</w:t>
      </w:r>
      <w:r w:rsidR="002E4664">
        <w:t xml:space="preserve"> the variance is </w:t>
      </w:r>
      <w:r w:rsidR="00887426">
        <w:t xml:space="preserve">part </w:t>
      </w:r>
      <w:r w:rsidR="002E4664">
        <w:t>due to differences in opinions about what constitutes a subsidy.</w:t>
      </w:r>
      <w:r w:rsidR="00A21AC9">
        <w:t xml:space="preserve">  </w:t>
      </w:r>
    </w:p>
    <w:p w14:paraId="37B1157B" w14:textId="77777777" w:rsidR="00A21AC9" w:rsidRDefault="00A21AC9" w:rsidP="00C53DF9">
      <w:pPr>
        <w:spacing w:after="0"/>
      </w:pPr>
    </w:p>
    <w:p w14:paraId="6887DA28" w14:textId="7461EBC1" w:rsidR="00746273" w:rsidRDefault="00A21AC9" w:rsidP="00C53DF9">
      <w:pPr>
        <w:spacing w:after="0"/>
      </w:pPr>
      <w:r>
        <w:t xml:space="preserve">The </w:t>
      </w:r>
      <w:r w:rsidR="00887426">
        <w:t xml:space="preserve">cited </w:t>
      </w:r>
      <w:r>
        <w:t xml:space="preserve">Productivity Commission work is a </w:t>
      </w:r>
      <w:r w:rsidRPr="00887426">
        <w:rPr>
          <w:i/>
          <w:iCs/>
        </w:rPr>
        <w:t>Trade and Assistance Review</w:t>
      </w:r>
      <w:r>
        <w:t xml:space="preserve">.  It </w:t>
      </w:r>
      <w:r w:rsidR="00CE5885">
        <w:t>is</w:t>
      </w:r>
      <w:r>
        <w:t xml:space="preserve"> </w:t>
      </w:r>
      <w:r w:rsidR="00CE5885">
        <w:t xml:space="preserve">a </w:t>
      </w:r>
      <w:r>
        <w:t xml:space="preserve">continuation of a long series of annual presentations of industry assistance which focus on protection from international trade via import tariffs and quotas.  </w:t>
      </w:r>
      <w:r w:rsidR="004269C9">
        <w:t xml:space="preserve">The methodology </w:t>
      </w:r>
      <w:r w:rsidR="00887426">
        <w:t>wa</w:t>
      </w:r>
      <w:r w:rsidR="004269C9">
        <w:t xml:space="preserve">s arithmetic </w:t>
      </w:r>
      <w:r w:rsidR="00FC4C8B">
        <w:t xml:space="preserve">- </w:t>
      </w:r>
      <w:r w:rsidR="004269C9">
        <w:t xml:space="preserve">totalling of </w:t>
      </w:r>
      <w:r w:rsidR="00CE5885">
        <w:t xml:space="preserve">some </w:t>
      </w:r>
      <w:r w:rsidR="004269C9">
        <w:t xml:space="preserve">Government outlays and tax concessions.  </w:t>
      </w:r>
      <w:r>
        <w:t xml:space="preserve">It </w:t>
      </w:r>
      <w:r w:rsidR="004269C9">
        <w:t>excluded</w:t>
      </w:r>
      <w:r>
        <w:t xml:space="preserve"> fuel taxes</w:t>
      </w:r>
      <w:r w:rsidR="004269C9">
        <w:t xml:space="preserve"> and tax concessions</w:t>
      </w:r>
      <w:r>
        <w:t xml:space="preserve">.  </w:t>
      </w:r>
      <w:r w:rsidR="004269C9">
        <w:t xml:space="preserve">A word search of the </w:t>
      </w:r>
      <w:r w:rsidR="00FC4C8B" w:rsidRPr="00FC4C8B">
        <w:rPr>
          <w:i/>
          <w:iCs/>
        </w:rPr>
        <w:t>Review</w:t>
      </w:r>
      <w:r w:rsidR="004269C9">
        <w:t xml:space="preserve"> does not identify any mention of fossil fuels or lead to </w:t>
      </w:r>
      <w:r>
        <w:t>a</w:t>
      </w:r>
      <w:r w:rsidR="004269C9">
        <w:t>ny</w:t>
      </w:r>
      <w:r>
        <w:t xml:space="preserve"> estimate </w:t>
      </w:r>
      <w:r w:rsidR="004269C9">
        <w:t>o</w:t>
      </w:r>
      <w:r>
        <w:t>f fossil fuel subsidies.</w:t>
      </w:r>
      <w:r w:rsidR="00746273">
        <w:t xml:space="preserve">  A previous </w:t>
      </w:r>
      <w:r w:rsidR="00CE5885">
        <w:t>‘</w:t>
      </w:r>
      <w:r w:rsidR="00746273">
        <w:t>fact</w:t>
      </w:r>
      <w:r w:rsidR="00CE5885">
        <w:t>-</w:t>
      </w:r>
      <w:r w:rsidR="00746273">
        <w:t>check</w:t>
      </w:r>
      <w:r w:rsidR="00CE5885">
        <w:t>’</w:t>
      </w:r>
      <w:r w:rsidR="00746273">
        <w:t xml:space="preserve"> </w:t>
      </w:r>
      <w:r w:rsidR="005B7119">
        <w:t>stated</w:t>
      </w:r>
      <w:r w:rsidR="00746273">
        <w:t>:</w:t>
      </w:r>
    </w:p>
    <w:p w14:paraId="76D422C0" w14:textId="559D71C9" w:rsidR="00A21AC9" w:rsidRPr="00887426" w:rsidRDefault="00746273" w:rsidP="00746273">
      <w:pPr>
        <w:ind w:left="720"/>
        <w:rPr>
          <w:i/>
          <w:iCs/>
          <w:sz w:val="20"/>
          <w:szCs w:val="20"/>
        </w:rPr>
      </w:pPr>
      <w:r w:rsidRPr="00887426">
        <w:rPr>
          <w:i/>
          <w:iCs/>
          <w:sz w:val="20"/>
          <w:szCs w:val="20"/>
          <w:shd w:val="clear" w:color="auto" w:fill="FFFFFF"/>
        </w:rPr>
        <w:t>‘the commission’s figures do not allow an accurate assessment of subsidisation of “fossil-fuel industries”.</w:t>
      </w:r>
      <w:r w:rsidR="00A21AC9" w:rsidRPr="00887426">
        <w:rPr>
          <w:rStyle w:val="EndnoteReference"/>
          <w:i/>
          <w:iCs/>
          <w:sz w:val="20"/>
          <w:szCs w:val="20"/>
        </w:rPr>
        <w:endnoteReference w:id="10"/>
      </w:r>
    </w:p>
    <w:p w14:paraId="35F27B15" w14:textId="378BAA64" w:rsidR="00910750" w:rsidRDefault="004269C9" w:rsidP="00C53DF9">
      <w:pPr>
        <w:spacing w:after="0"/>
      </w:pPr>
      <w:r>
        <w:t xml:space="preserve">The methodology for the IMF’s estimate </w:t>
      </w:r>
      <w:r w:rsidR="00887426">
        <w:t>wa</w:t>
      </w:r>
      <w:r>
        <w:t>s entirely different.  The relevant paper claim</w:t>
      </w:r>
      <w:r w:rsidR="00887426">
        <w:t>ed</w:t>
      </w:r>
      <w:r>
        <w:t xml:space="preserve"> to have considered </w:t>
      </w:r>
      <w:r w:rsidR="00CC5256">
        <w:t>subsidy</w:t>
      </w:r>
      <w:r>
        <w:t xml:space="preserve"> as a function of the difference between observed price and ‘efficient price’</w:t>
      </w:r>
      <w:r w:rsidR="00887426">
        <w:t xml:space="preserve"> - </w:t>
      </w:r>
      <w:r>
        <w:t xml:space="preserve">the latter </w:t>
      </w:r>
      <w:r w:rsidR="00887426">
        <w:t>taking</w:t>
      </w:r>
      <w:r>
        <w:t xml:space="preserve"> into account all externalities such as pollution.  An observed price below efficient price implies inadequate taxation</w:t>
      </w:r>
      <w:r w:rsidR="00CC5256">
        <w:t xml:space="preserve"> – a tax concession.  </w:t>
      </w:r>
      <w:r w:rsidR="00887426">
        <w:t>Th</w:t>
      </w:r>
      <w:r w:rsidR="00FC4C8B">
        <w:t>e methodology</w:t>
      </w:r>
      <w:r w:rsidR="00887426">
        <w:t xml:space="preserve"> implies use of modelling r</w:t>
      </w:r>
      <w:r w:rsidR="00910750">
        <w:t xml:space="preserve">ather than </w:t>
      </w:r>
      <w:r w:rsidR="00887426">
        <w:t xml:space="preserve">simple </w:t>
      </w:r>
      <w:r w:rsidR="00910750">
        <w:t xml:space="preserve">arithmetic.  In principle, this is </w:t>
      </w:r>
      <w:r w:rsidR="00FC4C8B">
        <w:t>a</w:t>
      </w:r>
      <w:r w:rsidR="00910750">
        <w:t xml:space="preserve"> better approach to analyse</w:t>
      </w:r>
      <w:r w:rsidR="00D0386F">
        <w:t xml:space="preserve"> </w:t>
      </w:r>
      <w:r w:rsidR="006D3726">
        <w:t>fossil fuel</w:t>
      </w:r>
      <w:r w:rsidR="00D0386F">
        <w:t xml:space="preserve"> economics.</w:t>
      </w:r>
      <w:r w:rsidR="00887426">
        <w:t xml:space="preserve">  </w:t>
      </w:r>
    </w:p>
    <w:p w14:paraId="72ACBDC6" w14:textId="77777777" w:rsidR="00910750" w:rsidRDefault="00910750" w:rsidP="00C53DF9">
      <w:pPr>
        <w:spacing w:after="0"/>
      </w:pPr>
    </w:p>
    <w:p w14:paraId="6EC9DB1E" w14:textId="6C31D967" w:rsidR="00CC5256" w:rsidRDefault="00CC5256" w:rsidP="00C53DF9">
      <w:pPr>
        <w:spacing w:after="0"/>
      </w:pPr>
      <w:r>
        <w:t xml:space="preserve">The </w:t>
      </w:r>
      <w:r w:rsidR="00910750">
        <w:t xml:space="preserve">IMF </w:t>
      </w:r>
      <w:r>
        <w:t>paper d</w:t>
      </w:r>
      <w:r w:rsidR="00910750">
        <w:t>id</w:t>
      </w:r>
      <w:r>
        <w:t xml:space="preserve"> not present all details of calculations for its $29bn estimate of Australia</w:t>
      </w:r>
      <w:r w:rsidR="00910750">
        <w:t>n</w:t>
      </w:r>
      <w:r>
        <w:t xml:space="preserve"> subsid</w:t>
      </w:r>
      <w:r w:rsidR="00910750">
        <w:t>ies</w:t>
      </w:r>
      <w:r>
        <w:t xml:space="preserve"> </w:t>
      </w:r>
      <w:r w:rsidR="009169A0">
        <w:t xml:space="preserve">an update of </w:t>
      </w:r>
      <w:r w:rsidR="00910750">
        <w:t>which is shown in</w:t>
      </w:r>
      <w:r>
        <w:t xml:space="preserve"> Table </w:t>
      </w:r>
      <w:r w:rsidR="006D3726">
        <w:t>0</w:t>
      </w:r>
      <w:r w:rsidR="00FE52C7">
        <w:t>.</w:t>
      </w:r>
      <w:r w:rsidR="00FE52C7">
        <w:rPr>
          <w:rStyle w:val="EndnoteReference"/>
        </w:rPr>
        <w:endnoteReference w:id="11"/>
      </w:r>
    </w:p>
    <w:p w14:paraId="6EE82A6B" w14:textId="280C14FB" w:rsidR="00CC5256" w:rsidRDefault="00CC5256" w:rsidP="00C53DF9">
      <w:pPr>
        <w:spacing w:after="0"/>
      </w:pPr>
    </w:p>
    <w:p w14:paraId="728DB0CB" w14:textId="051F17F2" w:rsidR="00FE52C7" w:rsidRPr="00FE52C7" w:rsidRDefault="00FE52C7" w:rsidP="00C53DF9">
      <w:pPr>
        <w:spacing w:after="0"/>
        <w:rPr>
          <w:b/>
          <w:bCs/>
        </w:rPr>
      </w:pPr>
      <w:r w:rsidRPr="00FE52C7">
        <w:rPr>
          <w:b/>
          <w:bCs/>
        </w:rPr>
        <w:t xml:space="preserve">Table </w:t>
      </w:r>
      <w:r w:rsidR="006D3726">
        <w:rPr>
          <w:b/>
          <w:bCs/>
        </w:rPr>
        <w:t>0</w:t>
      </w:r>
      <w:r w:rsidRPr="00FE52C7">
        <w:rPr>
          <w:b/>
          <w:bCs/>
        </w:rPr>
        <w:t>: IMF estimates of fossil fuel subsidies (2019)</w:t>
      </w:r>
    </w:p>
    <w:p w14:paraId="79F409C7" w14:textId="77777777" w:rsidR="00CC5256" w:rsidRDefault="00CC5256" w:rsidP="00C53DF9">
      <w:pPr>
        <w:spacing w:after="0"/>
      </w:pPr>
      <w:r>
        <w:rPr>
          <w:noProof/>
        </w:rPr>
        <w:drawing>
          <wp:inline distT="0" distB="0" distL="0" distR="0" wp14:anchorId="0DE354B1" wp14:editId="1C03269D">
            <wp:extent cx="568642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130" t="16846" r="18716" b="12267"/>
                    <a:stretch/>
                  </pic:blipFill>
                  <pic:spPr bwMode="auto">
                    <a:xfrm>
                      <a:off x="0" y="0"/>
                      <a:ext cx="5705012" cy="3860678"/>
                    </a:xfrm>
                    <a:prstGeom prst="rect">
                      <a:avLst/>
                    </a:prstGeom>
                    <a:ln>
                      <a:noFill/>
                    </a:ln>
                    <a:extLst>
                      <a:ext uri="{53640926-AAD7-44D8-BBD7-CCE9431645EC}">
                        <a14:shadowObscured xmlns:a14="http://schemas.microsoft.com/office/drawing/2010/main"/>
                      </a:ext>
                    </a:extLst>
                  </pic:spPr>
                </pic:pic>
              </a:graphicData>
            </a:graphic>
          </wp:inline>
        </w:drawing>
      </w:r>
    </w:p>
    <w:p w14:paraId="72598A65" w14:textId="56B9BCDA" w:rsidR="00CC5256" w:rsidRDefault="00CC5256" w:rsidP="00C53DF9">
      <w:pPr>
        <w:spacing w:after="0"/>
      </w:pPr>
      <w:r>
        <w:lastRenderedPageBreak/>
        <w:t>The Table</w:t>
      </w:r>
      <w:r w:rsidR="00FE52C7">
        <w:t xml:space="preserve"> indicates </w:t>
      </w:r>
      <w:r w:rsidR="006D3726">
        <w:t>(</w:t>
      </w:r>
      <w:r w:rsidR="00F40573">
        <w:t>in</w:t>
      </w:r>
      <w:r w:rsidR="006D3726">
        <w:t xml:space="preserve"> 2019) </w:t>
      </w:r>
      <w:r w:rsidR="00FE52C7">
        <w:t xml:space="preserve">Australia’s subsidies </w:t>
      </w:r>
      <w:r w:rsidR="00887426">
        <w:t>we</w:t>
      </w:r>
      <w:r w:rsidR="00910750">
        <w:t>re</w:t>
      </w:r>
      <w:r w:rsidR="00FE52C7">
        <w:t xml:space="preserve"> relatively low in absolute terms and as a % of GDP, and mid-range per capita.  China ha</w:t>
      </w:r>
      <w:r w:rsidR="00887426">
        <w:t>d</w:t>
      </w:r>
      <w:r w:rsidR="00FE52C7">
        <w:t xml:space="preserve"> by far the largest absolute and % of GDP subsidies, with Russia and Saudi Arabia having </w:t>
      </w:r>
      <w:r w:rsidR="00910750">
        <w:t xml:space="preserve">over three times </w:t>
      </w:r>
      <w:r w:rsidR="00FE52C7">
        <w:t xml:space="preserve">the per capita subsidies </w:t>
      </w:r>
      <w:r w:rsidR="00910750">
        <w:t>of Australia</w:t>
      </w:r>
      <w:r w:rsidR="00FE52C7">
        <w:t>.</w:t>
      </w:r>
    </w:p>
    <w:p w14:paraId="56E7A3FA" w14:textId="77777777" w:rsidR="00910750" w:rsidRDefault="00910750" w:rsidP="00C53DF9">
      <w:pPr>
        <w:spacing w:after="0"/>
      </w:pPr>
    </w:p>
    <w:p w14:paraId="2887DBF9" w14:textId="4D998428" w:rsidR="00910750" w:rsidRDefault="00FE52C7" w:rsidP="00C53DF9">
      <w:pPr>
        <w:spacing w:after="0"/>
      </w:pPr>
      <w:r>
        <w:t xml:space="preserve">The </w:t>
      </w:r>
      <w:r w:rsidR="00910750">
        <w:t>IMF’s</w:t>
      </w:r>
      <w:r>
        <w:t xml:space="preserve"> estimate</w:t>
      </w:r>
      <w:r w:rsidR="00910750">
        <w:t>s</w:t>
      </w:r>
      <w:r>
        <w:t xml:space="preserve"> for the USA</w:t>
      </w:r>
      <w:r w:rsidR="00910750">
        <w:t xml:space="preserve"> contrast with the previously mentioned USA Treasury estimate.  The Treasury considered elimination of subsidies would yield some $3.5bn of revenue each year – just 0.5% of the IMFs estimate of $649bn of annual subsidies.</w:t>
      </w:r>
    </w:p>
    <w:p w14:paraId="6D754900" w14:textId="77777777" w:rsidR="00910750" w:rsidRDefault="00910750" w:rsidP="00C53DF9">
      <w:pPr>
        <w:spacing w:after="0"/>
      </w:pPr>
    </w:p>
    <w:p w14:paraId="4BC951F8" w14:textId="77777777" w:rsidR="00887426" w:rsidRDefault="00887426" w:rsidP="00887426">
      <w:pPr>
        <w:pStyle w:val="Heading3"/>
      </w:pPr>
      <w:bookmarkStart w:id="6" w:name="_Toc71796192"/>
      <w:r>
        <w:t>3.3</w:t>
      </w:r>
      <w:r>
        <w:tab/>
        <w:t>Institute results</w:t>
      </w:r>
      <w:bookmarkEnd w:id="6"/>
    </w:p>
    <w:p w14:paraId="11440A2F" w14:textId="5FBF5E3A" w:rsidR="00C53DF9" w:rsidRDefault="00910750" w:rsidP="00C53DF9">
      <w:pPr>
        <w:spacing w:after="0"/>
      </w:pPr>
      <w:r>
        <w:t xml:space="preserve">The Australia Institute appears to have used an arithmetic methodology and not </w:t>
      </w:r>
      <w:r w:rsidR="00D0386F">
        <w:t>modelling.  Its</w:t>
      </w:r>
      <w:r w:rsidR="002E4664">
        <w:t xml:space="preserve"> </w:t>
      </w:r>
      <w:r w:rsidR="00C53DF9">
        <w:t xml:space="preserve">claim of </w:t>
      </w:r>
      <w:r w:rsidR="00225F2E">
        <w:t>$10.</w:t>
      </w:r>
      <w:r w:rsidR="00FF3F9B">
        <w:t>3</w:t>
      </w:r>
      <w:r w:rsidR="00225F2E">
        <w:t xml:space="preserve">bn </w:t>
      </w:r>
      <w:r w:rsidR="00264514">
        <w:t>i</w:t>
      </w:r>
      <w:r w:rsidR="00C53DF9">
        <w:t xml:space="preserve">n Australian subsidies is </w:t>
      </w:r>
      <w:r w:rsidR="00FF3F9B">
        <w:t xml:space="preserve">summarised </w:t>
      </w:r>
      <w:r w:rsidR="00C53DF9">
        <w:t xml:space="preserve">as </w:t>
      </w:r>
      <w:r w:rsidR="006D3726">
        <w:t>in Table 1</w:t>
      </w:r>
      <w:r w:rsidR="00C53DF9">
        <w:t>:</w:t>
      </w:r>
    </w:p>
    <w:p w14:paraId="4B8EB854" w14:textId="3D423F83" w:rsidR="006D3726" w:rsidRDefault="006D3726" w:rsidP="00C53DF9">
      <w:pPr>
        <w:spacing w:after="0"/>
      </w:pPr>
    </w:p>
    <w:p w14:paraId="318B6BFE" w14:textId="1F827AA6" w:rsidR="006D3726" w:rsidRPr="006D3726" w:rsidRDefault="006D3726" w:rsidP="00C53DF9">
      <w:pPr>
        <w:spacing w:after="0"/>
        <w:rPr>
          <w:b/>
          <w:bCs/>
        </w:rPr>
      </w:pPr>
      <w:r w:rsidRPr="006D3726">
        <w:rPr>
          <w:b/>
          <w:bCs/>
        </w:rPr>
        <w:t>Table 1: Australia Institute summary of fossil fuel subsidies</w:t>
      </w:r>
    </w:p>
    <w:p w14:paraId="1E4D1E89" w14:textId="069C1B57" w:rsidR="00C53DF9" w:rsidRDefault="00FF3F9B" w:rsidP="00225F2E">
      <w:pPr>
        <w:spacing w:after="0"/>
      </w:pPr>
      <w:r>
        <w:rPr>
          <w:noProof/>
        </w:rPr>
        <w:drawing>
          <wp:inline distT="0" distB="0" distL="0" distR="0" wp14:anchorId="2DD17BAC" wp14:editId="5E39DF3F">
            <wp:extent cx="5800725" cy="22059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398" t="21418" r="19276" b="41322"/>
                    <a:stretch/>
                  </pic:blipFill>
                  <pic:spPr bwMode="auto">
                    <a:xfrm>
                      <a:off x="0" y="0"/>
                      <a:ext cx="5843408" cy="2222222"/>
                    </a:xfrm>
                    <a:prstGeom prst="rect">
                      <a:avLst/>
                    </a:prstGeom>
                    <a:ln>
                      <a:noFill/>
                    </a:ln>
                    <a:extLst>
                      <a:ext uri="{53640926-AAD7-44D8-BBD7-CCE9431645EC}">
                        <a14:shadowObscured xmlns:a14="http://schemas.microsoft.com/office/drawing/2010/main"/>
                      </a:ext>
                    </a:extLst>
                  </pic:spPr>
                </pic:pic>
              </a:graphicData>
            </a:graphic>
          </wp:inline>
        </w:drawing>
      </w:r>
    </w:p>
    <w:p w14:paraId="761ACEA1" w14:textId="77777777" w:rsidR="00FF3F9B" w:rsidRDefault="00FF3F9B" w:rsidP="00225F2E">
      <w:pPr>
        <w:spacing w:after="0"/>
      </w:pPr>
    </w:p>
    <w:p w14:paraId="6860E975" w14:textId="2F7F67F8" w:rsidR="00FF3F9B" w:rsidRDefault="00FF3F9B" w:rsidP="00225F2E">
      <w:pPr>
        <w:spacing w:after="0"/>
      </w:pPr>
      <w:r>
        <w:t xml:space="preserve">The result is dominated by the </w:t>
      </w:r>
      <w:r w:rsidR="005B7119">
        <w:t>‘</w:t>
      </w:r>
      <w:r>
        <w:t>off-road</w:t>
      </w:r>
      <w:r w:rsidR="005B7119">
        <w:t>’</w:t>
      </w:r>
      <w:r>
        <w:t xml:space="preserve"> tax concession for fuel excise</w:t>
      </w:r>
      <w:r w:rsidR="00EA4739">
        <w:t xml:space="preserve"> - $7.8bn</w:t>
      </w:r>
      <w:r w:rsidR="00F40573">
        <w:t xml:space="preserve"> -</w:t>
      </w:r>
      <w:r w:rsidR="00EA4739">
        <w:t xml:space="preserve"> 76% of total </w:t>
      </w:r>
      <w:r w:rsidR="00A0069E">
        <w:t xml:space="preserve">tabulated </w:t>
      </w:r>
      <w:r w:rsidR="00EA4739">
        <w:t>assistance</w:t>
      </w:r>
      <w:r>
        <w:t>.</w:t>
      </w:r>
      <w:r w:rsidR="00EA4739">
        <w:t xml:space="preserve">  </w:t>
      </w:r>
      <w:r>
        <w:t xml:space="preserve">The </w:t>
      </w:r>
      <w:r w:rsidR="00887426">
        <w:t>explanation</w:t>
      </w:r>
      <w:r w:rsidR="00EA4739">
        <w:t xml:space="preserve"> </w:t>
      </w:r>
      <w:r>
        <w:t xml:space="preserve">for inclusion of the tax </w:t>
      </w:r>
      <w:r w:rsidR="006D3726">
        <w:t>revenue foregone</w:t>
      </w:r>
      <w:r>
        <w:t xml:space="preserve"> was:</w:t>
      </w:r>
    </w:p>
    <w:p w14:paraId="20708351" w14:textId="6315A1CD" w:rsidR="00FF3F9B" w:rsidRPr="00EA4739" w:rsidRDefault="00FF3F9B" w:rsidP="00FF3F9B">
      <w:pPr>
        <w:spacing w:after="0"/>
        <w:ind w:left="720"/>
        <w:rPr>
          <w:i/>
          <w:iCs/>
          <w:sz w:val="20"/>
          <w:szCs w:val="20"/>
        </w:rPr>
      </w:pPr>
      <w:r w:rsidRPr="00EA4739">
        <w:rPr>
          <w:i/>
          <w:iCs/>
          <w:sz w:val="20"/>
          <w:szCs w:val="20"/>
        </w:rPr>
        <w:t>‘The scheme allows businesses to claim a tax credit on fuel used in machinery, heavy vehicles and light vehicles used off public roads. This tax break works to make fossil fuel use cheaper for energy-intensive businesses, such as coal mines, but it is not available to other businesses and individuals that use machinery and vehicles for productive use. Fuel taxes are not linked in any way to road funding, as is commonly suggested by recipients of this subsidy; they simply contribute to general revenue, like most other federal taxation.’</w:t>
      </w:r>
    </w:p>
    <w:p w14:paraId="6A31FB23" w14:textId="77777777" w:rsidR="00FF3F9B" w:rsidRDefault="00FF3F9B" w:rsidP="00FF3F9B">
      <w:pPr>
        <w:spacing w:after="0"/>
        <w:ind w:left="720"/>
      </w:pPr>
    </w:p>
    <w:p w14:paraId="1BF2099E" w14:textId="66FE5E88" w:rsidR="00887426" w:rsidRDefault="00887426" w:rsidP="00887426">
      <w:pPr>
        <w:pStyle w:val="Heading3"/>
      </w:pPr>
      <w:bookmarkStart w:id="7" w:name="_Toc71796193"/>
      <w:r>
        <w:t>3.4</w:t>
      </w:r>
      <w:r>
        <w:tab/>
        <w:t xml:space="preserve">Methodology </w:t>
      </w:r>
      <w:r w:rsidR="006E4DC8">
        <w:t>error</w:t>
      </w:r>
      <w:bookmarkEnd w:id="7"/>
    </w:p>
    <w:p w14:paraId="14963C4B" w14:textId="03406B28" w:rsidR="00887426" w:rsidRDefault="00D0386F" w:rsidP="00FF3F9B">
      <w:pPr>
        <w:spacing w:after="0"/>
      </w:pPr>
      <w:r>
        <w:t xml:space="preserve">That </w:t>
      </w:r>
      <w:r w:rsidR="00887426">
        <w:t>explanation</w:t>
      </w:r>
      <w:r>
        <w:t xml:space="preserve"> is inconsistent with an arithmetic approach to subsidy estimation.</w:t>
      </w:r>
      <w:r w:rsidR="00887426">
        <w:t xml:space="preserve">  The reasons are based on the nature of the excise from which the tax credit is available.</w:t>
      </w:r>
    </w:p>
    <w:p w14:paraId="1912602A" w14:textId="7F5C6DB4" w:rsidR="00887426" w:rsidRDefault="00887426" w:rsidP="00FF3F9B">
      <w:pPr>
        <w:spacing w:after="0"/>
      </w:pPr>
    </w:p>
    <w:p w14:paraId="2B0FFB67" w14:textId="150B9164" w:rsidR="00AF6E2D" w:rsidRDefault="003B1501" w:rsidP="00FF3F9B">
      <w:pPr>
        <w:spacing w:after="0"/>
      </w:pPr>
      <w:r>
        <w:t>The excise applies</w:t>
      </w:r>
      <w:r w:rsidR="0081370E">
        <w:t xml:space="preserve"> </w:t>
      </w:r>
      <w:r>
        <w:t xml:space="preserve">to fossil fuels and </w:t>
      </w:r>
      <w:r w:rsidR="0081370E">
        <w:t>some other greenhouse emissions-causing fuels such as ethanol</w:t>
      </w:r>
      <w:r>
        <w:t>.  The excise is a tax on fossil fuels</w:t>
      </w:r>
      <w:r w:rsidR="0081370E">
        <w:t xml:space="preserve"> in the sense used by the Institute</w:t>
      </w:r>
      <w:r>
        <w:t xml:space="preserve">.  </w:t>
      </w:r>
      <w:r w:rsidR="007B2B29">
        <w:t>For</w:t>
      </w:r>
      <w:r>
        <w:t xml:space="preserve"> 20</w:t>
      </w:r>
      <w:r w:rsidR="007B2B29">
        <w:t>20-21</w:t>
      </w:r>
      <w:r>
        <w:t xml:space="preserve"> </w:t>
      </w:r>
      <w:r w:rsidR="007B2B29">
        <w:t xml:space="preserve">gross revenue from the </w:t>
      </w:r>
      <w:r>
        <w:t xml:space="preserve">tax </w:t>
      </w:r>
      <w:r w:rsidR="00AF6E2D">
        <w:t>revenue</w:t>
      </w:r>
      <w:r>
        <w:t xml:space="preserve"> was </w:t>
      </w:r>
      <w:r w:rsidR="007B2B29">
        <w:t xml:space="preserve">forecast to be </w:t>
      </w:r>
      <w:r>
        <w:t>$1</w:t>
      </w:r>
      <w:r w:rsidR="007B2B29">
        <w:t>9.2</w:t>
      </w:r>
      <w:r>
        <w:t>bn.</w:t>
      </w:r>
      <w:r w:rsidR="007B2B29">
        <w:rPr>
          <w:rStyle w:val="EndnoteReference"/>
        </w:rPr>
        <w:endnoteReference w:id="12"/>
      </w:r>
      <w:r>
        <w:t xml:space="preserve">  </w:t>
      </w:r>
    </w:p>
    <w:p w14:paraId="05708BC9" w14:textId="77777777" w:rsidR="00AF6E2D" w:rsidRDefault="00AF6E2D" w:rsidP="00FF3F9B">
      <w:pPr>
        <w:spacing w:after="0"/>
      </w:pPr>
    </w:p>
    <w:p w14:paraId="155DBA49" w14:textId="72F7F58C" w:rsidR="001F3335" w:rsidRDefault="003B1501" w:rsidP="00FF3F9B">
      <w:pPr>
        <w:spacing w:after="0"/>
      </w:pPr>
      <w:r>
        <w:t xml:space="preserve">An exemption for certain parties from this tax might be considered a subsidy to them – but cannot be represented an arithmetic subsidy </w:t>
      </w:r>
      <w:r w:rsidR="000D24D4">
        <w:t>to</w:t>
      </w:r>
      <w:r>
        <w:t xml:space="preserve"> fossil fuels.  </w:t>
      </w:r>
      <w:r w:rsidR="00296927">
        <w:t>A</w:t>
      </w:r>
      <w:r w:rsidR="006D3726">
        <w:t>n</w:t>
      </w:r>
      <w:r w:rsidR="00AF6E2D">
        <w:t xml:space="preserve"> implication of considering the tax credit as a positive subsidy is that the tax is a negative subsidy.  </w:t>
      </w:r>
      <w:r w:rsidR="006D3726">
        <w:t>A</w:t>
      </w:r>
      <w:r w:rsidR="000D24D4">
        <w:t xml:space="preserve">rithmetic </w:t>
      </w:r>
      <w:r w:rsidR="00AF6E2D">
        <w:t xml:space="preserve">methodology </w:t>
      </w:r>
      <w:r w:rsidR="006D3726">
        <w:t>needs to look at net subsidies, not gross ones</w:t>
      </w:r>
      <w:r w:rsidR="00296927">
        <w:t>, yet t</w:t>
      </w:r>
      <w:r w:rsidR="001F3335">
        <w:t xml:space="preserve">he Institute’s figures are for gross subsidies.  </w:t>
      </w:r>
      <w:r w:rsidR="007B2B29">
        <w:t xml:space="preserve">The net subsidy position arising from the fuel tax arrangements is </w:t>
      </w:r>
      <w:r w:rsidR="00F40573">
        <w:t>a</w:t>
      </w:r>
      <w:r w:rsidR="007B2B29">
        <w:t xml:space="preserve"> negative</w:t>
      </w:r>
      <w:r w:rsidR="00F40573">
        <w:t>,</w:t>
      </w:r>
      <w:r w:rsidR="007B2B29">
        <w:t xml:space="preserve"> net tax revenue i.e. -$11.4bn.  </w:t>
      </w:r>
      <w:r w:rsidR="000D24D4">
        <w:t xml:space="preserve">  </w:t>
      </w:r>
    </w:p>
    <w:p w14:paraId="76DB3EE7" w14:textId="624BF124" w:rsidR="006E4DC8" w:rsidRDefault="000D24D4" w:rsidP="00FF3F9B">
      <w:pPr>
        <w:spacing w:after="0"/>
      </w:pPr>
      <w:r>
        <w:lastRenderedPageBreak/>
        <w:t xml:space="preserve">This points to a </w:t>
      </w:r>
      <w:r w:rsidR="00200BDF">
        <w:t>f</w:t>
      </w:r>
      <w:r>
        <w:t xml:space="preserve">law in the </w:t>
      </w:r>
      <w:r w:rsidR="001978B2">
        <w:t xml:space="preserve">Institute’s </w:t>
      </w:r>
      <w:r w:rsidR="00296927">
        <w:t>work</w:t>
      </w:r>
      <w:r>
        <w:t xml:space="preserve">: failure </w:t>
      </w:r>
      <w:r w:rsidR="006E4DC8">
        <w:t>of its</w:t>
      </w:r>
      <w:r>
        <w:t xml:space="preserve"> arithmetic approach to account for </w:t>
      </w:r>
      <w:r w:rsidR="001C29F6">
        <w:t>–</w:t>
      </w:r>
      <w:r w:rsidR="00E11194">
        <w:t xml:space="preserve"> </w:t>
      </w:r>
      <w:r w:rsidR="001C29F6">
        <w:t xml:space="preserve">‘deduct’ - </w:t>
      </w:r>
      <w:r>
        <w:t>taxes applying only to fossil fuels</w:t>
      </w:r>
      <w:r w:rsidR="009E60B5">
        <w:t>,</w:t>
      </w:r>
      <w:r>
        <w:t xml:space="preserve"> including </w:t>
      </w:r>
      <w:r w:rsidR="001C29F6">
        <w:t xml:space="preserve">Commonwealth </w:t>
      </w:r>
      <w:r>
        <w:t>excise</w:t>
      </w:r>
      <w:r w:rsidR="005B7119">
        <w:t>s</w:t>
      </w:r>
      <w:r>
        <w:t xml:space="preserve"> and </w:t>
      </w:r>
      <w:r w:rsidR="001C29F6">
        <w:t xml:space="preserve">State </w:t>
      </w:r>
      <w:r>
        <w:t>royalties.</w:t>
      </w:r>
      <w:r w:rsidR="006E4DC8">
        <w:t xml:space="preserve"> </w:t>
      </w:r>
      <w:r>
        <w:t xml:space="preserve">It may be that </w:t>
      </w:r>
      <w:r w:rsidR="006E4DC8">
        <w:t>revenue from</w:t>
      </w:r>
      <w:r>
        <w:t xml:space="preserve"> fuel excise</w:t>
      </w:r>
      <w:r w:rsidR="001C29F6">
        <w:t>s</w:t>
      </w:r>
      <w:r>
        <w:t xml:space="preserve"> </w:t>
      </w:r>
      <w:r w:rsidR="006E4DC8">
        <w:t>- and other fossil</w:t>
      </w:r>
      <w:r>
        <w:t xml:space="preserve"> </w:t>
      </w:r>
      <w:r w:rsidR="006E4DC8">
        <w:t>fuel taxes - is</w:t>
      </w:r>
      <w:r>
        <w:t xml:space="preserve"> below optimum levels.  However, </w:t>
      </w:r>
      <w:r w:rsidR="009169A0">
        <w:t>such a</w:t>
      </w:r>
      <w:r w:rsidR="006E4DC8">
        <w:t xml:space="preserve"> </w:t>
      </w:r>
      <w:r w:rsidR="0046389E">
        <w:t xml:space="preserve">‘should have been’ </w:t>
      </w:r>
      <w:r>
        <w:t xml:space="preserve">analysis requires an IMF modelling style approach – estimation of what the optimum should be and </w:t>
      </w:r>
      <w:r w:rsidR="001F3335">
        <w:t xml:space="preserve">of the </w:t>
      </w:r>
      <w:r>
        <w:t>deviation of actual revenue from th</w:t>
      </w:r>
      <w:r w:rsidR="00663B37">
        <w:t>at</w:t>
      </w:r>
      <w:r>
        <w:t xml:space="preserve"> optimum.  The Australia Institute report did not do this.</w:t>
      </w:r>
      <w:r w:rsidR="006E4DC8">
        <w:t xml:space="preserve">  </w:t>
      </w:r>
    </w:p>
    <w:p w14:paraId="4FC19B2E" w14:textId="516B23BA" w:rsidR="004362AC" w:rsidRDefault="004362AC" w:rsidP="00FF3F9B">
      <w:pPr>
        <w:spacing w:after="0"/>
      </w:pPr>
    </w:p>
    <w:p w14:paraId="1646859E" w14:textId="0C44DF2A" w:rsidR="004362AC" w:rsidRDefault="004362AC" w:rsidP="00FF3F9B">
      <w:pPr>
        <w:spacing w:after="0"/>
      </w:pPr>
      <w:r>
        <w:t xml:space="preserve">By drawing attention to </w:t>
      </w:r>
      <w:r w:rsidR="001C29F6">
        <w:t xml:space="preserve">fossil fuel </w:t>
      </w:r>
      <w:r>
        <w:t xml:space="preserve">tax concessions, the Institute </w:t>
      </w:r>
      <w:r w:rsidR="001C29F6">
        <w:t xml:space="preserve">should have </w:t>
      </w:r>
      <w:r>
        <w:t>dr</w:t>
      </w:r>
      <w:r w:rsidR="001C29F6">
        <w:t>awn</w:t>
      </w:r>
      <w:r>
        <w:t xml:space="preserve"> attention to </w:t>
      </w:r>
      <w:r w:rsidR="001C29F6">
        <w:t>the</w:t>
      </w:r>
      <w:r>
        <w:t xml:space="preserve"> taxes</w:t>
      </w:r>
      <w:r w:rsidR="001C29F6">
        <w:t xml:space="preserve"> themselves</w:t>
      </w:r>
      <w:r>
        <w:t>.  In addition to Commonwealth excise</w:t>
      </w:r>
      <w:r w:rsidR="00082317">
        <w:t>s</w:t>
      </w:r>
      <w:r>
        <w:t xml:space="preserve">, </w:t>
      </w:r>
      <w:r w:rsidR="002237D0">
        <w:t xml:space="preserve">there is a petroleum resource rent tax ($0.9bn) and </w:t>
      </w:r>
      <w:r>
        <w:t xml:space="preserve">various taxes levied by the States.  The most significant </w:t>
      </w:r>
      <w:r w:rsidR="002237D0">
        <w:t xml:space="preserve">State fuel taxes </w:t>
      </w:r>
      <w:r>
        <w:t xml:space="preserve">are coal royalties.  In </w:t>
      </w:r>
      <w:r w:rsidR="001F3335">
        <w:t xml:space="preserve">2020-21 for </w:t>
      </w:r>
      <w:r>
        <w:t>NSW and Queensland</w:t>
      </w:r>
      <w:r w:rsidR="001F3335">
        <w:t>,</w:t>
      </w:r>
      <w:r>
        <w:t xml:space="preserve"> these </w:t>
      </w:r>
      <w:r w:rsidR="002237D0">
        <w:t>were</w:t>
      </w:r>
      <w:r>
        <w:t xml:space="preserve"> $1.4bn</w:t>
      </w:r>
      <w:r w:rsidR="001C29F6">
        <w:t xml:space="preserve"> </w:t>
      </w:r>
      <w:r>
        <w:t>and $</w:t>
      </w:r>
      <w:r w:rsidR="001F3335">
        <w:t>2</w:t>
      </w:r>
      <w:r>
        <w:t>.</w:t>
      </w:r>
      <w:r w:rsidR="001F3335">
        <w:t>0</w:t>
      </w:r>
      <w:r>
        <w:t xml:space="preserve">bn respectively </w:t>
      </w:r>
      <w:r w:rsidR="009169A0">
        <w:t xml:space="preserve">- </w:t>
      </w:r>
      <w:r w:rsidR="002237D0">
        <w:t>relatively low</w:t>
      </w:r>
      <w:r w:rsidR="00771DF0">
        <w:t xml:space="preserve"> by recent standards due to a</w:t>
      </w:r>
      <w:r>
        <w:t xml:space="preserve"> decline in coal demand</w:t>
      </w:r>
      <w:r w:rsidR="001C29F6">
        <w:t xml:space="preserve"> in th</w:t>
      </w:r>
      <w:r w:rsidR="001F3335">
        <w:t>at Covid affected</w:t>
      </w:r>
      <w:r w:rsidR="001C29F6">
        <w:t xml:space="preserve"> year</w:t>
      </w:r>
      <w:r>
        <w:t>.</w:t>
      </w:r>
      <w:r w:rsidR="00A0069E">
        <w:t xml:space="preserve"> </w:t>
      </w:r>
      <w:r>
        <w:rPr>
          <w:rStyle w:val="EndnoteReference"/>
        </w:rPr>
        <w:endnoteReference w:id="13"/>
      </w:r>
    </w:p>
    <w:p w14:paraId="4FE353A0" w14:textId="4FA15396" w:rsidR="000D24D4" w:rsidRDefault="000D24D4" w:rsidP="00FF3F9B">
      <w:pPr>
        <w:spacing w:after="0"/>
      </w:pPr>
    </w:p>
    <w:p w14:paraId="1A5695F6" w14:textId="04CE63D4" w:rsidR="006E4DC8" w:rsidRDefault="006E4DC8" w:rsidP="00796F7D">
      <w:pPr>
        <w:pStyle w:val="Heading3"/>
      </w:pPr>
      <w:bookmarkStart w:id="8" w:name="_Toc71796194"/>
      <w:r>
        <w:t>3.5</w:t>
      </w:r>
      <w:r>
        <w:tab/>
      </w:r>
      <w:r w:rsidR="0052252C">
        <w:t>O</w:t>
      </w:r>
      <w:r>
        <w:t xml:space="preserve">ther </w:t>
      </w:r>
      <w:r w:rsidR="001978B2">
        <w:t>problems</w:t>
      </w:r>
      <w:bookmarkEnd w:id="8"/>
    </w:p>
    <w:p w14:paraId="32F38C4E" w14:textId="6FAFB557" w:rsidR="006E4DC8" w:rsidRDefault="006E4DC8" w:rsidP="00FF3F9B">
      <w:pPr>
        <w:spacing w:after="0"/>
      </w:pPr>
      <w:r>
        <w:t xml:space="preserve">The </w:t>
      </w:r>
      <w:r w:rsidR="00663B37">
        <w:t>Institute’s</w:t>
      </w:r>
      <w:r>
        <w:t xml:space="preserve"> explanation for inclusion of the tax concession </w:t>
      </w:r>
      <w:r w:rsidR="00A0069E">
        <w:t xml:space="preserve">– above - </w:t>
      </w:r>
      <w:r>
        <w:t xml:space="preserve">included </w:t>
      </w:r>
      <w:r w:rsidR="001C29F6">
        <w:t>comments</w:t>
      </w:r>
      <w:r>
        <w:t xml:space="preserve"> about the (non) purpose of </w:t>
      </w:r>
      <w:r w:rsidR="001C29F6">
        <w:t xml:space="preserve">revenue raised by </w:t>
      </w:r>
      <w:r>
        <w:t xml:space="preserve">the excise.  Those comments are irrelevant to that issue because the use to which tax revenue is put does not affect the </w:t>
      </w:r>
      <w:r w:rsidR="00F6408D">
        <w:t>nature</w:t>
      </w:r>
      <w:r>
        <w:t xml:space="preserve"> of the tax.</w:t>
      </w:r>
    </w:p>
    <w:p w14:paraId="44B9B5DA" w14:textId="2382491C" w:rsidR="006E4DC8" w:rsidRDefault="006E4DC8" w:rsidP="00FF3F9B">
      <w:pPr>
        <w:spacing w:after="0"/>
      </w:pPr>
    </w:p>
    <w:p w14:paraId="46F750F2" w14:textId="7B65E553" w:rsidR="00C87CE4" w:rsidRPr="00771DF0" w:rsidRDefault="006E4DC8" w:rsidP="00FF3F9B">
      <w:pPr>
        <w:spacing w:after="0"/>
      </w:pPr>
      <w:r>
        <w:t xml:space="preserve">Moreover, </w:t>
      </w:r>
      <w:r w:rsidR="006C32CA">
        <w:t>some</w:t>
      </w:r>
      <w:r w:rsidR="00930B43">
        <w:t xml:space="preserve"> comments</w:t>
      </w:r>
      <w:r>
        <w:t xml:space="preserve"> are misleading.  The tax concession is </w:t>
      </w:r>
      <w:r w:rsidR="00C87CE4">
        <w:t xml:space="preserve">largely </w:t>
      </w:r>
      <w:r>
        <w:t xml:space="preserve">available for ‘off-road’ use of diesel.  This means the tax </w:t>
      </w:r>
      <w:r w:rsidR="000026AD">
        <w:t>applies for ‘on</w:t>
      </w:r>
      <w:r w:rsidR="00930B43">
        <w:t>-</w:t>
      </w:r>
      <w:r w:rsidR="000026AD">
        <w:t>road’ use – demonstrated by its application to petrol etc. as the Australian Taxpayers Alliance etc</w:t>
      </w:r>
      <w:r w:rsidR="001C29F6">
        <w:t>.</w:t>
      </w:r>
      <w:r w:rsidR="000026AD">
        <w:t xml:space="preserve"> would point out.</w:t>
      </w:r>
      <w:r w:rsidR="00663B37">
        <w:t xml:space="preserve">  </w:t>
      </w:r>
      <w:r w:rsidR="00C87CE4">
        <w:t>A</w:t>
      </w:r>
      <w:r w:rsidR="00296927">
        <w:t>n official explanation of a</w:t>
      </w:r>
      <w:r w:rsidR="00C87CE4">
        <w:t xml:space="preserve"> further provision of the tax concession demonstrates this</w:t>
      </w:r>
      <w:r w:rsidR="00771DF0">
        <w:t>:</w:t>
      </w:r>
      <w:r w:rsidR="00C87CE4" w:rsidRPr="00771DF0">
        <w:t xml:space="preserve"> </w:t>
      </w:r>
    </w:p>
    <w:p w14:paraId="427F0E74" w14:textId="69DA3297" w:rsidR="00C87CE4" w:rsidRPr="00771DF0" w:rsidRDefault="00771DF0" w:rsidP="00771DF0">
      <w:pPr>
        <w:ind w:left="720"/>
        <w:rPr>
          <w:i/>
          <w:iCs/>
          <w:sz w:val="20"/>
          <w:szCs w:val="20"/>
          <w:shd w:val="clear" w:color="auto" w:fill="FFFFFF"/>
        </w:rPr>
      </w:pPr>
      <w:r w:rsidRPr="00771DF0">
        <w:rPr>
          <w:sz w:val="20"/>
          <w:szCs w:val="20"/>
          <w:shd w:val="clear" w:color="auto" w:fill="FFFFFF"/>
        </w:rPr>
        <w:t>(the)</w:t>
      </w:r>
      <w:r>
        <w:rPr>
          <w:i/>
          <w:iCs/>
          <w:sz w:val="20"/>
          <w:szCs w:val="20"/>
          <w:shd w:val="clear" w:color="auto" w:fill="FFFFFF"/>
        </w:rPr>
        <w:t xml:space="preserve"> </w:t>
      </w:r>
      <w:r w:rsidR="00C87CE4" w:rsidRPr="00771DF0">
        <w:rPr>
          <w:i/>
          <w:iCs/>
          <w:sz w:val="20"/>
          <w:szCs w:val="20"/>
          <w:shd w:val="clear" w:color="auto" w:fill="FFFFFF"/>
        </w:rPr>
        <w:t>‘tax credit rate for fuel used in heavy vehicles for travelling on public roads is reduced by the road user charge’. </w:t>
      </w:r>
      <w:r w:rsidR="00C87CE4">
        <w:rPr>
          <w:rStyle w:val="EndnoteReference"/>
          <w:i/>
          <w:iCs/>
          <w:sz w:val="20"/>
          <w:szCs w:val="20"/>
          <w:shd w:val="clear" w:color="auto" w:fill="FFFFFF"/>
        </w:rPr>
        <w:endnoteReference w:id="14"/>
      </w:r>
    </w:p>
    <w:p w14:paraId="0D3524EB" w14:textId="13B9A68C" w:rsidR="00A0069E" w:rsidRDefault="00C87CE4" w:rsidP="00C87CE4">
      <w:pPr>
        <w:spacing w:after="0"/>
      </w:pPr>
      <w:r>
        <w:t>That is, the excise is a road use charge</w:t>
      </w:r>
      <w:r w:rsidR="00771DF0">
        <w:t>.  I</w:t>
      </w:r>
      <w:r w:rsidR="001978B2">
        <w:t xml:space="preserve">ts </w:t>
      </w:r>
      <w:r w:rsidR="00771DF0">
        <w:t>initial imposition on</w:t>
      </w:r>
      <w:r w:rsidR="001978B2">
        <w:t xml:space="preserve"> all </w:t>
      </w:r>
      <w:r w:rsidR="00771DF0">
        <w:t>fuel use</w:t>
      </w:r>
      <w:r w:rsidR="001978B2">
        <w:t xml:space="preserve"> is </w:t>
      </w:r>
      <w:r w:rsidR="00771DF0">
        <w:t>due to</w:t>
      </w:r>
      <w:r w:rsidR="001978B2">
        <w:t xml:space="preserve"> administrative convenience</w:t>
      </w:r>
      <w:r>
        <w:t xml:space="preserve">. </w:t>
      </w:r>
      <w:r w:rsidR="00663B37">
        <w:t>Whether it</w:t>
      </w:r>
      <w:r>
        <w:t>s revenue</w:t>
      </w:r>
      <w:r w:rsidR="00663B37">
        <w:t xml:space="preserve"> is then devoted to provision of roads is irrelevant to </w:t>
      </w:r>
      <w:r>
        <w:t>that</w:t>
      </w:r>
      <w:r w:rsidR="00663B37">
        <w:t>.</w:t>
      </w:r>
      <w:r w:rsidR="00082317">
        <w:t xml:space="preserve">  </w:t>
      </w:r>
    </w:p>
    <w:p w14:paraId="02F8FDCF" w14:textId="77777777" w:rsidR="00F209F4" w:rsidRDefault="00F209F4" w:rsidP="00C87CE4">
      <w:pPr>
        <w:spacing w:after="0"/>
      </w:pPr>
    </w:p>
    <w:p w14:paraId="05FAA8F5" w14:textId="11824F8F" w:rsidR="00992BD0" w:rsidRDefault="00771DF0" w:rsidP="00992BD0">
      <w:pPr>
        <w:spacing w:after="0"/>
      </w:pPr>
      <w:r>
        <w:t>Further,</w:t>
      </w:r>
      <w:r w:rsidR="001C29F6">
        <w:t xml:space="preserve"> </w:t>
      </w:r>
      <w:r w:rsidR="00C87CE4">
        <w:t>if ‘spending measures’ are to be included in calculation of fossil fuel subsidies</w:t>
      </w:r>
      <w:r>
        <w:t xml:space="preserve"> as done by the Institute</w:t>
      </w:r>
      <w:r w:rsidR="00C87CE4">
        <w:t xml:space="preserve">, </w:t>
      </w:r>
      <w:r w:rsidR="001C29F6">
        <w:t xml:space="preserve">the </w:t>
      </w:r>
      <w:r w:rsidR="00D1326E">
        <w:t xml:space="preserve">financial cost of </w:t>
      </w:r>
      <w:r w:rsidR="001C29F6">
        <w:t>provision of roads</w:t>
      </w:r>
      <w:r w:rsidR="00D1326E">
        <w:t xml:space="preserve"> -</w:t>
      </w:r>
      <w:r w:rsidR="001C29F6">
        <w:t xml:space="preserve"> wh</w:t>
      </w:r>
      <w:r w:rsidR="00D1326E">
        <w:t>ich</w:t>
      </w:r>
      <w:r w:rsidR="00C87CE4">
        <w:t xml:space="preserve"> are almost entirely </w:t>
      </w:r>
      <w:r w:rsidR="00D1326E">
        <w:t>caused</w:t>
      </w:r>
      <w:r w:rsidR="00C87CE4">
        <w:t xml:space="preserve"> by fossil fuel vehicles </w:t>
      </w:r>
      <w:r w:rsidR="00D1326E">
        <w:t xml:space="preserve">- </w:t>
      </w:r>
      <w:r w:rsidR="00C87CE4">
        <w:t>should be included</w:t>
      </w:r>
      <w:r w:rsidR="00296927">
        <w:t xml:space="preserve">. </w:t>
      </w:r>
      <w:r w:rsidR="00992BD0">
        <w:t xml:space="preserve"> Road spending in th</w:t>
      </w:r>
      <w:r w:rsidR="00200BDF">
        <w:t xml:space="preserve">e latest reported </w:t>
      </w:r>
      <w:r w:rsidR="00992BD0">
        <w:t xml:space="preserve">year </w:t>
      </w:r>
      <w:r w:rsidR="00200BDF">
        <w:t xml:space="preserve">- 2018-19 </w:t>
      </w:r>
      <w:r w:rsidR="00992BD0">
        <w:t>was $2</w:t>
      </w:r>
      <w:r w:rsidR="00200BDF">
        <w:t>8.</w:t>
      </w:r>
      <w:r w:rsidR="00992BD0">
        <w:t>9bn.  Exclusion suggests Australia arithmetically taxes rather than subsidises fossil fuels.</w:t>
      </w:r>
      <w:r w:rsidR="00296927">
        <w:t xml:space="preserve"> </w:t>
      </w:r>
      <w:r w:rsidR="00992BD0">
        <w:t>Inclusion reverses that supposition.</w:t>
      </w:r>
    </w:p>
    <w:p w14:paraId="479B7A5E" w14:textId="77777777" w:rsidR="00494C95" w:rsidRDefault="00494C95" w:rsidP="00494C95">
      <w:pPr>
        <w:spacing w:after="0"/>
      </w:pPr>
    </w:p>
    <w:p w14:paraId="1F9EF4B0" w14:textId="34414908" w:rsidR="00494C95" w:rsidRDefault="00494C95" w:rsidP="00494C95">
      <w:pPr>
        <w:spacing w:after="0"/>
      </w:pPr>
      <w:r>
        <w:t xml:space="preserve">The Institute’s ignoring roads is perplexing.  As is the comment: </w:t>
      </w:r>
    </w:p>
    <w:p w14:paraId="301DB923" w14:textId="77777777" w:rsidR="00494C95" w:rsidRPr="00EC7E12" w:rsidRDefault="00494C95" w:rsidP="00494C95">
      <w:pPr>
        <w:spacing w:after="0"/>
        <w:ind w:left="720"/>
        <w:rPr>
          <w:i/>
          <w:iCs/>
          <w:sz w:val="20"/>
          <w:szCs w:val="20"/>
        </w:rPr>
      </w:pPr>
      <w:r w:rsidRPr="00EC7E12">
        <w:rPr>
          <w:i/>
          <w:iCs/>
          <w:sz w:val="20"/>
          <w:szCs w:val="20"/>
        </w:rPr>
        <w:t xml:space="preserve">‘Governments spend significant amounts of money on ports, railways, pipelines, power stations and other infrastructure that assists the production, transport and consumption of fossil fuels’.  </w:t>
      </w:r>
    </w:p>
    <w:p w14:paraId="7F544C34" w14:textId="77777777" w:rsidR="00494C95" w:rsidRDefault="00494C95" w:rsidP="00494C95">
      <w:pPr>
        <w:spacing w:after="0"/>
      </w:pPr>
    </w:p>
    <w:p w14:paraId="5FFC5496" w14:textId="77777777" w:rsidR="00494C95" w:rsidRDefault="00494C95" w:rsidP="00494C95">
      <w:pPr>
        <w:spacing w:after="0"/>
      </w:pPr>
      <w:r>
        <w:t>That comment prefaced remarks about claims of some State Treasuries that such spending – which is not usually done by Governments but by Government Trading Enterprises and recovered by user charges – involves implicit subsidies via Government guarantees.  Such subsidies, if any, are vastly less than the spending involved.  Moreover, the claims are a surprising admission of breach of those Treasuries’ competitive neutrality rules.  Such claims are usually made in the context of seeking privatisation of the enterprises concerned – many have a political motive.</w:t>
      </w:r>
      <w:r>
        <w:rPr>
          <w:rStyle w:val="EndnoteReference"/>
        </w:rPr>
        <w:endnoteReference w:id="15"/>
      </w:r>
    </w:p>
    <w:p w14:paraId="6E45D555" w14:textId="77777777" w:rsidR="00494C95" w:rsidRDefault="00494C95" w:rsidP="00494C95">
      <w:pPr>
        <w:spacing w:after="0"/>
      </w:pPr>
    </w:p>
    <w:p w14:paraId="08160BBA" w14:textId="34A29D0D" w:rsidR="00494C95" w:rsidRDefault="00494C95" w:rsidP="00494C95">
      <w:pPr>
        <w:spacing w:after="0"/>
      </w:pPr>
      <w:r>
        <w:t>However, the most remarkable aspect of the comment is omission of the most heavily subsidised infrastructure used for production, transport and consumption of fossil fuels – roads</w:t>
      </w:r>
      <w:r w:rsidR="006C32CA">
        <w:t>.  Especially when seen against</w:t>
      </w:r>
      <w:r>
        <w:t xml:space="preserve"> inclusion of railways </w:t>
      </w:r>
      <w:r w:rsidR="006C32CA">
        <w:t xml:space="preserve">- </w:t>
      </w:r>
      <w:r>
        <w:t>which work to reduce road use and fossil fuel omissions.</w:t>
      </w:r>
      <w:r w:rsidRPr="00B3739C">
        <w:t xml:space="preserve"> </w:t>
      </w:r>
    </w:p>
    <w:p w14:paraId="54B514E4" w14:textId="77777777" w:rsidR="00494C95" w:rsidRDefault="00494C95" w:rsidP="00494C95">
      <w:pPr>
        <w:spacing w:after="0"/>
      </w:pPr>
      <w:r>
        <w:lastRenderedPageBreak/>
        <w:t>Another result of the Institute ‘forgetting’ about roads is overlooking the Commonwealth’s fringe benefits tax concessions for car use which, by foregoing personal income tax, subsidises fossil fuel use.  Treasury’s tax expenditure statement (2016) forecast this subsidy to be $1.0bn in 2020-21.</w:t>
      </w:r>
      <w:r>
        <w:rPr>
          <w:rStyle w:val="EndnoteReference"/>
        </w:rPr>
        <w:endnoteReference w:id="16"/>
      </w:r>
      <w:r>
        <w:t xml:space="preserve">  </w:t>
      </w:r>
    </w:p>
    <w:p w14:paraId="41EF4C1D" w14:textId="77777777" w:rsidR="00494C95" w:rsidRDefault="00494C95" w:rsidP="00494C95">
      <w:pPr>
        <w:spacing w:after="0"/>
      </w:pPr>
    </w:p>
    <w:p w14:paraId="1447D3D9" w14:textId="77777777" w:rsidR="00494C95" w:rsidRDefault="00494C95" w:rsidP="00494C95">
      <w:pPr>
        <w:spacing w:after="0"/>
      </w:pPr>
      <w:r>
        <w:t>On rail, the Institute said:</w:t>
      </w:r>
    </w:p>
    <w:p w14:paraId="2296E11C" w14:textId="77777777" w:rsidR="00494C95" w:rsidRPr="00EC7E12" w:rsidRDefault="00494C95" w:rsidP="00494C95">
      <w:pPr>
        <w:spacing w:after="0"/>
        <w:ind w:left="720"/>
        <w:rPr>
          <w:i/>
          <w:iCs/>
          <w:sz w:val="20"/>
          <w:szCs w:val="20"/>
        </w:rPr>
      </w:pPr>
      <w:r w:rsidRPr="00EC7E12">
        <w:rPr>
          <w:i/>
          <w:iCs/>
          <w:sz w:val="20"/>
          <w:szCs w:val="20"/>
        </w:rPr>
        <w:t xml:space="preserve">‘Items were considered primarily dedicated to fossil fuels were those where the fossil fuel industry received tangible economic benefit from the spending, but were not the exclusive beneficiaries. An example is the federally-owned Australian Rail Track Corporation’s $130.2 million capital expenditure on the Hunter Valley Rail Network in 2020-21, the benefits of which abundantly accrue to the coal industry, but also some other industries and passenger services.’   </w:t>
      </w:r>
    </w:p>
    <w:p w14:paraId="1146A845" w14:textId="77777777" w:rsidR="00494C95" w:rsidRPr="00EC7E12" w:rsidRDefault="00494C95" w:rsidP="00494C95">
      <w:pPr>
        <w:spacing w:after="0"/>
        <w:rPr>
          <w:sz w:val="20"/>
          <w:szCs w:val="20"/>
        </w:rPr>
      </w:pPr>
    </w:p>
    <w:p w14:paraId="5EB22247" w14:textId="77777777" w:rsidR="00494C95" w:rsidRDefault="00494C95" w:rsidP="00494C95">
      <w:pPr>
        <w:spacing w:after="0"/>
      </w:pPr>
      <w:r>
        <w:t>That is a strange comment.  The concern about the Corporation is not that it subsidises the coal industry – but it might tax it.  For that reason, the Corporation and Hunter Valley Rail Network has been subject to economic regulation for some years – to seek to ensure rail access charges and investments are efficient.  The Australian Competition and Consumer Commission stated the Corporation will receive excess revenue from – will ‘tax’ - coal haulage in 2021.</w:t>
      </w:r>
      <w:r>
        <w:rPr>
          <w:rStyle w:val="EndnoteReference"/>
        </w:rPr>
        <w:endnoteReference w:id="17"/>
      </w:r>
      <w:r>
        <w:t xml:space="preserve">  </w:t>
      </w:r>
    </w:p>
    <w:p w14:paraId="6970ECAE" w14:textId="60FAB8D4" w:rsidR="00992BD0" w:rsidRDefault="00992BD0" w:rsidP="00992BD0">
      <w:pPr>
        <w:spacing w:after="0"/>
      </w:pPr>
    </w:p>
    <w:p w14:paraId="0D91797B" w14:textId="39A46FD1" w:rsidR="00494C95" w:rsidRDefault="00494C95" w:rsidP="00494C95">
      <w:pPr>
        <w:pStyle w:val="Heading3"/>
      </w:pPr>
      <w:bookmarkStart w:id="9" w:name="_Toc71796195"/>
      <w:r>
        <w:t>3.6</w:t>
      </w:r>
      <w:r>
        <w:tab/>
        <w:t>Were roads included…..</w:t>
      </w:r>
      <w:bookmarkEnd w:id="9"/>
    </w:p>
    <w:p w14:paraId="0EAFADC8" w14:textId="518D02CE" w:rsidR="00992BD0" w:rsidRDefault="00C87CE4" w:rsidP="00992BD0">
      <w:pPr>
        <w:spacing w:after="0"/>
      </w:pPr>
      <w:r>
        <w:t xml:space="preserve">The roads deficit identified in section 2 </w:t>
      </w:r>
      <w:r w:rsidR="00D1326E">
        <w:t>is highly relevant to fossil fuel subsidies</w:t>
      </w:r>
      <w:r>
        <w:t>.</w:t>
      </w:r>
      <w:r w:rsidR="00296927">
        <w:t xml:space="preserve">  Table</w:t>
      </w:r>
      <w:r w:rsidR="00494C95">
        <w:t xml:space="preserve"> 2 </w:t>
      </w:r>
      <w:r w:rsidR="00296927">
        <w:t xml:space="preserve">gives some indication of </w:t>
      </w:r>
      <w:r w:rsidR="00771DF0">
        <w:t>its</w:t>
      </w:r>
      <w:r w:rsidR="00296927">
        <w:t xml:space="preserve"> significance, by adding Commonwealth and State road spending from 201</w:t>
      </w:r>
      <w:r w:rsidR="00992BD0">
        <w:t>8</w:t>
      </w:r>
      <w:r w:rsidR="00296927">
        <w:t>-1</w:t>
      </w:r>
      <w:r w:rsidR="00992BD0">
        <w:t>9</w:t>
      </w:r>
      <w:r w:rsidR="00296927">
        <w:t xml:space="preserve"> (later figures are not available)</w:t>
      </w:r>
      <w:r w:rsidR="00C47EB1">
        <w:t xml:space="preserve"> to adjusted 2020-21 estimates from the Institute</w:t>
      </w:r>
      <w:r w:rsidR="00992BD0">
        <w:t xml:space="preserve">.  </w:t>
      </w:r>
    </w:p>
    <w:p w14:paraId="04AA9937" w14:textId="77777777" w:rsidR="00992BD0" w:rsidRDefault="00992BD0" w:rsidP="00992BD0">
      <w:pPr>
        <w:spacing w:after="0"/>
      </w:pPr>
    </w:p>
    <w:p w14:paraId="1FC4985E" w14:textId="1B01904C" w:rsidR="00992BD0" w:rsidRPr="00082317" w:rsidRDefault="00992BD0" w:rsidP="00992BD0">
      <w:pPr>
        <w:spacing w:after="0"/>
        <w:rPr>
          <w:b/>
          <w:bCs/>
          <w:sz w:val="20"/>
          <w:szCs w:val="20"/>
        </w:rPr>
      </w:pPr>
      <w:r w:rsidRPr="006D3726">
        <w:rPr>
          <w:b/>
          <w:bCs/>
        </w:rPr>
        <w:t xml:space="preserve">Table </w:t>
      </w:r>
      <w:r>
        <w:rPr>
          <w:b/>
          <w:bCs/>
        </w:rPr>
        <w:t>2</w:t>
      </w:r>
      <w:r w:rsidRPr="006D3726">
        <w:rPr>
          <w:b/>
          <w:bCs/>
        </w:rPr>
        <w:t xml:space="preserve">: </w:t>
      </w:r>
      <w:r>
        <w:rPr>
          <w:b/>
          <w:bCs/>
        </w:rPr>
        <w:t xml:space="preserve">indicative net fossil fuel </w:t>
      </w:r>
      <w:r w:rsidR="00C47EB1">
        <w:rPr>
          <w:b/>
          <w:bCs/>
        </w:rPr>
        <w:t>assistance</w:t>
      </w:r>
      <w:r>
        <w:rPr>
          <w:b/>
          <w:bCs/>
        </w:rPr>
        <w:t>s by state, territory and Federal governments</w:t>
      </w:r>
      <w:r w:rsidR="00B60E2A">
        <w:rPr>
          <w:b/>
          <w:bCs/>
        </w:rPr>
        <w:t xml:space="preserve"> </w:t>
      </w:r>
      <w:r w:rsidR="00275786">
        <w:rPr>
          <w:b/>
          <w:bCs/>
        </w:rPr>
        <w:t>taking roads into account</w:t>
      </w:r>
      <w:r w:rsidR="00B60E2A">
        <w:rPr>
          <w:b/>
          <w:bCs/>
        </w:rPr>
        <w:t>($bn)</w:t>
      </w:r>
      <w:r w:rsidR="00E60716">
        <w:rPr>
          <w:b/>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992BD0" w:rsidRPr="00082317" w14:paraId="490BB1D5" w14:textId="77777777" w:rsidTr="003B68A5">
        <w:tc>
          <w:tcPr>
            <w:tcW w:w="2254" w:type="dxa"/>
          </w:tcPr>
          <w:p w14:paraId="54160944" w14:textId="77777777" w:rsidR="00992BD0" w:rsidRPr="00082317" w:rsidRDefault="00992BD0" w:rsidP="003B68A5">
            <w:pPr>
              <w:rPr>
                <w:b/>
                <w:bCs/>
                <w:sz w:val="20"/>
                <w:szCs w:val="20"/>
              </w:rPr>
            </w:pPr>
          </w:p>
        </w:tc>
        <w:tc>
          <w:tcPr>
            <w:tcW w:w="2254" w:type="dxa"/>
          </w:tcPr>
          <w:p w14:paraId="6C6E5B9A" w14:textId="3513F9EF" w:rsidR="00992BD0" w:rsidRPr="00082317" w:rsidRDefault="00992BD0" w:rsidP="003B68A5">
            <w:pPr>
              <w:rPr>
                <w:b/>
                <w:bCs/>
                <w:sz w:val="20"/>
                <w:szCs w:val="20"/>
              </w:rPr>
            </w:pPr>
            <w:r>
              <w:rPr>
                <w:b/>
                <w:bCs/>
                <w:sz w:val="20"/>
                <w:szCs w:val="20"/>
              </w:rPr>
              <w:t>Fuel and road taxes/revenue</w:t>
            </w:r>
            <w:r w:rsidRPr="00082317">
              <w:rPr>
                <w:b/>
                <w:bCs/>
                <w:sz w:val="20"/>
                <w:szCs w:val="20"/>
              </w:rPr>
              <w:t xml:space="preserve"> ($</w:t>
            </w:r>
            <w:r w:rsidR="00B60E2A">
              <w:rPr>
                <w:b/>
                <w:bCs/>
                <w:sz w:val="20"/>
                <w:szCs w:val="20"/>
              </w:rPr>
              <w:t>bn</w:t>
            </w:r>
            <w:r w:rsidRPr="00082317">
              <w:rPr>
                <w:b/>
                <w:bCs/>
                <w:sz w:val="20"/>
                <w:szCs w:val="20"/>
              </w:rPr>
              <w:t>)</w:t>
            </w:r>
          </w:p>
        </w:tc>
        <w:tc>
          <w:tcPr>
            <w:tcW w:w="2254" w:type="dxa"/>
          </w:tcPr>
          <w:p w14:paraId="60BD2458" w14:textId="31342DC3" w:rsidR="00992BD0" w:rsidRPr="00082317" w:rsidRDefault="00992BD0" w:rsidP="003B68A5">
            <w:pPr>
              <w:rPr>
                <w:b/>
                <w:bCs/>
                <w:sz w:val="20"/>
                <w:szCs w:val="20"/>
              </w:rPr>
            </w:pPr>
            <w:r w:rsidRPr="00082317">
              <w:rPr>
                <w:b/>
                <w:bCs/>
                <w:sz w:val="20"/>
                <w:szCs w:val="20"/>
              </w:rPr>
              <w:t>Spending measures</w:t>
            </w:r>
            <w:r>
              <w:rPr>
                <w:b/>
                <w:bCs/>
                <w:sz w:val="20"/>
                <w:szCs w:val="20"/>
              </w:rPr>
              <w:t xml:space="preserve"> including roads</w:t>
            </w:r>
            <w:r w:rsidRPr="00082317">
              <w:rPr>
                <w:b/>
                <w:bCs/>
                <w:sz w:val="20"/>
                <w:szCs w:val="20"/>
              </w:rPr>
              <w:t xml:space="preserve"> ($</w:t>
            </w:r>
            <w:r w:rsidR="00B60E2A">
              <w:rPr>
                <w:b/>
                <w:bCs/>
                <w:sz w:val="20"/>
                <w:szCs w:val="20"/>
              </w:rPr>
              <w:t>bn</w:t>
            </w:r>
            <w:r w:rsidRPr="00082317">
              <w:rPr>
                <w:b/>
                <w:bCs/>
                <w:sz w:val="20"/>
                <w:szCs w:val="20"/>
              </w:rPr>
              <w:t>)</w:t>
            </w:r>
          </w:p>
        </w:tc>
        <w:tc>
          <w:tcPr>
            <w:tcW w:w="2254" w:type="dxa"/>
          </w:tcPr>
          <w:p w14:paraId="5328387B" w14:textId="0989158C" w:rsidR="00992BD0" w:rsidRPr="00082317" w:rsidRDefault="00992BD0" w:rsidP="003B68A5">
            <w:pPr>
              <w:rPr>
                <w:b/>
                <w:bCs/>
                <w:sz w:val="20"/>
                <w:szCs w:val="20"/>
              </w:rPr>
            </w:pPr>
            <w:r>
              <w:rPr>
                <w:b/>
                <w:bCs/>
                <w:sz w:val="20"/>
                <w:szCs w:val="20"/>
              </w:rPr>
              <w:t>Net</w:t>
            </w:r>
            <w:r w:rsidRPr="00082317">
              <w:rPr>
                <w:b/>
                <w:bCs/>
                <w:sz w:val="20"/>
                <w:szCs w:val="20"/>
              </w:rPr>
              <w:t xml:space="preserve"> assistance ($</w:t>
            </w:r>
            <w:r w:rsidR="00B60E2A">
              <w:rPr>
                <w:b/>
                <w:bCs/>
                <w:sz w:val="20"/>
                <w:szCs w:val="20"/>
              </w:rPr>
              <w:t>bn</w:t>
            </w:r>
            <w:r w:rsidRPr="00082317">
              <w:rPr>
                <w:b/>
                <w:bCs/>
                <w:sz w:val="20"/>
                <w:szCs w:val="20"/>
              </w:rPr>
              <w:t>)</w:t>
            </w:r>
          </w:p>
        </w:tc>
      </w:tr>
      <w:tr w:rsidR="00992BD0" w:rsidRPr="00082317" w14:paraId="7C5C5872" w14:textId="77777777" w:rsidTr="003B68A5">
        <w:tc>
          <w:tcPr>
            <w:tcW w:w="2254" w:type="dxa"/>
          </w:tcPr>
          <w:p w14:paraId="60B2087A" w14:textId="77777777" w:rsidR="00992BD0" w:rsidRPr="00082317" w:rsidRDefault="00992BD0" w:rsidP="003B68A5">
            <w:pPr>
              <w:rPr>
                <w:sz w:val="20"/>
                <w:szCs w:val="20"/>
              </w:rPr>
            </w:pPr>
            <w:r w:rsidRPr="00082317">
              <w:rPr>
                <w:sz w:val="20"/>
                <w:szCs w:val="20"/>
              </w:rPr>
              <w:t xml:space="preserve">Federal </w:t>
            </w:r>
          </w:p>
        </w:tc>
        <w:tc>
          <w:tcPr>
            <w:tcW w:w="2254" w:type="dxa"/>
          </w:tcPr>
          <w:p w14:paraId="28FC10D4" w14:textId="160DF715" w:rsidR="00992BD0" w:rsidRPr="00082317" w:rsidRDefault="00992BD0" w:rsidP="003B68A5">
            <w:pPr>
              <w:rPr>
                <w:sz w:val="20"/>
                <w:szCs w:val="20"/>
              </w:rPr>
            </w:pPr>
            <w:r w:rsidRPr="00082317">
              <w:rPr>
                <w:sz w:val="20"/>
                <w:szCs w:val="20"/>
              </w:rPr>
              <w:t>$</w:t>
            </w:r>
            <w:r>
              <w:rPr>
                <w:sz w:val="20"/>
                <w:szCs w:val="20"/>
              </w:rPr>
              <w:t>10</w:t>
            </w:r>
            <w:r w:rsidR="00B60E2A">
              <w:rPr>
                <w:sz w:val="20"/>
                <w:szCs w:val="20"/>
              </w:rPr>
              <w:t>.</w:t>
            </w:r>
            <w:r>
              <w:rPr>
                <w:sz w:val="20"/>
                <w:szCs w:val="20"/>
              </w:rPr>
              <w:t>6 (a)</w:t>
            </w:r>
          </w:p>
        </w:tc>
        <w:tc>
          <w:tcPr>
            <w:tcW w:w="2254" w:type="dxa"/>
          </w:tcPr>
          <w:p w14:paraId="691E6D0E" w14:textId="54D294F6" w:rsidR="00992BD0" w:rsidRPr="00082317" w:rsidRDefault="00992BD0" w:rsidP="003B68A5">
            <w:pPr>
              <w:rPr>
                <w:sz w:val="20"/>
                <w:szCs w:val="20"/>
              </w:rPr>
            </w:pPr>
            <w:r w:rsidRPr="00082317">
              <w:rPr>
                <w:sz w:val="20"/>
                <w:szCs w:val="20"/>
              </w:rPr>
              <w:t>$</w:t>
            </w:r>
            <w:r>
              <w:rPr>
                <w:sz w:val="20"/>
                <w:szCs w:val="20"/>
              </w:rPr>
              <w:t>6</w:t>
            </w:r>
            <w:r w:rsidR="00B60E2A">
              <w:rPr>
                <w:sz w:val="20"/>
                <w:szCs w:val="20"/>
              </w:rPr>
              <w:t>.3</w:t>
            </w:r>
          </w:p>
        </w:tc>
        <w:tc>
          <w:tcPr>
            <w:tcW w:w="2254" w:type="dxa"/>
          </w:tcPr>
          <w:p w14:paraId="4F4A9C55" w14:textId="5F35AF70" w:rsidR="00992BD0" w:rsidRPr="00082317" w:rsidRDefault="00992BD0" w:rsidP="003B68A5">
            <w:pPr>
              <w:rPr>
                <w:sz w:val="20"/>
                <w:szCs w:val="20"/>
              </w:rPr>
            </w:pPr>
            <w:r w:rsidRPr="00082317">
              <w:rPr>
                <w:sz w:val="20"/>
                <w:szCs w:val="20"/>
              </w:rPr>
              <w:t>-$</w:t>
            </w:r>
            <w:r>
              <w:rPr>
                <w:sz w:val="20"/>
                <w:szCs w:val="20"/>
              </w:rPr>
              <w:t>4</w:t>
            </w:r>
            <w:r w:rsidR="00B60E2A">
              <w:rPr>
                <w:sz w:val="20"/>
                <w:szCs w:val="20"/>
              </w:rPr>
              <w:t>.2</w:t>
            </w:r>
          </w:p>
        </w:tc>
      </w:tr>
      <w:tr w:rsidR="00992BD0" w:rsidRPr="00082317" w14:paraId="42F30E1B" w14:textId="77777777" w:rsidTr="003B68A5">
        <w:tc>
          <w:tcPr>
            <w:tcW w:w="2254" w:type="dxa"/>
          </w:tcPr>
          <w:p w14:paraId="7DB9F902" w14:textId="77777777" w:rsidR="00992BD0" w:rsidRPr="00082317" w:rsidRDefault="00992BD0" w:rsidP="003B68A5">
            <w:pPr>
              <w:rPr>
                <w:sz w:val="20"/>
                <w:szCs w:val="20"/>
              </w:rPr>
            </w:pPr>
            <w:r w:rsidRPr="00082317">
              <w:rPr>
                <w:sz w:val="20"/>
                <w:szCs w:val="20"/>
              </w:rPr>
              <w:t>QLD</w:t>
            </w:r>
            <w:r>
              <w:rPr>
                <w:sz w:val="20"/>
                <w:szCs w:val="20"/>
              </w:rPr>
              <w:t xml:space="preserve"> </w:t>
            </w:r>
          </w:p>
        </w:tc>
        <w:tc>
          <w:tcPr>
            <w:tcW w:w="2254" w:type="dxa"/>
          </w:tcPr>
          <w:p w14:paraId="6292BBA2" w14:textId="632759CA" w:rsidR="00992BD0" w:rsidRPr="00082317" w:rsidRDefault="00992BD0" w:rsidP="003B68A5">
            <w:pPr>
              <w:rPr>
                <w:sz w:val="20"/>
                <w:szCs w:val="20"/>
              </w:rPr>
            </w:pPr>
            <w:r w:rsidRPr="00082317">
              <w:rPr>
                <w:sz w:val="20"/>
                <w:szCs w:val="20"/>
              </w:rPr>
              <w:t>$</w:t>
            </w:r>
            <w:r>
              <w:rPr>
                <w:sz w:val="20"/>
                <w:szCs w:val="20"/>
              </w:rPr>
              <w:t>4</w:t>
            </w:r>
            <w:r w:rsidR="00B60E2A">
              <w:rPr>
                <w:sz w:val="20"/>
                <w:szCs w:val="20"/>
              </w:rPr>
              <w:t>.</w:t>
            </w:r>
            <w:r>
              <w:rPr>
                <w:sz w:val="20"/>
                <w:szCs w:val="20"/>
              </w:rPr>
              <w:t>6 (b)</w:t>
            </w:r>
          </w:p>
        </w:tc>
        <w:tc>
          <w:tcPr>
            <w:tcW w:w="2254" w:type="dxa"/>
          </w:tcPr>
          <w:p w14:paraId="32352412" w14:textId="6892B7C0" w:rsidR="00992BD0" w:rsidRPr="00082317" w:rsidRDefault="00992BD0" w:rsidP="003B68A5">
            <w:pPr>
              <w:rPr>
                <w:sz w:val="20"/>
                <w:szCs w:val="20"/>
              </w:rPr>
            </w:pPr>
            <w:r w:rsidRPr="00082317">
              <w:rPr>
                <w:sz w:val="20"/>
                <w:szCs w:val="20"/>
              </w:rPr>
              <w:t>$</w:t>
            </w:r>
            <w:r>
              <w:rPr>
                <w:sz w:val="20"/>
                <w:szCs w:val="20"/>
              </w:rPr>
              <w:t>5</w:t>
            </w:r>
            <w:r w:rsidR="00B60E2A">
              <w:rPr>
                <w:sz w:val="20"/>
                <w:szCs w:val="20"/>
              </w:rPr>
              <w:t>.2</w:t>
            </w:r>
          </w:p>
        </w:tc>
        <w:tc>
          <w:tcPr>
            <w:tcW w:w="2254" w:type="dxa"/>
          </w:tcPr>
          <w:p w14:paraId="3BB5A7CC" w14:textId="6E309EC1" w:rsidR="00992BD0" w:rsidRPr="00082317" w:rsidRDefault="00992BD0" w:rsidP="003B68A5">
            <w:pPr>
              <w:rPr>
                <w:sz w:val="20"/>
                <w:szCs w:val="20"/>
              </w:rPr>
            </w:pPr>
            <w:r>
              <w:rPr>
                <w:sz w:val="20"/>
                <w:szCs w:val="20"/>
              </w:rPr>
              <w:t>$</w:t>
            </w:r>
            <w:r w:rsidR="00B60E2A">
              <w:rPr>
                <w:sz w:val="20"/>
                <w:szCs w:val="20"/>
              </w:rPr>
              <w:t>0.5</w:t>
            </w:r>
          </w:p>
        </w:tc>
      </w:tr>
      <w:tr w:rsidR="00992BD0" w:rsidRPr="00082317" w14:paraId="4C019D39" w14:textId="77777777" w:rsidTr="003B68A5">
        <w:tc>
          <w:tcPr>
            <w:tcW w:w="2254" w:type="dxa"/>
          </w:tcPr>
          <w:p w14:paraId="01710937" w14:textId="77777777" w:rsidR="00992BD0" w:rsidRPr="00082317" w:rsidRDefault="00992BD0" w:rsidP="003B68A5">
            <w:pPr>
              <w:rPr>
                <w:sz w:val="20"/>
                <w:szCs w:val="20"/>
              </w:rPr>
            </w:pPr>
            <w:r w:rsidRPr="00082317">
              <w:rPr>
                <w:sz w:val="20"/>
                <w:szCs w:val="20"/>
              </w:rPr>
              <w:t>WA</w:t>
            </w:r>
          </w:p>
        </w:tc>
        <w:tc>
          <w:tcPr>
            <w:tcW w:w="2254" w:type="dxa"/>
          </w:tcPr>
          <w:p w14:paraId="687B2991" w14:textId="21E64F01" w:rsidR="00992BD0" w:rsidRPr="00082317" w:rsidRDefault="00992BD0" w:rsidP="003B68A5">
            <w:pPr>
              <w:rPr>
                <w:sz w:val="20"/>
                <w:szCs w:val="20"/>
              </w:rPr>
            </w:pPr>
            <w:r>
              <w:rPr>
                <w:sz w:val="20"/>
                <w:szCs w:val="20"/>
              </w:rPr>
              <w:t>$1</w:t>
            </w:r>
            <w:r w:rsidR="00B60E2A">
              <w:rPr>
                <w:sz w:val="20"/>
                <w:szCs w:val="20"/>
              </w:rPr>
              <w:t>.4</w:t>
            </w:r>
          </w:p>
        </w:tc>
        <w:tc>
          <w:tcPr>
            <w:tcW w:w="2254" w:type="dxa"/>
          </w:tcPr>
          <w:p w14:paraId="57F68E6B" w14:textId="2911FB30" w:rsidR="00992BD0" w:rsidRPr="00082317" w:rsidRDefault="00992BD0" w:rsidP="003B68A5">
            <w:pPr>
              <w:rPr>
                <w:sz w:val="20"/>
                <w:szCs w:val="20"/>
              </w:rPr>
            </w:pPr>
            <w:r w:rsidRPr="00082317">
              <w:rPr>
                <w:sz w:val="20"/>
                <w:szCs w:val="20"/>
              </w:rPr>
              <w:t>$</w:t>
            </w:r>
            <w:r>
              <w:rPr>
                <w:sz w:val="20"/>
                <w:szCs w:val="20"/>
              </w:rPr>
              <w:t>2</w:t>
            </w:r>
            <w:r w:rsidR="00B60E2A">
              <w:rPr>
                <w:sz w:val="20"/>
                <w:szCs w:val="20"/>
              </w:rPr>
              <w:t>.7</w:t>
            </w:r>
          </w:p>
        </w:tc>
        <w:tc>
          <w:tcPr>
            <w:tcW w:w="2254" w:type="dxa"/>
          </w:tcPr>
          <w:p w14:paraId="28C29602" w14:textId="721BCA08" w:rsidR="00992BD0" w:rsidRPr="00082317" w:rsidRDefault="00992BD0" w:rsidP="003B68A5">
            <w:pPr>
              <w:rPr>
                <w:sz w:val="20"/>
                <w:szCs w:val="20"/>
              </w:rPr>
            </w:pPr>
            <w:r w:rsidRPr="00082317">
              <w:rPr>
                <w:sz w:val="20"/>
                <w:szCs w:val="20"/>
              </w:rPr>
              <w:t>$1</w:t>
            </w:r>
            <w:r w:rsidR="00B60E2A">
              <w:rPr>
                <w:sz w:val="20"/>
                <w:szCs w:val="20"/>
              </w:rPr>
              <w:t>.</w:t>
            </w:r>
            <w:r>
              <w:rPr>
                <w:sz w:val="20"/>
                <w:szCs w:val="20"/>
              </w:rPr>
              <w:t>3</w:t>
            </w:r>
          </w:p>
        </w:tc>
      </w:tr>
      <w:tr w:rsidR="00992BD0" w:rsidRPr="00082317" w14:paraId="526A984D" w14:textId="77777777" w:rsidTr="003B68A5">
        <w:tc>
          <w:tcPr>
            <w:tcW w:w="2254" w:type="dxa"/>
          </w:tcPr>
          <w:p w14:paraId="74F96D05" w14:textId="77777777" w:rsidR="00992BD0" w:rsidRPr="00082317" w:rsidRDefault="00992BD0" w:rsidP="003B68A5">
            <w:pPr>
              <w:rPr>
                <w:sz w:val="20"/>
                <w:szCs w:val="20"/>
              </w:rPr>
            </w:pPr>
            <w:r w:rsidRPr="00082317">
              <w:rPr>
                <w:sz w:val="20"/>
                <w:szCs w:val="20"/>
              </w:rPr>
              <w:t>NT</w:t>
            </w:r>
          </w:p>
        </w:tc>
        <w:tc>
          <w:tcPr>
            <w:tcW w:w="2254" w:type="dxa"/>
          </w:tcPr>
          <w:p w14:paraId="1FD84670" w14:textId="29B076FE" w:rsidR="00992BD0" w:rsidRPr="00082317" w:rsidRDefault="00992BD0" w:rsidP="003B68A5">
            <w:pPr>
              <w:rPr>
                <w:sz w:val="20"/>
                <w:szCs w:val="20"/>
              </w:rPr>
            </w:pPr>
            <w:r>
              <w:rPr>
                <w:sz w:val="20"/>
                <w:szCs w:val="20"/>
              </w:rPr>
              <w:t>$</w:t>
            </w:r>
            <w:r w:rsidR="00B60E2A">
              <w:rPr>
                <w:sz w:val="20"/>
                <w:szCs w:val="20"/>
              </w:rPr>
              <w:t>0.1</w:t>
            </w:r>
          </w:p>
        </w:tc>
        <w:tc>
          <w:tcPr>
            <w:tcW w:w="2254" w:type="dxa"/>
          </w:tcPr>
          <w:p w14:paraId="471306A3" w14:textId="644278EA" w:rsidR="00992BD0" w:rsidRPr="00082317" w:rsidRDefault="00992BD0" w:rsidP="003B68A5">
            <w:pPr>
              <w:rPr>
                <w:sz w:val="20"/>
                <w:szCs w:val="20"/>
              </w:rPr>
            </w:pPr>
            <w:r w:rsidRPr="00082317">
              <w:rPr>
                <w:sz w:val="20"/>
                <w:szCs w:val="20"/>
              </w:rPr>
              <w:t>$</w:t>
            </w:r>
            <w:r w:rsidR="00B60E2A">
              <w:rPr>
                <w:sz w:val="20"/>
                <w:szCs w:val="20"/>
              </w:rPr>
              <w:t>0.6</w:t>
            </w:r>
          </w:p>
        </w:tc>
        <w:tc>
          <w:tcPr>
            <w:tcW w:w="2254" w:type="dxa"/>
          </w:tcPr>
          <w:p w14:paraId="3FF26DC9" w14:textId="1646C4EC" w:rsidR="00992BD0" w:rsidRPr="00082317" w:rsidRDefault="00992BD0" w:rsidP="003B68A5">
            <w:pPr>
              <w:rPr>
                <w:sz w:val="20"/>
                <w:szCs w:val="20"/>
              </w:rPr>
            </w:pPr>
            <w:r>
              <w:rPr>
                <w:sz w:val="20"/>
                <w:szCs w:val="20"/>
              </w:rPr>
              <w:t>$</w:t>
            </w:r>
            <w:r w:rsidR="00B60E2A">
              <w:rPr>
                <w:sz w:val="20"/>
                <w:szCs w:val="20"/>
              </w:rPr>
              <w:t>0.5</w:t>
            </w:r>
          </w:p>
        </w:tc>
      </w:tr>
      <w:tr w:rsidR="00992BD0" w:rsidRPr="00082317" w14:paraId="3F0507A1" w14:textId="77777777" w:rsidTr="003B68A5">
        <w:tc>
          <w:tcPr>
            <w:tcW w:w="2254" w:type="dxa"/>
          </w:tcPr>
          <w:p w14:paraId="5E61AB78" w14:textId="77777777" w:rsidR="00992BD0" w:rsidRPr="00082317" w:rsidRDefault="00992BD0" w:rsidP="003B68A5">
            <w:pPr>
              <w:rPr>
                <w:sz w:val="20"/>
                <w:szCs w:val="20"/>
              </w:rPr>
            </w:pPr>
            <w:r w:rsidRPr="00082317">
              <w:rPr>
                <w:sz w:val="20"/>
                <w:szCs w:val="20"/>
              </w:rPr>
              <w:t>VIC</w:t>
            </w:r>
          </w:p>
        </w:tc>
        <w:tc>
          <w:tcPr>
            <w:tcW w:w="2254" w:type="dxa"/>
          </w:tcPr>
          <w:p w14:paraId="63FC1134" w14:textId="4A39ED16" w:rsidR="00992BD0" w:rsidRPr="00082317" w:rsidRDefault="00992BD0" w:rsidP="003B68A5">
            <w:pPr>
              <w:rPr>
                <w:sz w:val="20"/>
                <w:szCs w:val="20"/>
              </w:rPr>
            </w:pPr>
            <w:r>
              <w:rPr>
                <w:sz w:val="20"/>
                <w:szCs w:val="20"/>
              </w:rPr>
              <w:t>$2</w:t>
            </w:r>
            <w:r w:rsidR="00B60E2A">
              <w:rPr>
                <w:sz w:val="20"/>
                <w:szCs w:val="20"/>
              </w:rPr>
              <w:t>.</w:t>
            </w:r>
            <w:r>
              <w:rPr>
                <w:sz w:val="20"/>
                <w:szCs w:val="20"/>
              </w:rPr>
              <w:t>6</w:t>
            </w:r>
          </w:p>
        </w:tc>
        <w:tc>
          <w:tcPr>
            <w:tcW w:w="2254" w:type="dxa"/>
          </w:tcPr>
          <w:p w14:paraId="582CE655" w14:textId="1DC58A5B" w:rsidR="00992BD0" w:rsidRPr="00082317" w:rsidRDefault="00992BD0" w:rsidP="003B68A5">
            <w:pPr>
              <w:rPr>
                <w:sz w:val="20"/>
                <w:szCs w:val="20"/>
              </w:rPr>
            </w:pPr>
            <w:r w:rsidRPr="00082317">
              <w:rPr>
                <w:sz w:val="20"/>
                <w:szCs w:val="20"/>
              </w:rPr>
              <w:t>$</w:t>
            </w:r>
            <w:r>
              <w:rPr>
                <w:sz w:val="20"/>
                <w:szCs w:val="20"/>
              </w:rPr>
              <w:t>6</w:t>
            </w:r>
            <w:r w:rsidR="00B60E2A">
              <w:rPr>
                <w:sz w:val="20"/>
                <w:szCs w:val="20"/>
              </w:rPr>
              <w:t>.9</w:t>
            </w:r>
          </w:p>
        </w:tc>
        <w:tc>
          <w:tcPr>
            <w:tcW w:w="2254" w:type="dxa"/>
          </w:tcPr>
          <w:p w14:paraId="4D8D410A" w14:textId="051EDE2F" w:rsidR="00992BD0" w:rsidRPr="00082317" w:rsidRDefault="00992BD0" w:rsidP="003B68A5">
            <w:pPr>
              <w:rPr>
                <w:sz w:val="20"/>
                <w:szCs w:val="20"/>
              </w:rPr>
            </w:pPr>
            <w:r w:rsidRPr="00082317">
              <w:rPr>
                <w:sz w:val="20"/>
                <w:szCs w:val="20"/>
              </w:rPr>
              <w:t>$</w:t>
            </w:r>
            <w:r>
              <w:rPr>
                <w:sz w:val="20"/>
                <w:szCs w:val="20"/>
              </w:rPr>
              <w:t>4</w:t>
            </w:r>
            <w:r w:rsidR="00B60E2A">
              <w:rPr>
                <w:sz w:val="20"/>
                <w:szCs w:val="20"/>
              </w:rPr>
              <w:t>.3</w:t>
            </w:r>
          </w:p>
        </w:tc>
      </w:tr>
      <w:tr w:rsidR="00992BD0" w:rsidRPr="00082317" w14:paraId="5CACD899" w14:textId="77777777" w:rsidTr="003B68A5">
        <w:tc>
          <w:tcPr>
            <w:tcW w:w="2254" w:type="dxa"/>
          </w:tcPr>
          <w:p w14:paraId="3F029403" w14:textId="77777777" w:rsidR="00992BD0" w:rsidRPr="00082317" w:rsidRDefault="00992BD0" w:rsidP="003B68A5">
            <w:pPr>
              <w:rPr>
                <w:sz w:val="20"/>
                <w:szCs w:val="20"/>
              </w:rPr>
            </w:pPr>
            <w:r w:rsidRPr="00082317">
              <w:rPr>
                <w:sz w:val="20"/>
                <w:szCs w:val="20"/>
              </w:rPr>
              <w:t>SA</w:t>
            </w:r>
          </w:p>
        </w:tc>
        <w:tc>
          <w:tcPr>
            <w:tcW w:w="2254" w:type="dxa"/>
          </w:tcPr>
          <w:p w14:paraId="60F51FD7" w14:textId="50C7BA3B" w:rsidR="00992BD0" w:rsidRPr="00082317" w:rsidRDefault="00992BD0" w:rsidP="003B68A5">
            <w:pPr>
              <w:rPr>
                <w:sz w:val="20"/>
                <w:szCs w:val="20"/>
              </w:rPr>
            </w:pPr>
            <w:r>
              <w:rPr>
                <w:sz w:val="20"/>
                <w:szCs w:val="20"/>
              </w:rPr>
              <w:t>$</w:t>
            </w:r>
            <w:r w:rsidR="00B60E2A">
              <w:rPr>
                <w:sz w:val="20"/>
                <w:szCs w:val="20"/>
              </w:rPr>
              <w:t>0.6</w:t>
            </w:r>
          </w:p>
        </w:tc>
        <w:tc>
          <w:tcPr>
            <w:tcW w:w="2254" w:type="dxa"/>
          </w:tcPr>
          <w:p w14:paraId="36D35266" w14:textId="57C6A741" w:rsidR="00992BD0" w:rsidRPr="00082317" w:rsidRDefault="00992BD0" w:rsidP="003B68A5">
            <w:pPr>
              <w:rPr>
                <w:sz w:val="20"/>
                <w:szCs w:val="20"/>
              </w:rPr>
            </w:pPr>
            <w:r w:rsidRPr="00082317">
              <w:rPr>
                <w:sz w:val="20"/>
                <w:szCs w:val="20"/>
              </w:rPr>
              <w:t>$</w:t>
            </w:r>
            <w:r>
              <w:rPr>
                <w:sz w:val="20"/>
                <w:szCs w:val="20"/>
              </w:rPr>
              <w:t>1</w:t>
            </w:r>
            <w:r w:rsidR="00B60E2A">
              <w:rPr>
                <w:sz w:val="20"/>
                <w:szCs w:val="20"/>
              </w:rPr>
              <w:t>.</w:t>
            </w:r>
            <w:r>
              <w:rPr>
                <w:sz w:val="20"/>
                <w:szCs w:val="20"/>
              </w:rPr>
              <w:t>1 (c)</w:t>
            </w:r>
          </w:p>
        </w:tc>
        <w:tc>
          <w:tcPr>
            <w:tcW w:w="2254" w:type="dxa"/>
          </w:tcPr>
          <w:p w14:paraId="640CDDFB" w14:textId="5CA6493D" w:rsidR="00992BD0" w:rsidRPr="00082317" w:rsidRDefault="00992BD0" w:rsidP="003B68A5">
            <w:pPr>
              <w:rPr>
                <w:sz w:val="20"/>
                <w:szCs w:val="20"/>
              </w:rPr>
            </w:pPr>
            <w:r w:rsidRPr="00082317">
              <w:rPr>
                <w:sz w:val="20"/>
                <w:szCs w:val="20"/>
              </w:rPr>
              <w:t>$</w:t>
            </w:r>
            <w:r w:rsidR="00B60E2A">
              <w:rPr>
                <w:sz w:val="20"/>
                <w:szCs w:val="20"/>
              </w:rPr>
              <w:t>0.5</w:t>
            </w:r>
          </w:p>
        </w:tc>
      </w:tr>
      <w:tr w:rsidR="00992BD0" w:rsidRPr="00082317" w14:paraId="41AE45C3" w14:textId="77777777" w:rsidTr="003B68A5">
        <w:tc>
          <w:tcPr>
            <w:tcW w:w="2254" w:type="dxa"/>
          </w:tcPr>
          <w:p w14:paraId="6DFE4D6E" w14:textId="77777777" w:rsidR="00992BD0" w:rsidRPr="00082317" w:rsidRDefault="00992BD0" w:rsidP="003B68A5">
            <w:pPr>
              <w:rPr>
                <w:sz w:val="20"/>
                <w:szCs w:val="20"/>
              </w:rPr>
            </w:pPr>
            <w:r w:rsidRPr="00082317">
              <w:rPr>
                <w:sz w:val="20"/>
                <w:szCs w:val="20"/>
              </w:rPr>
              <w:t>NSW</w:t>
            </w:r>
          </w:p>
        </w:tc>
        <w:tc>
          <w:tcPr>
            <w:tcW w:w="2254" w:type="dxa"/>
          </w:tcPr>
          <w:p w14:paraId="4FED6BB9" w14:textId="72F0D5F5" w:rsidR="00992BD0" w:rsidRPr="00082317" w:rsidRDefault="00992BD0" w:rsidP="003B68A5">
            <w:pPr>
              <w:rPr>
                <w:sz w:val="20"/>
                <w:szCs w:val="20"/>
              </w:rPr>
            </w:pPr>
            <w:r w:rsidRPr="00082317">
              <w:rPr>
                <w:sz w:val="20"/>
                <w:szCs w:val="20"/>
              </w:rPr>
              <w:t>$</w:t>
            </w:r>
            <w:r>
              <w:rPr>
                <w:sz w:val="20"/>
                <w:szCs w:val="20"/>
              </w:rPr>
              <w:t>4</w:t>
            </w:r>
            <w:r w:rsidR="00B60E2A">
              <w:rPr>
                <w:sz w:val="20"/>
                <w:szCs w:val="20"/>
              </w:rPr>
              <w:t>.</w:t>
            </w:r>
            <w:r>
              <w:rPr>
                <w:sz w:val="20"/>
                <w:szCs w:val="20"/>
              </w:rPr>
              <w:t xml:space="preserve">6 (d) </w:t>
            </w:r>
          </w:p>
        </w:tc>
        <w:tc>
          <w:tcPr>
            <w:tcW w:w="2254" w:type="dxa"/>
          </w:tcPr>
          <w:p w14:paraId="624A6E4C" w14:textId="67F2A5F5" w:rsidR="00992BD0" w:rsidRPr="00082317" w:rsidRDefault="00992BD0" w:rsidP="003B68A5">
            <w:pPr>
              <w:rPr>
                <w:sz w:val="20"/>
                <w:szCs w:val="20"/>
              </w:rPr>
            </w:pPr>
            <w:r w:rsidRPr="00082317">
              <w:rPr>
                <w:sz w:val="20"/>
                <w:szCs w:val="20"/>
              </w:rPr>
              <w:t>$</w:t>
            </w:r>
            <w:r>
              <w:rPr>
                <w:sz w:val="20"/>
                <w:szCs w:val="20"/>
              </w:rPr>
              <w:t>7</w:t>
            </w:r>
            <w:r w:rsidR="00B60E2A">
              <w:rPr>
                <w:sz w:val="20"/>
                <w:szCs w:val="20"/>
              </w:rPr>
              <w:t>.3</w:t>
            </w:r>
          </w:p>
        </w:tc>
        <w:tc>
          <w:tcPr>
            <w:tcW w:w="2254" w:type="dxa"/>
          </w:tcPr>
          <w:p w14:paraId="5C764E7F" w14:textId="4E41BD2E" w:rsidR="00992BD0" w:rsidRPr="00082317" w:rsidRDefault="00992BD0" w:rsidP="003B68A5">
            <w:pPr>
              <w:rPr>
                <w:sz w:val="20"/>
                <w:szCs w:val="20"/>
              </w:rPr>
            </w:pPr>
            <w:r>
              <w:rPr>
                <w:sz w:val="20"/>
                <w:szCs w:val="20"/>
              </w:rPr>
              <w:t>$2</w:t>
            </w:r>
            <w:r w:rsidR="00B60E2A">
              <w:rPr>
                <w:sz w:val="20"/>
                <w:szCs w:val="20"/>
              </w:rPr>
              <w:t>.</w:t>
            </w:r>
            <w:r>
              <w:rPr>
                <w:sz w:val="20"/>
                <w:szCs w:val="20"/>
              </w:rPr>
              <w:t>6</w:t>
            </w:r>
          </w:p>
        </w:tc>
      </w:tr>
      <w:tr w:rsidR="00992BD0" w:rsidRPr="00082317" w14:paraId="2C2D7650" w14:textId="77777777" w:rsidTr="003B68A5">
        <w:tc>
          <w:tcPr>
            <w:tcW w:w="2254" w:type="dxa"/>
          </w:tcPr>
          <w:p w14:paraId="55B72BB2" w14:textId="77777777" w:rsidR="00992BD0" w:rsidRPr="00082317" w:rsidRDefault="00992BD0" w:rsidP="003B68A5">
            <w:pPr>
              <w:rPr>
                <w:sz w:val="20"/>
                <w:szCs w:val="20"/>
              </w:rPr>
            </w:pPr>
            <w:r w:rsidRPr="00082317">
              <w:rPr>
                <w:sz w:val="20"/>
                <w:szCs w:val="20"/>
              </w:rPr>
              <w:t>Total</w:t>
            </w:r>
          </w:p>
        </w:tc>
        <w:tc>
          <w:tcPr>
            <w:tcW w:w="2254" w:type="dxa"/>
          </w:tcPr>
          <w:p w14:paraId="6F142E0B" w14:textId="2F220531" w:rsidR="00992BD0" w:rsidRPr="00082317" w:rsidRDefault="00992BD0" w:rsidP="003B68A5">
            <w:pPr>
              <w:rPr>
                <w:sz w:val="20"/>
                <w:szCs w:val="20"/>
              </w:rPr>
            </w:pPr>
            <w:r w:rsidRPr="00082317">
              <w:rPr>
                <w:sz w:val="20"/>
                <w:szCs w:val="20"/>
              </w:rPr>
              <w:t>$</w:t>
            </w:r>
            <w:r>
              <w:rPr>
                <w:sz w:val="20"/>
                <w:szCs w:val="20"/>
              </w:rPr>
              <w:t>25</w:t>
            </w:r>
            <w:r w:rsidR="00B60E2A">
              <w:rPr>
                <w:sz w:val="20"/>
                <w:szCs w:val="20"/>
              </w:rPr>
              <w:t>.0</w:t>
            </w:r>
            <w:r>
              <w:rPr>
                <w:sz w:val="20"/>
                <w:szCs w:val="20"/>
              </w:rPr>
              <w:t xml:space="preserve"> (e)</w:t>
            </w:r>
          </w:p>
        </w:tc>
        <w:tc>
          <w:tcPr>
            <w:tcW w:w="2254" w:type="dxa"/>
          </w:tcPr>
          <w:p w14:paraId="743748CA" w14:textId="1A70ECA1" w:rsidR="00992BD0" w:rsidRPr="00082317" w:rsidRDefault="00992BD0" w:rsidP="003B68A5">
            <w:pPr>
              <w:rPr>
                <w:sz w:val="20"/>
                <w:szCs w:val="20"/>
              </w:rPr>
            </w:pPr>
            <w:r>
              <w:rPr>
                <w:sz w:val="20"/>
                <w:szCs w:val="20"/>
              </w:rPr>
              <w:t>$3</w:t>
            </w:r>
            <w:r w:rsidR="00B60E2A">
              <w:rPr>
                <w:sz w:val="20"/>
                <w:szCs w:val="20"/>
              </w:rPr>
              <w:t>1.0</w:t>
            </w:r>
          </w:p>
        </w:tc>
        <w:tc>
          <w:tcPr>
            <w:tcW w:w="2254" w:type="dxa"/>
          </w:tcPr>
          <w:p w14:paraId="07F063B3" w14:textId="15700B6C" w:rsidR="00992BD0" w:rsidRPr="00082317" w:rsidRDefault="00992BD0" w:rsidP="003B68A5">
            <w:pPr>
              <w:rPr>
                <w:sz w:val="20"/>
                <w:szCs w:val="20"/>
              </w:rPr>
            </w:pPr>
            <w:r w:rsidRPr="00082317">
              <w:rPr>
                <w:sz w:val="20"/>
                <w:szCs w:val="20"/>
              </w:rPr>
              <w:t>$</w:t>
            </w:r>
            <w:r>
              <w:rPr>
                <w:sz w:val="20"/>
                <w:szCs w:val="20"/>
              </w:rPr>
              <w:t>5</w:t>
            </w:r>
            <w:r w:rsidR="00B60E2A">
              <w:rPr>
                <w:sz w:val="20"/>
                <w:szCs w:val="20"/>
              </w:rPr>
              <w:t>.</w:t>
            </w:r>
            <w:r>
              <w:rPr>
                <w:sz w:val="20"/>
                <w:szCs w:val="20"/>
              </w:rPr>
              <w:t>9</w:t>
            </w:r>
          </w:p>
        </w:tc>
      </w:tr>
    </w:tbl>
    <w:p w14:paraId="67209BF3" w14:textId="77777777" w:rsidR="00992BD0" w:rsidRPr="00992BD0" w:rsidRDefault="00992BD0" w:rsidP="00992BD0">
      <w:pPr>
        <w:spacing w:after="0"/>
        <w:rPr>
          <w:sz w:val="16"/>
          <w:szCs w:val="16"/>
        </w:rPr>
      </w:pPr>
      <w:r w:rsidRPr="00992BD0">
        <w:rPr>
          <w:sz w:val="16"/>
          <w:szCs w:val="16"/>
        </w:rPr>
        <w:t xml:space="preserve">(a) Gross fuel taxes $19,170m, petroleum resource rent tax $900m, fringe benefits car concession $1,020m, federal interstate registration $70m.  Assumes tax concession $7,838m should be deducted from the first, but not $433m for renewable energy: </w:t>
      </w:r>
      <w:r w:rsidRPr="00992BD0">
        <w:rPr>
          <w:i/>
          <w:iCs/>
          <w:sz w:val="16"/>
          <w:szCs w:val="16"/>
        </w:rPr>
        <w:t>2020-21 Budget Paper No.1, b6 table 12.1</w:t>
      </w:r>
    </w:p>
    <w:p w14:paraId="690B9EA7" w14:textId="77777777" w:rsidR="00992BD0" w:rsidRPr="00992BD0" w:rsidRDefault="00992BD0" w:rsidP="00992BD0">
      <w:pPr>
        <w:spacing w:after="0"/>
        <w:rPr>
          <w:sz w:val="16"/>
          <w:szCs w:val="16"/>
        </w:rPr>
      </w:pPr>
      <w:r w:rsidRPr="00992BD0">
        <w:rPr>
          <w:sz w:val="16"/>
          <w:szCs w:val="16"/>
        </w:rPr>
        <w:t>(b) Gross fuel royalties $1,951m, road revenue $2,692m</w:t>
      </w:r>
    </w:p>
    <w:p w14:paraId="7DD263A7" w14:textId="77777777" w:rsidR="00992BD0" w:rsidRPr="00992BD0" w:rsidRDefault="00992BD0" w:rsidP="00992BD0">
      <w:pPr>
        <w:spacing w:after="0"/>
        <w:rPr>
          <w:sz w:val="16"/>
          <w:szCs w:val="16"/>
        </w:rPr>
      </w:pPr>
      <w:r w:rsidRPr="00992BD0">
        <w:rPr>
          <w:sz w:val="16"/>
          <w:szCs w:val="16"/>
        </w:rPr>
        <w:t>(c) BITRE figures negative for 2018-19, hence used 2017-18</w:t>
      </w:r>
    </w:p>
    <w:p w14:paraId="0B45E898" w14:textId="77777777" w:rsidR="00992BD0" w:rsidRPr="00992BD0" w:rsidRDefault="00992BD0" w:rsidP="00992BD0">
      <w:pPr>
        <w:spacing w:after="0"/>
        <w:rPr>
          <w:sz w:val="16"/>
          <w:szCs w:val="16"/>
        </w:rPr>
      </w:pPr>
      <w:r w:rsidRPr="00992BD0">
        <w:rPr>
          <w:sz w:val="16"/>
          <w:szCs w:val="16"/>
        </w:rPr>
        <w:t>(d) Gross fuel royalties $1,417m, road revenue $3,212m</w:t>
      </w:r>
    </w:p>
    <w:p w14:paraId="13F8CA7D" w14:textId="77777777" w:rsidR="00992BD0" w:rsidRPr="00992BD0" w:rsidRDefault="00992BD0" w:rsidP="00992BD0">
      <w:pPr>
        <w:spacing w:after="0"/>
        <w:rPr>
          <w:sz w:val="16"/>
          <w:szCs w:val="16"/>
        </w:rPr>
      </w:pPr>
      <w:r w:rsidRPr="00992BD0">
        <w:rPr>
          <w:sz w:val="16"/>
          <w:szCs w:val="16"/>
        </w:rPr>
        <w:t>(e) Includes Tas, ACT</w:t>
      </w:r>
    </w:p>
    <w:p w14:paraId="4A7CEAE3" w14:textId="1EFB5387" w:rsidR="00992BD0" w:rsidRDefault="00992BD0" w:rsidP="00992BD0">
      <w:pPr>
        <w:spacing w:after="0"/>
      </w:pPr>
    </w:p>
    <w:p w14:paraId="2148944E" w14:textId="5F4769E1" w:rsidR="00494C95" w:rsidRDefault="00494C95" w:rsidP="00992BD0">
      <w:pPr>
        <w:spacing w:after="0"/>
      </w:pPr>
      <w:r>
        <w:t>Road revenue and spending dominate the second and third columns of the Table</w:t>
      </w:r>
      <w:r w:rsidR="00771DF0">
        <w:t>.  Road policy</w:t>
      </w:r>
      <w:r>
        <w:t xml:space="preserve"> de</w:t>
      </w:r>
      <w:r w:rsidR="00771DF0">
        <w:t>cides</w:t>
      </w:r>
      <w:r>
        <w:t xml:space="preserve"> the result.</w:t>
      </w:r>
    </w:p>
    <w:p w14:paraId="36B4D452" w14:textId="77777777" w:rsidR="00494C95" w:rsidRDefault="00494C95" w:rsidP="00992BD0">
      <w:pPr>
        <w:spacing w:after="0"/>
      </w:pPr>
    </w:p>
    <w:p w14:paraId="614656AF" w14:textId="32E800AB" w:rsidR="0061569D" w:rsidRDefault="00494C95" w:rsidP="00992BD0">
      <w:pPr>
        <w:spacing w:after="0"/>
      </w:pPr>
      <w:r>
        <w:t xml:space="preserve">Significantly, the result is determined by the States.  </w:t>
      </w:r>
      <w:r w:rsidR="00B60E2A">
        <w:t>State road revenue – almost entirely from the use of fossil-fuel vehicles - accounts for $11</w:t>
      </w:r>
      <w:r w:rsidR="00821BB1">
        <w:t>.0bn</w:t>
      </w:r>
      <w:r w:rsidR="00B60E2A">
        <w:t xml:space="preserve"> in the first column</w:t>
      </w:r>
      <w:r w:rsidR="000A1992">
        <w:t xml:space="preserve"> of Table 2</w:t>
      </w:r>
      <w:r w:rsidR="00B60E2A">
        <w:t>.  State and local government spending accounts for $23</w:t>
      </w:r>
      <w:r w:rsidR="00821BB1">
        <w:t>.3bn</w:t>
      </w:r>
      <w:r w:rsidR="00B60E2A">
        <w:t xml:space="preserve"> in the second column.  Together th</w:t>
      </w:r>
      <w:r w:rsidR="00B47732">
        <w:t xml:space="preserve">ese change the </w:t>
      </w:r>
      <w:r w:rsidR="00B60E2A">
        <w:t>picture</w:t>
      </w:r>
      <w:r w:rsidR="00B47732">
        <w:t>:</w:t>
      </w:r>
    </w:p>
    <w:p w14:paraId="17BEFF23" w14:textId="7EBF20C3" w:rsidR="0061569D" w:rsidRDefault="006C32CA" w:rsidP="0061569D">
      <w:pPr>
        <w:pStyle w:val="ListParagraph"/>
        <w:numPr>
          <w:ilvl w:val="0"/>
          <w:numId w:val="5"/>
        </w:numPr>
        <w:spacing w:after="0"/>
        <w:ind w:left="360"/>
      </w:pPr>
      <w:r>
        <w:t>i</w:t>
      </w:r>
      <w:r w:rsidR="0061569D">
        <w:t>nstead of A</w:t>
      </w:r>
      <w:r w:rsidR="00494C95">
        <w:t xml:space="preserve">ustralian governments taxing </w:t>
      </w:r>
      <w:r w:rsidR="00B60E2A">
        <w:t xml:space="preserve">fossil fuels </w:t>
      </w:r>
      <w:r w:rsidR="0061569D">
        <w:t>they</w:t>
      </w:r>
      <w:r w:rsidR="00B60E2A">
        <w:t xml:space="preserve"> </w:t>
      </w:r>
      <w:r w:rsidR="00494C95">
        <w:t>subsidis</w:t>
      </w:r>
      <w:r w:rsidR="0061569D">
        <w:t>e</w:t>
      </w:r>
      <w:r w:rsidR="00494C95">
        <w:t xml:space="preserve"> them</w:t>
      </w:r>
      <w:r w:rsidR="0061569D">
        <w:t>;</w:t>
      </w:r>
    </w:p>
    <w:p w14:paraId="70B2B21A" w14:textId="3A18A8F0" w:rsidR="0061569D" w:rsidRDefault="006C32CA" w:rsidP="0061569D">
      <w:pPr>
        <w:pStyle w:val="ListParagraph"/>
        <w:numPr>
          <w:ilvl w:val="0"/>
          <w:numId w:val="5"/>
        </w:numPr>
        <w:spacing w:after="0"/>
        <w:ind w:left="360"/>
      </w:pPr>
      <w:r>
        <w:t>i</w:t>
      </w:r>
      <w:r w:rsidR="0061569D">
        <w:t xml:space="preserve">nstead of the Commonwealth being </w:t>
      </w:r>
      <w:r w:rsidR="007931A5">
        <w:t>immediately</w:t>
      </w:r>
      <w:r w:rsidR="0061569D">
        <w:t xml:space="preserve"> responsible, this is due to States’ road policies.</w:t>
      </w:r>
    </w:p>
    <w:p w14:paraId="0BF21A83" w14:textId="3BFEA2DC" w:rsidR="009F70D1" w:rsidRDefault="008B5DCF" w:rsidP="006E53A7">
      <w:pPr>
        <w:pStyle w:val="Heading2"/>
      </w:pPr>
      <w:bookmarkStart w:id="10" w:name="_Toc71796196"/>
      <w:r>
        <w:lastRenderedPageBreak/>
        <w:t>4.</w:t>
      </w:r>
      <w:r>
        <w:tab/>
        <w:t>Conclusions</w:t>
      </w:r>
      <w:bookmarkEnd w:id="10"/>
    </w:p>
    <w:p w14:paraId="007A47DE" w14:textId="3469987C" w:rsidR="006E53A7" w:rsidRDefault="008B5DCF" w:rsidP="00FF3F9B">
      <w:pPr>
        <w:spacing w:after="0"/>
      </w:pPr>
      <w:r>
        <w:t xml:space="preserve">Two </w:t>
      </w:r>
      <w:r w:rsidR="006E53A7">
        <w:t xml:space="preserve">misleading </w:t>
      </w:r>
      <w:r>
        <w:t xml:space="preserve">claims </w:t>
      </w:r>
      <w:r w:rsidR="006E53A7">
        <w:t xml:space="preserve">were </w:t>
      </w:r>
      <w:r>
        <w:t>reviewed in this article</w:t>
      </w:r>
      <w:r w:rsidR="006E53A7">
        <w:t>:</w:t>
      </w:r>
      <w:r>
        <w:t xml:space="preserve"> </w:t>
      </w:r>
    </w:p>
    <w:p w14:paraId="4EF0B533" w14:textId="2397E70F" w:rsidR="006E53A7" w:rsidRDefault="008B5DCF" w:rsidP="006E53A7">
      <w:pPr>
        <w:pStyle w:val="ListParagraph"/>
        <w:numPr>
          <w:ilvl w:val="0"/>
          <w:numId w:val="3"/>
        </w:numPr>
        <w:spacing w:after="0"/>
        <w:ind w:left="417"/>
      </w:pPr>
      <w:r>
        <w:t>Commonwealth fuel taxes exceed Commonwealth road spending</w:t>
      </w:r>
      <w:r w:rsidR="006C32CA">
        <w:t>;</w:t>
      </w:r>
      <w:r>
        <w:t xml:space="preserve"> and</w:t>
      </w:r>
    </w:p>
    <w:p w14:paraId="1C4A87F5" w14:textId="7BC649C1" w:rsidR="008B5DCF" w:rsidRDefault="008B5DCF" w:rsidP="006E53A7">
      <w:pPr>
        <w:pStyle w:val="ListParagraph"/>
        <w:numPr>
          <w:ilvl w:val="0"/>
          <w:numId w:val="3"/>
        </w:numPr>
        <w:spacing w:after="0"/>
        <w:ind w:left="417"/>
      </w:pPr>
      <w:r>
        <w:t>fossil fuels are subsidised to the tune of $10.3bn pa.</w:t>
      </w:r>
      <w:r w:rsidR="0091533B">
        <w:t xml:space="preserve"> overwhelmingly due to the Commonwealth.</w:t>
      </w:r>
      <w:r>
        <w:t xml:space="preserve">  </w:t>
      </w:r>
    </w:p>
    <w:p w14:paraId="46EF6201" w14:textId="77777777" w:rsidR="008B5DCF" w:rsidRDefault="008B5DCF" w:rsidP="00FF3F9B">
      <w:pPr>
        <w:spacing w:after="0"/>
      </w:pPr>
    </w:p>
    <w:p w14:paraId="49C50516" w14:textId="30B2D10C" w:rsidR="006E53A7" w:rsidRDefault="006E53A7" w:rsidP="00FF3F9B">
      <w:pPr>
        <w:spacing w:after="0"/>
      </w:pPr>
      <w:r>
        <w:t>Regarding t</w:t>
      </w:r>
      <w:r w:rsidR="008B5DCF">
        <w:t>he former</w:t>
      </w:r>
      <w:r>
        <w:t>,</w:t>
      </w:r>
      <w:r w:rsidR="008B5DCF">
        <w:t xml:space="preserve"> what matters is total government spending on roads</w:t>
      </w:r>
      <w:r>
        <w:t>.  Most spending is done by the States</w:t>
      </w:r>
      <w:r w:rsidR="008B5DCF">
        <w:t xml:space="preserve">. </w:t>
      </w:r>
      <w:r>
        <w:t xml:space="preserve"> Total government</w:t>
      </w:r>
      <w:r w:rsidR="008B5DCF">
        <w:t xml:space="preserve"> spending vastly exceeds </w:t>
      </w:r>
      <w:r>
        <w:t>total government</w:t>
      </w:r>
      <w:r w:rsidR="008B5DCF">
        <w:t xml:space="preserve"> road related revenues.</w:t>
      </w:r>
      <w:r>
        <w:t xml:space="preserve">  As it has for over a decade.  The full story is the diametric opposite to the situation the public would likely infer from the </w:t>
      </w:r>
      <w:r w:rsidR="00771DF0">
        <w:t xml:space="preserve">first </w:t>
      </w:r>
      <w:r>
        <w:t>claim.</w:t>
      </w:r>
    </w:p>
    <w:p w14:paraId="2463449A" w14:textId="5DD2D18A" w:rsidR="006E53A7" w:rsidRDefault="006E53A7" w:rsidP="00FF3F9B">
      <w:pPr>
        <w:spacing w:after="0"/>
      </w:pPr>
    </w:p>
    <w:p w14:paraId="25169D29" w14:textId="694B9298" w:rsidR="00E11194" w:rsidRDefault="006E53A7" w:rsidP="00FF3F9B">
      <w:pPr>
        <w:spacing w:after="0"/>
      </w:pPr>
      <w:r>
        <w:t xml:space="preserve">The latter claim depends on counting subsidies to some activities but ignoring taxes directed at the </w:t>
      </w:r>
      <w:r w:rsidR="00D1326E">
        <w:t xml:space="preserve">same </w:t>
      </w:r>
      <w:r>
        <w:t xml:space="preserve">activities.  </w:t>
      </w:r>
      <w:r w:rsidR="00A630A4">
        <w:t>It</w:t>
      </w:r>
      <w:r>
        <w:t xml:space="preserve"> is dominated by interpretation of a concession to a fossil fuel tax as a subsidy but omission of the </w:t>
      </w:r>
      <w:r w:rsidR="00E11194">
        <w:t>revenue collected from th</w:t>
      </w:r>
      <w:r w:rsidR="00D1326E">
        <w:t>at</w:t>
      </w:r>
      <w:r w:rsidR="00E11194">
        <w:t xml:space="preserve"> tax.    </w:t>
      </w:r>
    </w:p>
    <w:p w14:paraId="6D1E3A1F" w14:textId="3BA8B01F" w:rsidR="00E11194" w:rsidRDefault="00E11194" w:rsidP="00FF3F9B">
      <w:pPr>
        <w:spacing w:after="0"/>
      </w:pPr>
    </w:p>
    <w:p w14:paraId="59840823" w14:textId="3010A0B0" w:rsidR="00A630A4" w:rsidRDefault="00A630A4" w:rsidP="00A630A4">
      <w:pPr>
        <w:spacing w:after="0"/>
      </w:pPr>
      <w:r>
        <w:t xml:space="preserve">A quick review of the claim should have drawn attention to apparent implausibility.  How likely is it that the Commonwealth would save </w:t>
      </w:r>
      <w:r w:rsidR="001978B2">
        <w:t xml:space="preserve">the Institute’s estimate of </w:t>
      </w:r>
      <w:r>
        <w:t>$9.1bn a year by cancelling subsidies but the USA would save (on average) only $3.5bn – when the latter’s subsidies are over twenty-two times that of Australia?  Similarly, a spell check would reveal the Productivity Commission did not make an estimate of fossil fuel subsidies in the cited report.</w:t>
      </w:r>
    </w:p>
    <w:p w14:paraId="5C0AAB6B" w14:textId="77777777" w:rsidR="00A630A4" w:rsidRDefault="00A630A4" w:rsidP="00FF3F9B">
      <w:pPr>
        <w:spacing w:after="0"/>
      </w:pPr>
    </w:p>
    <w:p w14:paraId="3BA4679D" w14:textId="57DE46AB" w:rsidR="00E11194" w:rsidRDefault="00E11194" w:rsidP="00FF3F9B">
      <w:pPr>
        <w:spacing w:after="0"/>
      </w:pPr>
      <w:r>
        <w:t xml:space="preserve">Neither claim appears to have been </w:t>
      </w:r>
      <w:r w:rsidR="006C32CA">
        <w:t xml:space="preserve">properly </w:t>
      </w:r>
      <w:r>
        <w:t>checked</w:t>
      </w:r>
      <w:r w:rsidR="00771DF0">
        <w:t>.</w:t>
      </w:r>
      <w:r>
        <w:t xml:space="preserve">  Both are perverse from the viewpoints of their proponents.</w:t>
      </w:r>
    </w:p>
    <w:p w14:paraId="6C8B5BFF" w14:textId="77777777" w:rsidR="00E11194" w:rsidRDefault="00E11194" w:rsidP="00FF3F9B">
      <w:pPr>
        <w:spacing w:after="0"/>
      </w:pPr>
    </w:p>
    <w:p w14:paraId="28F01428" w14:textId="7691674F" w:rsidR="00E11194" w:rsidRDefault="00E11194" w:rsidP="00FF3F9B">
      <w:pPr>
        <w:spacing w:after="0"/>
      </w:pPr>
      <w:r>
        <w:t>The fuel taxes-road spending argument logically leads to much greater taxes or a large reduction in road spending.   Yet the proponents claim to be in favour of lower taxes.</w:t>
      </w:r>
    </w:p>
    <w:p w14:paraId="15BFDD25" w14:textId="77777777" w:rsidR="00EB681D" w:rsidRDefault="00EB681D" w:rsidP="00FF3F9B">
      <w:pPr>
        <w:spacing w:after="0"/>
      </w:pPr>
    </w:p>
    <w:p w14:paraId="4B2664A2" w14:textId="1FB6B0F7" w:rsidR="00B14AAD" w:rsidRDefault="00EB681D" w:rsidP="00FF3F9B">
      <w:pPr>
        <w:spacing w:after="0"/>
      </w:pPr>
      <w:r>
        <w:t xml:space="preserve">The </w:t>
      </w:r>
      <w:r w:rsidR="00E11194">
        <w:t>methodology of the fossil fuels argument overlook</w:t>
      </w:r>
      <w:r>
        <w:t>ed</w:t>
      </w:r>
      <w:r w:rsidR="00E11194">
        <w:t xml:space="preserve"> </w:t>
      </w:r>
      <w:r w:rsidR="00EC7858">
        <w:t xml:space="preserve">fuel use on </w:t>
      </w:r>
      <w:r w:rsidR="00E11194">
        <w:t>roads</w:t>
      </w:r>
      <w:r w:rsidR="00771DF0">
        <w:t>, implying road policy is irrelevant to fossil fuel issues</w:t>
      </w:r>
      <w:r w:rsidR="00E11194">
        <w:t xml:space="preserve">. </w:t>
      </w:r>
    </w:p>
    <w:p w14:paraId="6D235594" w14:textId="77777777" w:rsidR="00B14AAD" w:rsidRDefault="00B14AAD" w:rsidP="00FF3F9B">
      <w:pPr>
        <w:spacing w:after="0"/>
      </w:pPr>
    </w:p>
    <w:p w14:paraId="0BC854D6" w14:textId="19E839EF" w:rsidR="00C47EB1" w:rsidRDefault="00B14AAD" w:rsidP="00FF3F9B">
      <w:pPr>
        <w:spacing w:after="0"/>
      </w:pPr>
      <w:r>
        <w:t>A</w:t>
      </w:r>
      <w:r w:rsidR="001114CE">
        <w:t xml:space="preserve">fter accounting for fuel taxes – </w:t>
      </w:r>
      <w:r w:rsidR="00EC7858">
        <w:t>excise collections</w:t>
      </w:r>
      <w:r w:rsidR="001114CE">
        <w:t>, resource rent taxes,</w:t>
      </w:r>
      <w:r w:rsidR="00EC7858">
        <w:t xml:space="preserve"> </w:t>
      </w:r>
      <w:r w:rsidR="00E11194">
        <w:t>coal royalties</w:t>
      </w:r>
      <w:r w:rsidR="00EB681D">
        <w:t xml:space="preserve"> </w:t>
      </w:r>
      <w:r w:rsidR="001114CE">
        <w:t xml:space="preserve">- </w:t>
      </w:r>
      <w:r w:rsidR="00EB681D">
        <w:t xml:space="preserve">fossil fuels </w:t>
      </w:r>
      <w:r w:rsidR="000A1992">
        <w:t xml:space="preserve">seem to have </w:t>
      </w:r>
      <w:r w:rsidR="00EB681D">
        <w:t>fac</w:t>
      </w:r>
      <w:r w:rsidR="001114CE">
        <w:t>ed</w:t>
      </w:r>
      <w:r w:rsidR="00EB681D">
        <w:t xml:space="preserve"> </w:t>
      </w:r>
      <w:r w:rsidR="00C47EB1">
        <w:t xml:space="preserve">net </w:t>
      </w:r>
      <w:r w:rsidR="00CF61A0">
        <w:t>tax</w:t>
      </w:r>
      <w:r w:rsidR="00C47EB1">
        <w:t>es</w:t>
      </w:r>
      <w:r>
        <w:t xml:space="preserve"> (</w:t>
      </w:r>
      <w:r w:rsidR="00C47EB1">
        <w:t>not subsidies</w:t>
      </w:r>
      <w:r>
        <w:t>)</w:t>
      </w:r>
      <w:r w:rsidR="00C47EB1">
        <w:t xml:space="preserve"> </w:t>
      </w:r>
      <w:r w:rsidR="00EB681D">
        <w:t>of $</w:t>
      </w:r>
      <w:r w:rsidR="00EC7858">
        <w:t>1</w:t>
      </w:r>
      <w:r w:rsidR="001978B2">
        <w:t>2</w:t>
      </w:r>
      <w:r w:rsidR="00EB681D">
        <w:t>.</w:t>
      </w:r>
      <w:r w:rsidR="00821BB1">
        <w:t>0</w:t>
      </w:r>
      <w:r w:rsidR="00EB681D">
        <w:t>bn</w:t>
      </w:r>
      <w:r w:rsidR="001114CE">
        <w:t xml:space="preserve"> in 2020-21</w:t>
      </w:r>
      <w:r w:rsidR="00EB681D">
        <w:t>.</w:t>
      </w:r>
      <w:r w:rsidR="00EC7858">
        <w:t xml:space="preserve">  However, </w:t>
      </w:r>
      <w:r>
        <w:t xml:space="preserve">that appearance is </w:t>
      </w:r>
      <w:r w:rsidR="00EC7858">
        <w:t>also be misleading b</w:t>
      </w:r>
      <w:r>
        <w:t>ecause it</w:t>
      </w:r>
      <w:r w:rsidR="00EC7858">
        <w:t xml:space="preserve"> fail</w:t>
      </w:r>
      <w:r>
        <w:t>s</w:t>
      </w:r>
      <w:r w:rsidR="00EC7858">
        <w:t xml:space="preserve"> to take account </w:t>
      </w:r>
      <w:r>
        <w:t xml:space="preserve">of </w:t>
      </w:r>
      <w:r w:rsidR="00EC7858">
        <w:t xml:space="preserve">spending on roads </w:t>
      </w:r>
      <w:r>
        <w:t xml:space="preserve">- which </w:t>
      </w:r>
      <w:r w:rsidR="00EC7858">
        <w:t>encourag</w:t>
      </w:r>
      <w:r>
        <w:t>es</w:t>
      </w:r>
      <w:r w:rsidR="00EC7858">
        <w:t xml:space="preserve"> fossil fuel use.</w:t>
      </w:r>
      <w:r>
        <w:t xml:space="preserve">  If road spending is taken into account, the arithmetic approach implies fossil fuels are likely financially subsidised.</w:t>
      </w:r>
    </w:p>
    <w:p w14:paraId="401306E6" w14:textId="77777777" w:rsidR="00B14AAD" w:rsidRDefault="00B14AAD" w:rsidP="00FF3F9B">
      <w:pPr>
        <w:spacing w:after="0"/>
      </w:pPr>
    </w:p>
    <w:p w14:paraId="2A4FE99E" w14:textId="1BEA9E39" w:rsidR="00EB681D" w:rsidRDefault="00EC7858" w:rsidP="00FF3F9B">
      <w:pPr>
        <w:spacing w:after="0"/>
      </w:pPr>
      <w:r>
        <w:t xml:space="preserve">Road spending </w:t>
      </w:r>
      <w:r w:rsidR="00B318C1">
        <w:t>was</w:t>
      </w:r>
      <w:r>
        <w:t xml:space="preserve"> </w:t>
      </w:r>
      <w:r w:rsidR="00B14AAD">
        <w:t xml:space="preserve">financially </w:t>
      </w:r>
      <w:r>
        <w:t>subsidised by $</w:t>
      </w:r>
      <w:r w:rsidR="00AF6D40">
        <w:t>3</w:t>
      </w:r>
      <w:r w:rsidR="00BA4212">
        <w:t>.</w:t>
      </w:r>
      <w:r w:rsidR="00E5030C">
        <w:t>1</w:t>
      </w:r>
      <w:r w:rsidR="00821BB1">
        <w:t xml:space="preserve">bn </w:t>
      </w:r>
      <w:r>
        <w:t xml:space="preserve">pa in the most recently reported </w:t>
      </w:r>
      <w:r w:rsidR="00BA4212">
        <w:t>decade</w:t>
      </w:r>
      <w:r w:rsidR="00AF6D40">
        <w:t xml:space="preserve"> – </w:t>
      </w:r>
      <w:r w:rsidR="00BA4212">
        <w:t xml:space="preserve">to </w:t>
      </w:r>
      <w:r w:rsidR="00AF6D40">
        <w:t>201</w:t>
      </w:r>
      <w:r w:rsidR="00992BD0">
        <w:t>8</w:t>
      </w:r>
      <w:r w:rsidR="00AF6D40">
        <w:t>-1</w:t>
      </w:r>
      <w:r w:rsidR="00992BD0">
        <w:t>9</w:t>
      </w:r>
      <w:r>
        <w:t xml:space="preserve">.  </w:t>
      </w:r>
      <w:r w:rsidR="00B318C1">
        <w:t>Assuming the same</w:t>
      </w:r>
      <w:r>
        <w:t xml:space="preserve"> proportionality </w:t>
      </w:r>
      <w:r w:rsidR="00B318C1">
        <w:t xml:space="preserve">in spending as </w:t>
      </w:r>
      <w:r w:rsidR="00B14AAD">
        <w:t xml:space="preserve">in </w:t>
      </w:r>
      <w:r w:rsidR="00B318C1">
        <w:t xml:space="preserve">revenue, the </w:t>
      </w:r>
      <w:r w:rsidR="001F199D">
        <w:t xml:space="preserve">subsidy </w:t>
      </w:r>
      <w:r w:rsidR="00B318C1">
        <w:t xml:space="preserve">attributable to </w:t>
      </w:r>
      <w:r>
        <w:t xml:space="preserve">excise </w:t>
      </w:r>
      <w:r w:rsidR="00B14AAD">
        <w:t>would have been</w:t>
      </w:r>
      <w:r w:rsidR="00B318C1">
        <w:t xml:space="preserve"> around $</w:t>
      </w:r>
      <w:r w:rsidR="00BA4212">
        <w:t>1</w:t>
      </w:r>
      <w:r w:rsidR="00B318C1">
        <w:t>.</w:t>
      </w:r>
      <w:r w:rsidR="00E5030C">
        <w:t>6</w:t>
      </w:r>
      <w:r w:rsidR="00B318C1">
        <w:t>bn</w:t>
      </w:r>
      <w:r w:rsidR="00B14AAD">
        <w:t xml:space="preserve"> pa</w:t>
      </w:r>
      <w:r w:rsidR="00B318C1">
        <w:t xml:space="preserve">. </w:t>
      </w:r>
      <w:r w:rsidR="001F199D">
        <w:t xml:space="preserve">  </w:t>
      </w:r>
      <w:r w:rsidR="00603B00">
        <w:t>After taking into account the fringe benefit tax concession for car use, t</w:t>
      </w:r>
      <w:r w:rsidR="001F199D">
        <w:t xml:space="preserve">his points to potential annual </w:t>
      </w:r>
      <w:r w:rsidR="00B14AAD">
        <w:t xml:space="preserve">revenue </w:t>
      </w:r>
      <w:r w:rsidR="001F199D">
        <w:t>saving</w:t>
      </w:r>
      <w:r w:rsidR="00B14AAD">
        <w:t>s</w:t>
      </w:r>
      <w:r w:rsidR="001F199D">
        <w:t xml:space="preserve"> </w:t>
      </w:r>
      <w:r w:rsidR="00F00B6A">
        <w:t>m</w:t>
      </w:r>
      <w:r w:rsidR="001F199D">
        <w:t>ore consistent with the cited USA estimate.</w:t>
      </w:r>
      <w:r>
        <w:t xml:space="preserve">   </w:t>
      </w:r>
    </w:p>
    <w:p w14:paraId="10313FB2" w14:textId="4C655113" w:rsidR="00D1326E" w:rsidRDefault="00D1326E" w:rsidP="00FF3F9B">
      <w:pPr>
        <w:spacing w:after="0"/>
      </w:pPr>
    </w:p>
    <w:p w14:paraId="65E435B2" w14:textId="7D545DB8" w:rsidR="00D1326E" w:rsidRDefault="00B14AAD" w:rsidP="00FF3F9B">
      <w:pPr>
        <w:spacing w:after="0"/>
      </w:pPr>
      <w:r>
        <w:t xml:space="preserve">The </w:t>
      </w:r>
      <w:r w:rsidR="00771DF0">
        <w:t>true</w:t>
      </w:r>
      <w:r>
        <w:t xml:space="preserve"> cost of r</w:t>
      </w:r>
      <w:r w:rsidR="00603B00">
        <w:t xml:space="preserve">oad </w:t>
      </w:r>
      <w:r w:rsidR="00D1326E">
        <w:t>subsid</w:t>
      </w:r>
      <w:r w:rsidR="00603B00">
        <w:t>ies</w:t>
      </w:r>
      <w:r w:rsidR="00D1326E">
        <w:t xml:space="preserve"> substantially exceed</w:t>
      </w:r>
      <w:r>
        <w:t>s</w:t>
      </w:r>
      <w:r w:rsidR="00D1326E">
        <w:t xml:space="preserve"> </w:t>
      </w:r>
      <w:r>
        <w:t>financial estimates</w:t>
      </w:r>
      <w:r w:rsidR="00D1326E">
        <w:t xml:space="preserve">.  </w:t>
      </w:r>
      <w:r w:rsidR="00603B00">
        <w:t>The</w:t>
      </w:r>
      <w:r w:rsidR="00771DF0">
        <w:t xml:space="preserve"> costs</w:t>
      </w:r>
      <w:r w:rsidR="00603B00">
        <w:t xml:space="preserve"> </w:t>
      </w:r>
      <w:r w:rsidR="00D1326E">
        <w:t>include maintenance deficits on local roads and external costs such as pollution</w:t>
      </w:r>
      <w:r w:rsidR="00603B00">
        <w:t>,</w:t>
      </w:r>
      <w:r w:rsidR="00D1326E">
        <w:t xml:space="preserve"> loss of amenity.  Inclusion of such matters </w:t>
      </w:r>
      <w:r>
        <w:t xml:space="preserve">likely </w:t>
      </w:r>
      <w:r w:rsidR="00D1326E">
        <w:t>move estimates of fossil fuel subsidies towards that reported by the IMF.</w:t>
      </w:r>
      <w:r w:rsidR="00D1326E">
        <w:rPr>
          <w:rStyle w:val="EndnoteReference"/>
        </w:rPr>
        <w:endnoteReference w:id="18"/>
      </w:r>
    </w:p>
    <w:p w14:paraId="3D7F9046" w14:textId="61CE9104" w:rsidR="0091533B" w:rsidRDefault="0091533B" w:rsidP="00FF3F9B">
      <w:pPr>
        <w:spacing w:after="0"/>
      </w:pPr>
    </w:p>
    <w:p w14:paraId="4C9E259D" w14:textId="77777777" w:rsidR="0091533B" w:rsidRDefault="0091533B" w:rsidP="00FF3F9B">
      <w:pPr>
        <w:spacing w:after="0"/>
      </w:pPr>
    </w:p>
    <w:p w14:paraId="284D9389" w14:textId="77777777" w:rsidR="008A5FBA" w:rsidRDefault="001A775B" w:rsidP="00FF3F9B">
      <w:pPr>
        <w:spacing w:after="0"/>
      </w:pPr>
      <w:r>
        <w:lastRenderedPageBreak/>
        <w:t>In a</w:t>
      </w:r>
      <w:r w:rsidR="00B20023">
        <w:t xml:space="preserve"> more complete</w:t>
      </w:r>
      <w:r>
        <w:t xml:space="preserve"> arithmetic approach to Australian fossil fuel subsidies, road policies determine the result.  </w:t>
      </w:r>
      <w:r w:rsidR="00B14AAD">
        <w:t>The main factor is</w:t>
      </w:r>
      <w:r>
        <w:t xml:space="preserve"> excessive road spending by States, and Commonwealth support</w:t>
      </w:r>
      <w:r w:rsidR="00B14AAD">
        <w:t xml:space="preserve"> of</w:t>
      </w:r>
      <w:r>
        <w:t xml:space="preserve"> States’ major road projects.  The result is not abstract and confirms the common experience</w:t>
      </w:r>
      <w:r w:rsidR="00A275E4">
        <w:t xml:space="preserve"> of never-ending traffic congestion despite never ending multi-billion-dollar motorway spending announcements</w:t>
      </w:r>
      <w:r>
        <w:t>.</w:t>
      </w:r>
      <w:r w:rsidR="00B20023">
        <w:t xml:space="preserve">  </w:t>
      </w:r>
      <w:bookmarkStart w:id="11" w:name="_Hlk72164141"/>
      <w:r w:rsidR="008A5FBA">
        <w:t xml:space="preserve">Were a </w:t>
      </w:r>
      <w:r w:rsidR="00B20023">
        <w:t xml:space="preserve">policy implication </w:t>
      </w:r>
      <w:r w:rsidR="009B7DBC">
        <w:t xml:space="preserve">to be </w:t>
      </w:r>
      <w:r w:rsidR="008A5FBA">
        <w:t>drawn</w:t>
      </w:r>
      <w:r w:rsidR="009B7DBC">
        <w:t xml:space="preserve"> from the arithmetic approach </w:t>
      </w:r>
      <w:r w:rsidR="008A5FBA">
        <w:t>it would be:</w:t>
      </w:r>
    </w:p>
    <w:p w14:paraId="043B3820" w14:textId="5F6565C9" w:rsidR="001F199D" w:rsidRDefault="00B20023" w:rsidP="00FF3F9B">
      <w:pPr>
        <w:spacing w:after="0"/>
      </w:pPr>
      <w:r w:rsidRPr="008A5FBA">
        <w:rPr>
          <w:b/>
          <w:bCs/>
        </w:rPr>
        <w:t xml:space="preserve">reform of spending and </w:t>
      </w:r>
      <w:r w:rsidR="009B7DBC" w:rsidRPr="008A5FBA">
        <w:rPr>
          <w:b/>
          <w:bCs/>
        </w:rPr>
        <w:t xml:space="preserve">economic </w:t>
      </w:r>
      <w:r w:rsidRPr="008A5FBA">
        <w:rPr>
          <w:b/>
          <w:bCs/>
        </w:rPr>
        <w:t xml:space="preserve">cost recovery </w:t>
      </w:r>
      <w:r w:rsidR="008A5FBA">
        <w:rPr>
          <w:b/>
          <w:bCs/>
        </w:rPr>
        <w:t xml:space="preserve">for road use </w:t>
      </w:r>
      <w:r w:rsidRPr="008A5FBA">
        <w:rPr>
          <w:b/>
          <w:bCs/>
        </w:rPr>
        <w:t xml:space="preserve">is the highest </w:t>
      </w:r>
      <w:r w:rsidR="00771DF0" w:rsidRPr="008A5FBA">
        <w:rPr>
          <w:b/>
          <w:bCs/>
        </w:rPr>
        <w:t xml:space="preserve">domestic </w:t>
      </w:r>
      <w:r w:rsidRPr="008A5FBA">
        <w:rPr>
          <w:b/>
          <w:bCs/>
        </w:rPr>
        <w:t>fossil fuel ‘subsidy’ priority</w:t>
      </w:r>
      <w:r>
        <w:t>.</w:t>
      </w:r>
    </w:p>
    <w:bookmarkEnd w:id="11"/>
    <w:p w14:paraId="39A8BCB0" w14:textId="195B863B" w:rsidR="00B20023" w:rsidRDefault="00B20023" w:rsidP="00FF3F9B">
      <w:pPr>
        <w:spacing w:after="0"/>
      </w:pPr>
    </w:p>
    <w:p w14:paraId="67393430" w14:textId="2C80B59A" w:rsidR="00B20023" w:rsidRDefault="00B20023" w:rsidP="00FF3F9B">
      <w:pPr>
        <w:spacing w:after="0"/>
      </w:pPr>
      <w:r>
        <w:t>Yet, instead of using arithmetic, the better approach to analyse policy for fossil fuels would be IMF type modelling.</w:t>
      </w:r>
    </w:p>
    <w:p w14:paraId="5C2711CE" w14:textId="77777777" w:rsidR="001A775B" w:rsidRDefault="001A775B" w:rsidP="00FF3F9B">
      <w:pPr>
        <w:spacing w:after="0"/>
      </w:pPr>
    </w:p>
    <w:p w14:paraId="3011DBE2" w14:textId="576BA227" w:rsidR="001E2770" w:rsidRDefault="001F199D" w:rsidP="00FF3F9B">
      <w:pPr>
        <w:spacing w:after="0"/>
      </w:pPr>
      <w:r>
        <w:t xml:space="preserve">Do such </w:t>
      </w:r>
      <w:r w:rsidR="000A1992">
        <w:t>problems</w:t>
      </w:r>
      <w:r>
        <w:t xml:space="preserve"> in research matter?</w:t>
      </w:r>
      <w:r w:rsidR="001E2770">
        <w:t xml:space="preserve">  The media widely reported the Australia Institute’s results.  Many simply accepted them at face value.  Others, better </w:t>
      </w:r>
      <w:r w:rsidR="000A1992">
        <w:t xml:space="preserve">– but not fully – </w:t>
      </w:r>
      <w:r w:rsidR="001E2770">
        <w:t>informed</w:t>
      </w:r>
      <w:r w:rsidR="000A1992">
        <w:t>,</w:t>
      </w:r>
      <w:r w:rsidR="001E2770">
        <w:t xml:space="preserve"> rubbished them.</w:t>
      </w:r>
      <w:r w:rsidR="001E2770">
        <w:rPr>
          <w:rStyle w:val="EndnoteReference"/>
        </w:rPr>
        <w:endnoteReference w:id="19"/>
      </w:r>
    </w:p>
    <w:p w14:paraId="12F79D5E" w14:textId="3A4FE7D3" w:rsidR="001E2770" w:rsidRDefault="001E2770" w:rsidP="00FF3F9B">
      <w:pPr>
        <w:spacing w:after="0"/>
      </w:pPr>
    </w:p>
    <w:p w14:paraId="315E7EE4" w14:textId="77777777" w:rsidR="001A775B" w:rsidRDefault="001E2770" w:rsidP="00FF3F9B">
      <w:pPr>
        <w:spacing w:after="0"/>
      </w:pPr>
      <w:r>
        <w:t>The ABC</w:t>
      </w:r>
      <w:r w:rsidR="00B55C6B">
        <w:t>’s report on the matter</w:t>
      </w:r>
      <w:r>
        <w:t xml:space="preserve"> deceived its audience</w:t>
      </w:r>
      <w:r w:rsidR="00BA4212">
        <w:t xml:space="preserve"> – not for the first time on issues associated with climate change</w:t>
      </w:r>
      <w:r>
        <w:t>.  On 26 April, it</w:t>
      </w:r>
      <w:r w:rsidR="00F76DCD">
        <w:t>s</w:t>
      </w:r>
      <w:r>
        <w:t xml:space="preserve"> report</w:t>
      </w:r>
      <w:r w:rsidR="00F76DCD">
        <w:t xml:space="preserve"> on </w:t>
      </w:r>
      <w:r>
        <w:t xml:space="preserve">the Australia Institute results included some </w:t>
      </w:r>
      <w:r w:rsidR="00F76DCD">
        <w:t xml:space="preserve">‘balance’ </w:t>
      </w:r>
      <w:r>
        <w:t xml:space="preserve">comments by Senator Canavan </w:t>
      </w:r>
      <w:r w:rsidR="00F76DCD">
        <w:t>who said</w:t>
      </w:r>
      <w:r>
        <w:t xml:space="preserve"> many of the assumptions behind the result were flawed – e.g. an absence of a tax is not a subsidy.  Appended to </w:t>
      </w:r>
      <w:r w:rsidR="00F76DCD">
        <w:t>the ABC</w:t>
      </w:r>
      <w:r>
        <w:t xml:space="preserve"> report was </w:t>
      </w:r>
      <w:r w:rsidR="00577E14">
        <w:t>‘</w:t>
      </w:r>
      <w:r w:rsidR="00577E14" w:rsidRPr="00F76DCD">
        <w:rPr>
          <w:i/>
          <w:iCs/>
        </w:rPr>
        <w:t>We fact checked Matt Canavan on fossil fuel subsidies and here is what we found</w:t>
      </w:r>
      <w:r w:rsidR="00577E14">
        <w:t>’.</w:t>
      </w:r>
    </w:p>
    <w:p w14:paraId="3003D307" w14:textId="1B128AAB" w:rsidR="000A1992" w:rsidRDefault="00577E14" w:rsidP="00FF3F9B">
      <w:pPr>
        <w:spacing w:after="0"/>
      </w:pPr>
      <w:r>
        <w:t xml:space="preserve"> </w:t>
      </w:r>
    </w:p>
    <w:p w14:paraId="267D5D5A" w14:textId="1DC38837" w:rsidR="001E2770" w:rsidRDefault="00577E14" w:rsidP="00FF3F9B">
      <w:pPr>
        <w:spacing w:after="0"/>
      </w:pPr>
      <w:r>
        <w:t xml:space="preserve">The ‘fact check’ related to the Senator’s comments a year prior, and therefore irrelevant, </w:t>
      </w:r>
      <w:r w:rsidR="00D33E21">
        <w:t xml:space="preserve">to </w:t>
      </w:r>
      <w:r>
        <w:t>the Australia Institute report</w:t>
      </w:r>
      <w:r w:rsidR="00A630A4">
        <w:t>.  The fact check</w:t>
      </w:r>
      <w:r w:rsidR="00F76DCD">
        <w:t xml:space="preserve"> did not address the types of issues raised in this article</w:t>
      </w:r>
      <w:r>
        <w:t>.</w:t>
      </w:r>
      <w:r>
        <w:rPr>
          <w:rStyle w:val="EndnoteReference"/>
        </w:rPr>
        <w:endnoteReference w:id="20"/>
      </w:r>
      <w:r w:rsidR="001E2770">
        <w:t>‘</w:t>
      </w:r>
    </w:p>
    <w:p w14:paraId="3A2D1290" w14:textId="77777777" w:rsidR="001E2770" w:rsidRDefault="001E2770" w:rsidP="00FF3F9B">
      <w:pPr>
        <w:spacing w:after="0"/>
      </w:pPr>
    </w:p>
    <w:p w14:paraId="584DEAB4" w14:textId="6737B425" w:rsidR="00577E14" w:rsidRDefault="00577E14" w:rsidP="00D33E21">
      <w:pPr>
        <w:spacing w:after="0"/>
      </w:pPr>
      <w:r>
        <w:t>In recent years</w:t>
      </w:r>
      <w:r w:rsidR="00CF61A0">
        <w:t>,</w:t>
      </w:r>
      <w:r>
        <w:t xml:space="preserve"> Australia has seen at least three ‘well-meaning’ campaigns produce repugnant results</w:t>
      </w:r>
      <w:r w:rsidR="00D33E21">
        <w:t xml:space="preserve">.  These campaigns </w:t>
      </w:r>
      <w:r w:rsidR="00D07331">
        <w:t xml:space="preserve">purported to present facts but </w:t>
      </w:r>
      <w:r w:rsidR="006C32CA">
        <w:t xml:space="preserve">were </w:t>
      </w:r>
      <w:r>
        <w:t>balance</w:t>
      </w:r>
      <w:r w:rsidR="006C32CA">
        <w:t>-deficient advocacy</w:t>
      </w:r>
      <w:r w:rsidR="00D33E21">
        <w:t>:</w:t>
      </w:r>
    </w:p>
    <w:p w14:paraId="6C956BE6" w14:textId="68CEC7D1" w:rsidR="00577E14" w:rsidRDefault="00577E14" w:rsidP="00D33E21">
      <w:pPr>
        <w:pStyle w:val="ListParagraph"/>
        <w:numPr>
          <w:ilvl w:val="0"/>
          <w:numId w:val="4"/>
        </w:numPr>
        <w:spacing w:after="0"/>
        <w:ind w:left="360"/>
      </w:pPr>
      <w:r>
        <w:t xml:space="preserve">the ‘anti-Adani’ </w:t>
      </w:r>
      <w:r w:rsidR="00D33E21">
        <w:t xml:space="preserve">etc. </w:t>
      </w:r>
      <w:r>
        <w:t>coal crusade helped deliver the 2019 election to Conservatives</w:t>
      </w:r>
      <w:r>
        <w:rPr>
          <w:rStyle w:val="EndnoteReference"/>
        </w:rPr>
        <w:endnoteReference w:id="21"/>
      </w:r>
      <w:r>
        <w:t xml:space="preserve">; </w:t>
      </w:r>
    </w:p>
    <w:p w14:paraId="445867FF" w14:textId="52166AB0" w:rsidR="00577E14" w:rsidRDefault="00577E14" w:rsidP="00D33E21">
      <w:pPr>
        <w:pStyle w:val="ListParagraph"/>
        <w:numPr>
          <w:ilvl w:val="0"/>
          <w:numId w:val="4"/>
        </w:numPr>
        <w:spacing w:after="0"/>
        <w:ind w:left="360"/>
      </w:pPr>
      <w:r>
        <w:t>denunciation of the Prime Minister over bushfires led to his acquisition of far greater powers unchecked by Parliamen</w:t>
      </w:r>
      <w:r w:rsidR="00D33E21">
        <w:t>t</w:t>
      </w:r>
      <w:r w:rsidR="00D33E21">
        <w:rPr>
          <w:rStyle w:val="EndnoteReference"/>
        </w:rPr>
        <w:endnoteReference w:id="22"/>
      </w:r>
      <w:r>
        <w:t xml:space="preserve">;  </w:t>
      </w:r>
    </w:p>
    <w:p w14:paraId="48F81C02" w14:textId="5E0B507C" w:rsidR="00D33E21" w:rsidRDefault="00D33E21" w:rsidP="00D33E21">
      <w:pPr>
        <w:pStyle w:val="ListParagraph"/>
        <w:numPr>
          <w:ilvl w:val="0"/>
          <w:numId w:val="4"/>
        </w:numPr>
        <w:spacing w:after="0"/>
        <w:ind w:left="360"/>
      </w:pPr>
      <w:r>
        <w:t xml:space="preserve">praise of State Government Covid restrictions and border closures – and the overlooking of their illegalities - </w:t>
      </w:r>
      <w:r w:rsidR="00D07331">
        <w:t>is</w:t>
      </w:r>
      <w:r>
        <w:t xml:space="preserve"> a role model for the Commonwealth re </w:t>
      </w:r>
      <w:r w:rsidR="0013511D">
        <w:t>e.g.,</w:t>
      </w:r>
      <w:r>
        <w:t xml:space="preserve"> India.</w:t>
      </w:r>
      <w:r>
        <w:rPr>
          <w:rStyle w:val="EndnoteReference"/>
        </w:rPr>
        <w:endnoteReference w:id="23"/>
      </w:r>
    </w:p>
    <w:p w14:paraId="37C0B405" w14:textId="77777777" w:rsidR="00D33E21" w:rsidRDefault="00D33E21" w:rsidP="00225F2E">
      <w:pPr>
        <w:spacing w:after="0"/>
      </w:pPr>
    </w:p>
    <w:p w14:paraId="57035E94" w14:textId="53EF48E3" w:rsidR="00796F7D" w:rsidRDefault="00DA066E" w:rsidP="00225F2E">
      <w:pPr>
        <w:spacing w:after="0"/>
      </w:pPr>
      <w:r>
        <w:t>The headline of the Australia Institute’s website is: ‘We change minds’.  For that intention to be useful, it</w:t>
      </w:r>
      <w:r w:rsidR="00D33E21">
        <w:t xml:space="preserve"> is not </w:t>
      </w:r>
      <w:r>
        <w:t xml:space="preserve">good </w:t>
      </w:r>
      <w:r w:rsidR="00D33E21">
        <w:t xml:space="preserve">enough for </w:t>
      </w:r>
      <w:r w:rsidR="00796F7D">
        <w:t xml:space="preserve">research or </w:t>
      </w:r>
      <w:r w:rsidR="00D33E21">
        <w:t>campaigns to be well meaning</w:t>
      </w:r>
      <w:r w:rsidR="00796F7D">
        <w:t xml:space="preserve"> or to preach to the converted</w:t>
      </w:r>
      <w:r w:rsidR="00D33E21">
        <w:t xml:space="preserve">.  </w:t>
      </w:r>
      <w:r w:rsidR="00796F7D">
        <w:t>Attracting the interest of the mass media, particularly the ABC, does nothing for credibility</w:t>
      </w:r>
      <w:r w:rsidR="00CB1D8A">
        <w:t xml:space="preserve"> </w:t>
      </w:r>
      <w:r w:rsidR="00481EA6">
        <w:t>-</w:t>
      </w:r>
      <w:r w:rsidR="00CB1D8A">
        <w:t xml:space="preserve"> in the ca</w:t>
      </w:r>
      <w:r w:rsidR="00481EA6">
        <w:t>mpaigns</w:t>
      </w:r>
      <w:r w:rsidR="00CB1D8A">
        <w:t xml:space="preserve"> cited above </w:t>
      </w:r>
      <w:r w:rsidR="00481EA6">
        <w:t xml:space="preserve">it </w:t>
      </w:r>
      <w:r w:rsidR="00CB1D8A">
        <w:t>appears to have exacerbated deleterious outcomes</w:t>
      </w:r>
      <w:r w:rsidR="00796F7D">
        <w:t>.</w:t>
      </w:r>
    </w:p>
    <w:p w14:paraId="19B6EFB8" w14:textId="77777777" w:rsidR="00796F7D" w:rsidRDefault="00796F7D" w:rsidP="00225F2E">
      <w:pPr>
        <w:spacing w:after="0"/>
      </w:pPr>
    </w:p>
    <w:p w14:paraId="5C5B082D" w14:textId="02AB7A10" w:rsidR="00D33E21" w:rsidRDefault="00796F7D" w:rsidP="00225F2E">
      <w:pPr>
        <w:spacing w:after="0"/>
      </w:pPr>
      <w:r>
        <w:t>R</w:t>
      </w:r>
      <w:r w:rsidR="00D33E21">
        <w:t xml:space="preserve">esearch/publications </w:t>
      </w:r>
      <w:r>
        <w:t xml:space="preserve">etc </w:t>
      </w:r>
      <w:r w:rsidR="00D33E21">
        <w:t xml:space="preserve">activities </w:t>
      </w:r>
      <w:r w:rsidR="00DA066E">
        <w:t xml:space="preserve">intended to change opinions </w:t>
      </w:r>
      <w:r w:rsidR="006C32CA">
        <w:t xml:space="preserve">for the benefit of society </w:t>
      </w:r>
      <w:r w:rsidR="00D33E21">
        <w:t>need to withstand inspection.</w:t>
      </w:r>
      <w:r>
        <w:t xml:space="preserve">  </w:t>
      </w:r>
      <w:r w:rsidR="00D33E21">
        <w:t>Unfortunately, again, that was not the case here.</w:t>
      </w:r>
    </w:p>
    <w:p w14:paraId="0D651D9C" w14:textId="6BFB3F48" w:rsidR="00D33E21" w:rsidRDefault="00D33E21" w:rsidP="00225F2E">
      <w:pPr>
        <w:spacing w:after="0"/>
      </w:pPr>
    </w:p>
    <w:p w14:paraId="20B7935C" w14:textId="77777777" w:rsidR="00CF61A0" w:rsidRDefault="00CF61A0" w:rsidP="00225F2E">
      <w:pPr>
        <w:spacing w:after="0"/>
      </w:pPr>
    </w:p>
    <w:p w14:paraId="0C45DE94" w14:textId="77777777" w:rsidR="00D33E21" w:rsidRDefault="00D33E21" w:rsidP="00225F2E">
      <w:pPr>
        <w:spacing w:after="0"/>
      </w:pPr>
      <w:r>
        <w:t>J Austen</w:t>
      </w:r>
    </w:p>
    <w:p w14:paraId="715A1B55" w14:textId="05349F27" w:rsidR="006076AE" w:rsidRPr="006076AE" w:rsidRDefault="00821BB1" w:rsidP="00225F2E">
      <w:pPr>
        <w:spacing w:after="0"/>
      </w:pPr>
      <w:r>
        <w:t>1</w:t>
      </w:r>
      <w:r w:rsidR="008A5FBA">
        <w:t>5</w:t>
      </w:r>
      <w:r w:rsidR="00D33E21">
        <w:t xml:space="preserve"> May 2021</w:t>
      </w:r>
      <w:r w:rsidR="006076AE">
        <w:t xml:space="preserve"> </w:t>
      </w:r>
    </w:p>
    <w:sectPr w:rsidR="006076AE" w:rsidRPr="006076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E544" w14:textId="77777777" w:rsidR="00D92B15" w:rsidRDefault="00D92B15" w:rsidP="00EA1C64">
      <w:pPr>
        <w:spacing w:after="0" w:line="240" w:lineRule="auto"/>
      </w:pPr>
      <w:r>
        <w:separator/>
      </w:r>
    </w:p>
  </w:endnote>
  <w:endnote w:type="continuationSeparator" w:id="0">
    <w:p w14:paraId="2B6EFA37" w14:textId="77777777" w:rsidR="00D92B15" w:rsidRDefault="00D92B15" w:rsidP="00EA1C64">
      <w:pPr>
        <w:spacing w:after="0" w:line="240" w:lineRule="auto"/>
      </w:pPr>
      <w:r>
        <w:continuationSeparator/>
      </w:r>
    </w:p>
  </w:endnote>
  <w:endnote w:id="1">
    <w:p w14:paraId="76CDBBF2" w14:textId="759ABDB8" w:rsidR="00EA1C64" w:rsidRPr="00EF7827" w:rsidRDefault="00EA1C64">
      <w:pPr>
        <w:pStyle w:val="EndnoteText"/>
        <w:rPr>
          <w:sz w:val="18"/>
          <w:szCs w:val="18"/>
        </w:rPr>
      </w:pPr>
      <w:r w:rsidRPr="00EF7827">
        <w:rPr>
          <w:rStyle w:val="EndnoteReference"/>
          <w:sz w:val="18"/>
          <w:szCs w:val="18"/>
        </w:rPr>
        <w:endnoteRef/>
      </w:r>
      <w:r w:rsidRPr="00EF7827">
        <w:rPr>
          <w:sz w:val="18"/>
          <w:szCs w:val="18"/>
        </w:rPr>
        <w:t xml:space="preserve"> See for example: </w:t>
      </w:r>
      <w:hyperlink r:id="rId1" w:history="1">
        <w:r w:rsidRPr="00EF7827">
          <w:rPr>
            <w:rStyle w:val="Hyperlink"/>
            <w:sz w:val="18"/>
            <w:szCs w:val="18"/>
          </w:rPr>
          <w:t>https://johnmenadue.com/fools-paradise-independent-advisers-promote-lie-that-transport-infrastructure-can-lead-a-covid-recovery/</w:t>
        </w:r>
      </w:hyperlink>
    </w:p>
    <w:p w14:paraId="13B7005A" w14:textId="77777777" w:rsidR="00EA1C64" w:rsidRPr="00EF7827" w:rsidRDefault="00EA1C64">
      <w:pPr>
        <w:pStyle w:val="EndnoteText"/>
        <w:rPr>
          <w:sz w:val="18"/>
          <w:szCs w:val="18"/>
        </w:rPr>
      </w:pPr>
    </w:p>
  </w:endnote>
  <w:endnote w:id="2">
    <w:p w14:paraId="12F920BF" w14:textId="77777777" w:rsidR="007B1F84" w:rsidRPr="00EF7827" w:rsidRDefault="007B1F84" w:rsidP="007B1F84">
      <w:pPr>
        <w:pStyle w:val="EndnoteText"/>
        <w:rPr>
          <w:sz w:val="18"/>
          <w:szCs w:val="18"/>
        </w:rPr>
      </w:pPr>
      <w:r w:rsidRPr="00EF7827">
        <w:rPr>
          <w:rStyle w:val="EndnoteReference"/>
          <w:sz w:val="18"/>
          <w:szCs w:val="18"/>
        </w:rPr>
        <w:endnoteRef/>
      </w:r>
      <w:r w:rsidRPr="00EF7827">
        <w:rPr>
          <w:sz w:val="18"/>
          <w:szCs w:val="18"/>
        </w:rPr>
        <w:t xml:space="preserve"> </w:t>
      </w:r>
      <w:hyperlink r:id="rId2" w:history="1">
        <w:r w:rsidRPr="00EF7827">
          <w:rPr>
            <w:rStyle w:val="Hyperlink"/>
            <w:sz w:val="18"/>
            <w:szCs w:val="18"/>
          </w:rPr>
          <w:t>https://www.thejadebeagle.com/if-only-governments-spent-what-they-collected-from-roads.html</w:t>
        </w:r>
      </w:hyperlink>
    </w:p>
    <w:p w14:paraId="7A69F8B4" w14:textId="77777777" w:rsidR="007B1F84" w:rsidRPr="00EF7827" w:rsidRDefault="007B1F84" w:rsidP="007B1F84">
      <w:pPr>
        <w:pStyle w:val="EndnoteText"/>
        <w:rPr>
          <w:sz w:val="18"/>
          <w:szCs w:val="18"/>
        </w:rPr>
      </w:pPr>
    </w:p>
  </w:endnote>
  <w:endnote w:id="3">
    <w:p w14:paraId="43E71AF0" w14:textId="3FEE7016" w:rsidR="00170F9F" w:rsidRPr="000A1992" w:rsidRDefault="00170F9F">
      <w:pPr>
        <w:pStyle w:val="EndnoteText"/>
        <w:rPr>
          <w:sz w:val="18"/>
          <w:szCs w:val="18"/>
        </w:rPr>
      </w:pPr>
      <w:r w:rsidRPr="000A1992">
        <w:rPr>
          <w:rStyle w:val="EndnoteReference"/>
          <w:sz w:val="18"/>
          <w:szCs w:val="18"/>
        </w:rPr>
        <w:endnoteRef/>
      </w:r>
      <w:r w:rsidRPr="000A1992">
        <w:rPr>
          <w:sz w:val="18"/>
          <w:szCs w:val="18"/>
        </w:rPr>
        <w:t xml:space="preserve"> </w:t>
      </w:r>
      <w:hyperlink r:id="rId3" w:history="1">
        <w:r w:rsidRPr="000A1992">
          <w:rPr>
            <w:rStyle w:val="Hyperlink"/>
            <w:sz w:val="18"/>
            <w:szCs w:val="18"/>
          </w:rPr>
          <w:t>https://australiainstitute.org.au/report/fossil-fuel-subsidies-in-australia/</w:t>
        </w:r>
      </w:hyperlink>
    </w:p>
    <w:p w14:paraId="4E82DB21" w14:textId="77777777" w:rsidR="00170F9F" w:rsidRPr="000A1992" w:rsidRDefault="00170F9F">
      <w:pPr>
        <w:pStyle w:val="EndnoteText"/>
        <w:rPr>
          <w:sz w:val="18"/>
          <w:szCs w:val="18"/>
        </w:rPr>
      </w:pPr>
    </w:p>
  </w:endnote>
  <w:endnote w:id="4">
    <w:p w14:paraId="2A19BB95" w14:textId="0B2F80EF" w:rsidR="00E32057" w:rsidRPr="000A1992" w:rsidRDefault="00170F9F">
      <w:pPr>
        <w:pStyle w:val="EndnoteText"/>
        <w:rPr>
          <w:sz w:val="18"/>
          <w:szCs w:val="18"/>
        </w:rPr>
      </w:pPr>
      <w:r w:rsidRPr="000A1992">
        <w:rPr>
          <w:rStyle w:val="EndnoteReference"/>
          <w:sz w:val="18"/>
          <w:szCs w:val="18"/>
        </w:rPr>
        <w:endnoteRef/>
      </w:r>
      <w:r w:rsidRPr="000A1992">
        <w:rPr>
          <w:sz w:val="18"/>
          <w:szCs w:val="18"/>
        </w:rPr>
        <w:t xml:space="preserve"> </w:t>
      </w:r>
      <w:r w:rsidR="00E32057" w:rsidRPr="000A1992">
        <w:rPr>
          <w:sz w:val="18"/>
          <w:szCs w:val="18"/>
        </w:rPr>
        <w:t>I</w:t>
      </w:r>
      <w:r w:rsidRPr="000A1992">
        <w:rPr>
          <w:sz w:val="18"/>
          <w:szCs w:val="18"/>
        </w:rPr>
        <w:t>n 2020</w:t>
      </w:r>
      <w:r w:rsidR="00E32057" w:rsidRPr="000A1992">
        <w:rPr>
          <w:sz w:val="18"/>
          <w:szCs w:val="18"/>
        </w:rPr>
        <w:t>,</w:t>
      </w:r>
      <w:r w:rsidRPr="000A1992">
        <w:rPr>
          <w:sz w:val="18"/>
          <w:szCs w:val="18"/>
        </w:rPr>
        <w:t xml:space="preserve"> Australia used 16</w:t>
      </w:r>
      <w:r w:rsidR="00E32057" w:rsidRPr="000A1992">
        <w:rPr>
          <w:sz w:val="18"/>
          <w:szCs w:val="18"/>
        </w:rPr>
        <w:t>.6B</w:t>
      </w:r>
      <w:r w:rsidRPr="000A1992">
        <w:rPr>
          <w:sz w:val="18"/>
          <w:szCs w:val="18"/>
        </w:rPr>
        <w:t>L of automotive gasoline and LPG, and 29</w:t>
      </w:r>
      <w:r w:rsidR="00E32057" w:rsidRPr="000A1992">
        <w:rPr>
          <w:sz w:val="18"/>
          <w:szCs w:val="18"/>
        </w:rPr>
        <w:t>.</w:t>
      </w:r>
      <w:r w:rsidRPr="000A1992">
        <w:rPr>
          <w:sz w:val="18"/>
          <w:szCs w:val="18"/>
        </w:rPr>
        <w:t>6</w:t>
      </w:r>
      <w:r w:rsidR="00E32057" w:rsidRPr="000A1992">
        <w:rPr>
          <w:sz w:val="18"/>
          <w:szCs w:val="18"/>
        </w:rPr>
        <w:t>B</w:t>
      </w:r>
      <w:r w:rsidRPr="000A1992">
        <w:rPr>
          <w:sz w:val="18"/>
          <w:szCs w:val="18"/>
        </w:rPr>
        <w:t>L of diesel.</w:t>
      </w:r>
      <w:r w:rsidR="00E32057" w:rsidRPr="000A1992">
        <w:rPr>
          <w:sz w:val="18"/>
          <w:szCs w:val="18"/>
        </w:rPr>
        <w:t xml:space="preserve"> </w:t>
      </w:r>
      <w:hyperlink r:id="rId4" w:history="1">
        <w:r w:rsidR="00E32057" w:rsidRPr="000A1992">
          <w:rPr>
            <w:rStyle w:val="Hyperlink"/>
            <w:sz w:val="18"/>
            <w:szCs w:val="18"/>
          </w:rPr>
          <w:t>https://www.energy.gov.au/publications/australian-petroleum-statistics-2021</w:t>
        </w:r>
      </w:hyperlink>
    </w:p>
    <w:p w14:paraId="045E8CB5" w14:textId="48DF51C0" w:rsidR="00170F9F" w:rsidRPr="000A1992" w:rsidRDefault="00E32057">
      <w:pPr>
        <w:pStyle w:val="EndnoteText"/>
        <w:rPr>
          <w:sz w:val="18"/>
          <w:szCs w:val="18"/>
        </w:rPr>
      </w:pPr>
      <w:r w:rsidRPr="000A1992">
        <w:rPr>
          <w:sz w:val="18"/>
          <w:szCs w:val="18"/>
        </w:rPr>
        <w:t>R</w:t>
      </w:r>
      <w:r w:rsidR="00170F9F" w:rsidRPr="000A1992">
        <w:rPr>
          <w:sz w:val="18"/>
          <w:szCs w:val="18"/>
        </w:rPr>
        <w:t>oad vehicles used roughly the same amount of diesel as gasoline implying 13</w:t>
      </w:r>
      <w:r w:rsidRPr="000A1992">
        <w:rPr>
          <w:sz w:val="18"/>
          <w:szCs w:val="18"/>
        </w:rPr>
        <w:t>.5B</w:t>
      </w:r>
      <w:r w:rsidR="00170F9F" w:rsidRPr="000A1992">
        <w:rPr>
          <w:sz w:val="18"/>
          <w:szCs w:val="18"/>
        </w:rPr>
        <w:t>L of diesel was used off road.  Total</w:t>
      </w:r>
      <w:r w:rsidRPr="000A1992">
        <w:rPr>
          <w:sz w:val="18"/>
          <w:szCs w:val="18"/>
        </w:rPr>
        <w:t xml:space="preserve"> </w:t>
      </w:r>
      <w:r w:rsidR="00170F9F" w:rsidRPr="000A1992">
        <w:rPr>
          <w:sz w:val="18"/>
          <w:szCs w:val="18"/>
        </w:rPr>
        <w:t xml:space="preserve">use on roads appears to have been around </w:t>
      </w:r>
      <w:r w:rsidRPr="000A1992">
        <w:rPr>
          <w:sz w:val="18"/>
          <w:szCs w:val="18"/>
        </w:rPr>
        <w:t xml:space="preserve">32.2BL - around 60% of all petroleum product use. </w:t>
      </w:r>
      <w:hyperlink r:id="rId5" w:history="1">
        <w:r w:rsidRPr="000A1992">
          <w:rPr>
            <w:rStyle w:val="Hyperlink"/>
            <w:sz w:val="18"/>
            <w:szCs w:val="18"/>
          </w:rPr>
          <w:t>https://www.abs.gov.au/statistics/industry/tourism-and-transport/survey-motor-vehicle-use-australia/latest-release</w:t>
        </w:r>
      </w:hyperlink>
      <w:r w:rsidR="00170F9F" w:rsidRPr="000A1992">
        <w:rPr>
          <w:sz w:val="18"/>
          <w:szCs w:val="18"/>
        </w:rPr>
        <w:t xml:space="preserve"> </w:t>
      </w:r>
    </w:p>
    <w:p w14:paraId="11169988" w14:textId="77777777" w:rsidR="00170F9F" w:rsidRPr="000A1992" w:rsidRDefault="00170F9F">
      <w:pPr>
        <w:pStyle w:val="EndnoteText"/>
        <w:rPr>
          <w:sz w:val="18"/>
          <w:szCs w:val="18"/>
        </w:rPr>
      </w:pPr>
    </w:p>
  </w:endnote>
  <w:endnote w:id="5">
    <w:p w14:paraId="178CA8A9" w14:textId="77777777" w:rsidR="007B1F84" w:rsidRPr="000A1992" w:rsidRDefault="007B1F84" w:rsidP="007B1F84">
      <w:pPr>
        <w:pStyle w:val="EndnoteText"/>
        <w:rPr>
          <w:sz w:val="18"/>
          <w:szCs w:val="18"/>
        </w:rPr>
      </w:pPr>
      <w:r w:rsidRPr="000A1992">
        <w:rPr>
          <w:rStyle w:val="EndnoteReference"/>
          <w:sz w:val="18"/>
          <w:szCs w:val="18"/>
        </w:rPr>
        <w:endnoteRef/>
      </w:r>
      <w:r w:rsidRPr="000A1992">
        <w:rPr>
          <w:sz w:val="18"/>
          <w:szCs w:val="18"/>
        </w:rPr>
        <w:t xml:space="preserve"> </w:t>
      </w:r>
      <w:hyperlink r:id="rId6" w:history="1">
        <w:r w:rsidRPr="000A1992">
          <w:rPr>
            <w:rStyle w:val="Hyperlink"/>
            <w:sz w:val="18"/>
            <w:szCs w:val="18"/>
          </w:rPr>
          <w:t>https://www.thejadebeagle.com/if-only-governments-spent-what-they-collected-from-roads.html</w:t>
        </w:r>
      </w:hyperlink>
    </w:p>
    <w:p w14:paraId="0A2F1F48" w14:textId="77777777" w:rsidR="007B1F84" w:rsidRPr="000A1992" w:rsidRDefault="007B1F84" w:rsidP="007B1F84">
      <w:pPr>
        <w:pStyle w:val="EndnoteText"/>
        <w:rPr>
          <w:sz w:val="18"/>
          <w:szCs w:val="18"/>
        </w:rPr>
      </w:pPr>
    </w:p>
  </w:endnote>
  <w:endnote w:id="6">
    <w:p w14:paraId="31763BA1" w14:textId="0594FAD2" w:rsidR="009F1C62" w:rsidRPr="000A1992" w:rsidRDefault="009F1C62">
      <w:pPr>
        <w:pStyle w:val="EndnoteText"/>
        <w:rPr>
          <w:sz w:val="18"/>
          <w:szCs w:val="18"/>
        </w:rPr>
      </w:pPr>
      <w:r w:rsidRPr="000A1992">
        <w:rPr>
          <w:rStyle w:val="EndnoteReference"/>
          <w:sz w:val="18"/>
          <w:szCs w:val="18"/>
        </w:rPr>
        <w:endnoteRef/>
      </w:r>
      <w:r w:rsidRPr="000A1992">
        <w:rPr>
          <w:sz w:val="18"/>
          <w:szCs w:val="18"/>
        </w:rPr>
        <w:t xml:space="preserve"> </w:t>
      </w:r>
      <w:hyperlink r:id="rId7" w:history="1">
        <w:r w:rsidR="007B1F84" w:rsidRPr="000A1992">
          <w:rPr>
            <w:rStyle w:val="Hyperlink"/>
            <w:sz w:val="18"/>
            <w:szCs w:val="18"/>
          </w:rPr>
          <w:t>https://www.thejadebeagle.com/road-reform.html</w:t>
        </w:r>
      </w:hyperlink>
    </w:p>
    <w:p w14:paraId="7767CE7A" w14:textId="77777777" w:rsidR="007B1F84" w:rsidRPr="000A1992" w:rsidRDefault="007B1F84">
      <w:pPr>
        <w:pStyle w:val="EndnoteText"/>
        <w:rPr>
          <w:sz w:val="18"/>
          <w:szCs w:val="18"/>
        </w:rPr>
      </w:pPr>
    </w:p>
  </w:endnote>
  <w:endnote w:id="7">
    <w:p w14:paraId="1FBF3833" w14:textId="0304DCFD" w:rsidR="007B1F84" w:rsidRPr="000A1992" w:rsidRDefault="009F1C62">
      <w:pPr>
        <w:pStyle w:val="EndnoteText"/>
        <w:rPr>
          <w:sz w:val="18"/>
          <w:szCs w:val="18"/>
        </w:rPr>
      </w:pPr>
      <w:r w:rsidRPr="000A1992">
        <w:rPr>
          <w:rStyle w:val="EndnoteReference"/>
          <w:sz w:val="18"/>
          <w:szCs w:val="18"/>
        </w:rPr>
        <w:endnoteRef/>
      </w:r>
      <w:r w:rsidRPr="000A1992">
        <w:rPr>
          <w:sz w:val="18"/>
          <w:szCs w:val="18"/>
        </w:rPr>
        <w:t xml:space="preserve"> </w:t>
      </w:r>
      <w:hyperlink r:id="rId8" w:history="1">
        <w:r w:rsidR="007B1F84" w:rsidRPr="000A1992">
          <w:rPr>
            <w:rStyle w:val="Hyperlink"/>
            <w:sz w:val="18"/>
            <w:szCs w:val="18"/>
          </w:rPr>
          <w:t>https://www.bitre.gov.au/publications/2019/yearbook_2019</w:t>
        </w:r>
      </w:hyperlink>
    </w:p>
    <w:p w14:paraId="3DEFCB24" w14:textId="364AAEB3" w:rsidR="009F1C62" w:rsidRPr="000A1992" w:rsidRDefault="009F1C62">
      <w:pPr>
        <w:pStyle w:val="EndnoteText"/>
        <w:rPr>
          <w:sz w:val="18"/>
          <w:szCs w:val="18"/>
        </w:rPr>
      </w:pPr>
    </w:p>
  </w:endnote>
  <w:endnote w:id="8">
    <w:p w14:paraId="321A2BBD" w14:textId="429DFEA6" w:rsidR="00083F97" w:rsidRPr="000A1992" w:rsidRDefault="00083F97">
      <w:pPr>
        <w:pStyle w:val="EndnoteText"/>
        <w:rPr>
          <w:sz w:val="18"/>
          <w:szCs w:val="18"/>
        </w:rPr>
      </w:pPr>
      <w:r w:rsidRPr="000A1992">
        <w:rPr>
          <w:rStyle w:val="EndnoteReference"/>
          <w:sz w:val="18"/>
          <w:szCs w:val="18"/>
        </w:rPr>
        <w:endnoteRef/>
      </w:r>
      <w:r w:rsidRPr="000A1992">
        <w:rPr>
          <w:sz w:val="18"/>
          <w:szCs w:val="18"/>
        </w:rPr>
        <w:t xml:space="preserve"> </w:t>
      </w:r>
      <w:hyperlink r:id="rId9" w:history="1">
        <w:r w:rsidRPr="000A1992">
          <w:rPr>
            <w:rStyle w:val="Hyperlink"/>
            <w:sz w:val="18"/>
            <w:szCs w:val="18"/>
          </w:rPr>
          <w:t>https://archive.budget.gov.au/2018-19/myefo/myefo_2018-19.pdf</w:t>
        </w:r>
      </w:hyperlink>
    </w:p>
    <w:p w14:paraId="6C21EF84" w14:textId="77777777" w:rsidR="00083F97" w:rsidRPr="000A1992" w:rsidRDefault="00083F97">
      <w:pPr>
        <w:pStyle w:val="EndnoteText"/>
        <w:rPr>
          <w:sz w:val="18"/>
          <w:szCs w:val="18"/>
        </w:rPr>
      </w:pPr>
    </w:p>
  </w:endnote>
  <w:endnote w:id="9">
    <w:p w14:paraId="2961C683" w14:textId="77777777" w:rsidR="007B1F84" w:rsidRPr="000A1992" w:rsidRDefault="00CB49CF" w:rsidP="007B1F84">
      <w:pPr>
        <w:pStyle w:val="EndnoteText"/>
        <w:rPr>
          <w:sz w:val="18"/>
          <w:szCs w:val="18"/>
        </w:rPr>
      </w:pPr>
      <w:r w:rsidRPr="000A1992">
        <w:rPr>
          <w:rStyle w:val="EndnoteReference"/>
          <w:sz w:val="18"/>
          <w:szCs w:val="18"/>
        </w:rPr>
        <w:endnoteRef/>
      </w:r>
      <w:r w:rsidRPr="000A1992">
        <w:rPr>
          <w:sz w:val="18"/>
          <w:szCs w:val="18"/>
        </w:rPr>
        <w:t xml:space="preserve"> </w:t>
      </w:r>
      <w:r w:rsidR="007B1F84" w:rsidRPr="000A1992">
        <w:rPr>
          <w:sz w:val="18"/>
          <w:szCs w:val="18"/>
        </w:rPr>
        <w:t xml:space="preserve"> </w:t>
      </w:r>
      <w:hyperlink r:id="rId10" w:history="1">
        <w:r w:rsidR="007B1F84" w:rsidRPr="000A1992">
          <w:rPr>
            <w:rStyle w:val="Hyperlink"/>
            <w:sz w:val="18"/>
            <w:szCs w:val="18"/>
          </w:rPr>
          <w:t>https://www.thejadebeagle.com/if-only-governments-spent-what-they-collected-from-roads.html</w:t>
        </w:r>
      </w:hyperlink>
    </w:p>
    <w:p w14:paraId="4D90B419" w14:textId="43700670" w:rsidR="007B1F84" w:rsidRPr="000A1992" w:rsidRDefault="00D92B15">
      <w:pPr>
        <w:pStyle w:val="EndnoteText"/>
        <w:rPr>
          <w:sz w:val="18"/>
          <w:szCs w:val="18"/>
        </w:rPr>
      </w:pPr>
      <w:hyperlink r:id="rId11" w:history="1">
        <w:r w:rsidR="007B1F84" w:rsidRPr="000A1992">
          <w:rPr>
            <w:rStyle w:val="Hyperlink"/>
            <w:sz w:val="18"/>
            <w:szCs w:val="18"/>
          </w:rPr>
          <w:t>https://www.thejadebeagle.com/williams-case.html</w:t>
        </w:r>
      </w:hyperlink>
    </w:p>
    <w:p w14:paraId="23B95BD3" w14:textId="1037BB2F" w:rsidR="00CB49CF" w:rsidRPr="000A1992" w:rsidRDefault="00CB49CF">
      <w:pPr>
        <w:pStyle w:val="EndnoteText"/>
        <w:rPr>
          <w:sz w:val="18"/>
          <w:szCs w:val="18"/>
        </w:rPr>
      </w:pPr>
    </w:p>
  </w:endnote>
  <w:endnote w:id="10">
    <w:p w14:paraId="11A3788E" w14:textId="37D0AECB" w:rsidR="00A21AC9" w:rsidRPr="000A1992" w:rsidRDefault="00A21AC9">
      <w:pPr>
        <w:pStyle w:val="EndnoteText"/>
        <w:rPr>
          <w:sz w:val="18"/>
          <w:szCs w:val="18"/>
        </w:rPr>
      </w:pPr>
      <w:r w:rsidRPr="000A1992">
        <w:rPr>
          <w:rStyle w:val="EndnoteReference"/>
          <w:sz w:val="18"/>
          <w:szCs w:val="18"/>
        </w:rPr>
        <w:endnoteRef/>
      </w:r>
      <w:r w:rsidRPr="000A1992">
        <w:rPr>
          <w:sz w:val="18"/>
          <w:szCs w:val="18"/>
        </w:rPr>
        <w:t xml:space="preserve"> </w:t>
      </w:r>
      <w:r w:rsidR="004269C9" w:rsidRPr="000A1992">
        <w:rPr>
          <w:sz w:val="18"/>
          <w:szCs w:val="18"/>
        </w:rPr>
        <w:t xml:space="preserve">Footnote 8 in the Australia Institute’s report: Productivity Commission (2020) Trade and assistance review 2018-19;  </w:t>
      </w:r>
      <w:hyperlink r:id="rId12" w:anchor=":~:text=The%20Trade%20and%20Assistance%20Review,assistance%20estimates%20in%20future%20years" w:history="1">
        <w:r w:rsidR="004269C9" w:rsidRPr="000A1992">
          <w:rPr>
            <w:rStyle w:val="Hyperlink"/>
            <w:sz w:val="18"/>
            <w:szCs w:val="18"/>
          </w:rPr>
          <w:t>https://www.pc.gov.au/research/ongoing/trade-assistance/2018-19#:~:text=The%20Trade%20and%20Assistance%20Review,assistance%20estimates%20in%20future%20years</w:t>
        </w:r>
      </w:hyperlink>
      <w:r w:rsidRPr="000A1992">
        <w:rPr>
          <w:sz w:val="18"/>
          <w:szCs w:val="18"/>
        </w:rPr>
        <w:t>.</w:t>
      </w:r>
    </w:p>
    <w:p w14:paraId="5BCE6A33" w14:textId="15DF2FBA" w:rsidR="00746273" w:rsidRPr="000A1992" w:rsidRDefault="00746273">
      <w:pPr>
        <w:pStyle w:val="EndnoteText"/>
        <w:rPr>
          <w:sz w:val="18"/>
          <w:szCs w:val="18"/>
        </w:rPr>
      </w:pPr>
      <w:r w:rsidRPr="000A1992">
        <w:rPr>
          <w:sz w:val="18"/>
          <w:szCs w:val="18"/>
        </w:rPr>
        <w:t xml:space="preserve">Fact check: </w:t>
      </w:r>
      <w:hyperlink r:id="rId13" w:history="1">
        <w:r w:rsidRPr="000A1992">
          <w:rPr>
            <w:rStyle w:val="Hyperlink"/>
            <w:sz w:val="18"/>
            <w:szCs w:val="18"/>
          </w:rPr>
          <w:t>https://www.crikey.com.au/2020/08/07/matt-canavan-fossil-fuel/</w:t>
        </w:r>
      </w:hyperlink>
    </w:p>
    <w:p w14:paraId="6A9455C5" w14:textId="77777777" w:rsidR="00A21AC9" w:rsidRPr="000A1992" w:rsidRDefault="00A21AC9">
      <w:pPr>
        <w:pStyle w:val="EndnoteText"/>
        <w:rPr>
          <w:sz w:val="18"/>
          <w:szCs w:val="18"/>
        </w:rPr>
      </w:pPr>
    </w:p>
  </w:endnote>
  <w:endnote w:id="11">
    <w:p w14:paraId="6B8C97FE" w14:textId="12F02A9F" w:rsidR="00FE52C7" w:rsidRPr="000A1992" w:rsidRDefault="00FE52C7" w:rsidP="00274FE4">
      <w:pPr>
        <w:rPr>
          <w:sz w:val="18"/>
          <w:szCs w:val="18"/>
        </w:rPr>
      </w:pPr>
      <w:r w:rsidRPr="000A1992">
        <w:rPr>
          <w:rStyle w:val="EndnoteReference"/>
          <w:sz w:val="18"/>
          <w:szCs w:val="18"/>
        </w:rPr>
        <w:endnoteRef/>
      </w:r>
      <w:r w:rsidRPr="000A1992">
        <w:rPr>
          <w:sz w:val="18"/>
          <w:szCs w:val="18"/>
        </w:rPr>
        <w:t xml:space="preserve"> Footnote 6 in the Australia Institute’s report: </w:t>
      </w:r>
      <w:r w:rsidRPr="000A1992">
        <w:rPr>
          <w:sz w:val="18"/>
          <w:szCs w:val="18"/>
          <w:lang w:eastAsia="en-AU"/>
        </w:rPr>
        <w:t xml:space="preserve">Global Fossil Fuel Subsidies Remain Large: An Update Based on Country-Level Estimates (2019); </w:t>
      </w:r>
      <w:hyperlink r:id="rId14" w:history="1">
        <w:r w:rsidRPr="000A1992">
          <w:rPr>
            <w:rStyle w:val="Hyperlink"/>
            <w:sz w:val="18"/>
            <w:szCs w:val="18"/>
          </w:rPr>
          <w:t>https://www.imf.org/en/Publications/WP/Issues/2019/05/02/Global-Fossil-Fuel-Subsidies-Remain-Large-An-Update-Based-on-Country-Level-Estimates-46509</w:t>
        </w:r>
      </w:hyperlink>
    </w:p>
  </w:endnote>
  <w:endnote w:id="12">
    <w:p w14:paraId="00B75128" w14:textId="79ADF52C" w:rsidR="007B2B29" w:rsidRPr="000A1992" w:rsidRDefault="007B2B29">
      <w:pPr>
        <w:pStyle w:val="EndnoteText"/>
        <w:rPr>
          <w:sz w:val="18"/>
          <w:szCs w:val="18"/>
        </w:rPr>
      </w:pPr>
      <w:r w:rsidRPr="000A1992">
        <w:rPr>
          <w:rStyle w:val="EndnoteReference"/>
          <w:sz w:val="18"/>
          <w:szCs w:val="18"/>
        </w:rPr>
        <w:endnoteRef/>
      </w:r>
      <w:r w:rsidRPr="000A1992">
        <w:rPr>
          <w:sz w:val="18"/>
          <w:szCs w:val="18"/>
        </w:rPr>
        <w:t xml:space="preserve"> </w:t>
      </w:r>
      <w:hyperlink r:id="rId15" w:history="1">
        <w:r w:rsidRPr="000A1992">
          <w:rPr>
            <w:rStyle w:val="Hyperlink"/>
            <w:sz w:val="18"/>
            <w:szCs w:val="18"/>
          </w:rPr>
          <w:t>https://budget.gov.au/2020-21/content/bp1/download/bp1_bs5.pdf</w:t>
        </w:r>
      </w:hyperlink>
    </w:p>
    <w:p w14:paraId="3C95EDFA" w14:textId="77777777" w:rsidR="007B2B29" w:rsidRPr="000A1992" w:rsidRDefault="007B2B29">
      <w:pPr>
        <w:pStyle w:val="EndnoteText"/>
        <w:rPr>
          <w:sz w:val="18"/>
          <w:szCs w:val="18"/>
        </w:rPr>
      </w:pPr>
    </w:p>
  </w:endnote>
  <w:endnote w:id="13">
    <w:p w14:paraId="4F5528D8" w14:textId="7FA5B271" w:rsidR="001F3335" w:rsidRPr="000A1992" w:rsidRDefault="004362AC" w:rsidP="001F3335">
      <w:pPr>
        <w:spacing w:after="0"/>
        <w:rPr>
          <w:sz w:val="18"/>
          <w:szCs w:val="18"/>
        </w:rPr>
      </w:pPr>
      <w:r w:rsidRPr="000A1992">
        <w:rPr>
          <w:rStyle w:val="EndnoteReference"/>
          <w:sz w:val="18"/>
          <w:szCs w:val="18"/>
        </w:rPr>
        <w:endnoteRef/>
      </w:r>
      <w:r w:rsidRPr="000A1992">
        <w:rPr>
          <w:sz w:val="18"/>
          <w:szCs w:val="18"/>
        </w:rPr>
        <w:t xml:space="preserve"> </w:t>
      </w:r>
      <w:r w:rsidR="001F3335" w:rsidRPr="000A1992">
        <w:rPr>
          <w:sz w:val="18"/>
          <w:szCs w:val="18"/>
        </w:rPr>
        <w:t xml:space="preserve">NSW: </w:t>
      </w:r>
      <w:hyperlink r:id="rId16" w:history="1">
        <w:r w:rsidR="001F3335" w:rsidRPr="000A1992">
          <w:rPr>
            <w:rStyle w:val="Hyperlink"/>
            <w:sz w:val="18"/>
            <w:szCs w:val="18"/>
          </w:rPr>
          <w:t>https://www.treasury.nsw.gov.au/sites/default/files/2020-11/Budget%20Paper%20No.%201%20-%20Budget%20Statement%20-%202020-21%20Budget.pdf</w:t>
        </w:r>
      </w:hyperlink>
    </w:p>
    <w:p w14:paraId="30E972E1" w14:textId="4AC5EA14" w:rsidR="001F3335" w:rsidRPr="000A1992" w:rsidRDefault="001F3335" w:rsidP="001F3335">
      <w:pPr>
        <w:spacing w:after="0"/>
        <w:rPr>
          <w:sz w:val="18"/>
          <w:szCs w:val="18"/>
        </w:rPr>
      </w:pPr>
      <w:r w:rsidRPr="000A1992">
        <w:rPr>
          <w:sz w:val="18"/>
          <w:szCs w:val="18"/>
        </w:rPr>
        <w:t xml:space="preserve">Qld: </w:t>
      </w:r>
      <w:hyperlink r:id="rId17" w:history="1">
        <w:r w:rsidRPr="000A1992">
          <w:rPr>
            <w:rStyle w:val="Hyperlink"/>
            <w:sz w:val="18"/>
            <w:szCs w:val="18"/>
          </w:rPr>
          <w:t>https://budget.qld.gov.au/files/BP2_4_Revenue.pdf</w:t>
        </w:r>
      </w:hyperlink>
      <w:r w:rsidRPr="000A1992">
        <w:rPr>
          <w:sz w:val="18"/>
          <w:szCs w:val="18"/>
        </w:rPr>
        <w:t xml:space="preserve">  </w:t>
      </w:r>
    </w:p>
    <w:p w14:paraId="0DB12A65" w14:textId="395B159F" w:rsidR="004362AC" w:rsidRPr="000A1992" w:rsidRDefault="00D92B15">
      <w:pPr>
        <w:pStyle w:val="EndnoteText"/>
        <w:rPr>
          <w:sz w:val="18"/>
          <w:szCs w:val="18"/>
        </w:rPr>
      </w:pPr>
      <w:hyperlink r:id="rId18" w:history="1">
        <w:r w:rsidR="004362AC" w:rsidRPr="000A1992">
          <w:rPr>
            <w:rStyle w:val="Hyperlink"/>
            <w:sz w:val="18"/>
            <w:szCs w:val="18"/>
          </w:rPr>
          <w:t>https://www.smh.com.au/environment/climate-change/much-weaker-outlook-for-coal-slashed-expected-nsw-mining-royalties-20201117-p56fdr.html</w:t>
        </w:r>
      </w:hyperlink>
    </w:p>
    <w:p w14:paraId="6E431C13" w14:textId="02D05749" w:rsidR="004362AC" w:rsidRPr="000A1992" w:rsidRDefault="00D92B15">
      <w:pPr>
        <w:pStyle w:val="EndnoteText"/>
        <w:rPr>
          <w:sz w:val="18"/>
          <w:szCs w:val="18"/>
        </w:rPr>
      </w:pPr>
      <w:hyperlink r:id="rId19" w:history="1">
        <w:r w:rsidR="004362AC" w:rsidRPr="000A1992">
          <w:rPr>
            <w:rStyle w:val="Hyperlink"/>
            <w:sz w:val="18"/>
            <w:szCs w:val="18"/>
          </w:rPr>
          <w:t>https://www.australianmining.com.au/news/lower-coal-volumes-to-hit-qld-royalty-revenue/</w:t>
        </w:r>
      </w:hyperlink>
    </w:p>
    <w:p w14:paraId="5714142C" w14:textId="77777777" w:rsidR="004362AC" w:rsidRPr="000A1992" w:rsidRDefault="004362AC">
      <w:pPr>
        <w:pStyle w:val="EndnoteText"/>
        <w:rPr>
          <w:sz w:val="18"/>
          <w:szCs w:val="18"/>
        </w:rPr>
      </w:pPr>
    </w:p>
  </w:endnote>
  <w:endnote w:id="14">
    <w:p w14:paraId="608D9611" w14:textId="3C4805CE" w:rsidR="00C87CE4" w:rsidRPr="000A1992" w:rsidRDefault="00C87CE4">
      <w:pPr>
        <w:pStyle w:val="EndnoteText"/>
        <w:rPr>
          <w:sz w:val="18"/>
          <w:szCs w:val="18"/>
        </w:rPr>
      </w:pPr>
      <w:r w:rsidRPr="000A1992">
        <w:rPr>
          <w:rStyle w:val="EndnoteReference"/>
          <w:sz w:val="18"/>
          <w:szCs w:val="18"/>
        </w:rPr>
        <w:endnoteRef/>
      </w:r>
      <w:r w:rsidRPr="000A1992">
        <w:rPr>
          <w:sz w:val="18"/>
          <w:szCs w:val="18"/>
        </w:rPr>
        <w:t xml:space="preserve"> </w:t>
      </w:r>
      <w:hyperlink r:id="rId20" w:anchor="Onpublicroads" w:history="1">
        <w:r w:rsidR="00A05243" w:rsidRPr="000A1992">
          <w:rPr>
            <w:rStyle w:val="Hyperlink"/>
            <w:sz w:val="18"/>
            <w:szCs w:val="18"/>
          </w:rPr>
          <w:t>https://www.ato.gov.au/business/fuel-schemes/in-detail/heavy-vehicles/?anchor=Onpublicroads#Onpublicroads</w:t>
        </w:r>
      </w:hyperlink>
    </w:p>
    <w:p w14:paraId="3BA7F009" w14:textId="77777777" w:rsidR="00A05243" w:rsidRPr="000A1992" w:rsidRDefault="00A05243">
      <w:pPr>
        <w:pStyle w:val="EndnoteText"/>
        <w:rPr>
          <w:sz w:val="18"/>
          <w:szCs w:val="18"/>
        </w:rPr>
      </w:pPr>
    </w:p>
  </w:endnote>
  <w:endnote w:id="15">
    <w:p w14:paraId="72D9D502" w14:textId="77777777" w:rsidR="00494C95" w:rsidRPr="000A1992" w:rsidRDefault="00494C95" w:rsidP="00494C95">
      <w:pPr>
        <w:pStyle w:val="EndnoteText"/>
        <w:rPr>
          <w:sz w:val="18"/>
          <w:szCs w:val="18"/>
        </w:rPr>
      </w:pPr>
      <w:r w:rsidRPr="000A1992">
        <w:rPr>
          <w:rStyle w:val="EndnoteReference"/>
          <w:sz w:val="18"/>
          <w:szCs w:val="18"/>
        </w:rPr>
        <w:endnoteRef/>
      </w:r>
      <w:r w:rsidRPr="000A1992">
        <w:rPr>
          <w:sz w:val="18"/>
          <w:szCs w:val="18"/>
        </w:rPr>
        <w:t xml:space="preserve"> Competitive neutrality see e.g. </w:t>
      </w:r>
      <w:hyperlink r:id="rId21" w:history="1">
        <w:r w:rsidRPr="000A1992">
          <w:rPr>
            <w:rStyle w:val="Hyperlink"/>
            <w:sz w:val="18"/>
            <w:szCs w:val="18"/>
          </w:rPr>
          <w:t>https://s3.treasury.qld.gov.au/files/ncp-competitive-neutrality.pdf</w:t>
        </w:r>
      </w:hyperlink>
    </w:p>
    <w:p w14:paraId="29CD980D" w14:textId="77777777" w:rsidR="00494C95" w:rsidRPr="000A1992" w:rsidRDefault="00494C95" w:rsidP="00494C95">
      <w:pPr>
        <w:pStyle w:val="EndnoteText"/>
        <w:rPr>
          <w:sz w:val="18"/>
          <w:szCs w:val="18"/>
        </w:rPr>
      </w:pPr>
    </w:p>
  </w:endnote>
  <w:endnote w:id="16">
    <w:p w14:paraId="4F4EFAF8" w14:textId="77777777" w:rsidR="00494C95" w:rsidRPr="000A1992" w:rsidRDefault="00494C95" w:rsidP="00494C95">
      <w:pPr>
        <w:pStyle w:val="EndnoteText"/>
        <w:rPr>
          <w:sz w:val="18"/>
          <w:szCs w:val="18"/>
        </w:rPr>
      </w:pPr>
      <w:r w:rsidRPr="000A1992">
        <w:rPr>
          <w:rStyle w:val="EndnoteReference"/>
          <w:sz w:val="18"/>
          <w:szCs w:val="18"/>
        </w:rPr>
        <w:endnoteRef/>
      </w:r>
      <w:r w:rsidRPr="000A1992">
        <w:rPr>
          <w:sz w:val="18"/>
          <w:szCs w:val="18"/>
        </w:rPr>
        <w:t xml:space="preserve"> </w:t>
      </w:r>
      <w:hyperlink r:id="rId22" w:history="1">
        <w:r w:rsidRPr="000A1992">
          <w:rPr>
            <w:rStyle w:val="Hyperlink"/>
            <w:sz w:val="18"/>
            <w:szCs w:val="18"/>
          </w:rPr>
          <w:t>https://treasury.gov.au/publication/2017-tax-expenditures-statement</w:t>
        </w:r>
      </w:hyperlink>
    </w:p>
    <w:p w14:paraId="23FEEA8A" w14:textId="77777777" w:rsidR="00494C95" w:rsidRPr="000A1992" w:rsidRDefault="00494C95" w:rsidP="00494C95">
      <w:pPr>
        <w:pStyle w:val="EndnoteText"/>
        <w:rPr>
          <w:sz w:val="18"/>
          <w:szCs w:val="18"/>
        </w:rPr>
      </w:pPr>
    </w:p>
  </w:endnote>
  <w:endnote w:id="17">
    <w:p w14:paraId="05787FEF" w14:textId="77777777" w:rsidR="00494C95" w:rsidRPr="000A1992" w:rsidRDefault="00494C95" w:rsidP="00494C95">
      <w:pPr>
        <w:pStyle w:val="EndnoteText"/>
        <w:rPr>
          <w:sz w:val="18"/>
          <w:szCs w:val="18"/>
        </w:rPr>
      </w:pPr>
      <w:r w:rsidRPr="000A1992">
        <w:rPr>
          <w:rStyle w:val="EndnoteReference"/>
          <w:sz w:val="18"/>
          <w:szCs w:val="18"/>
        </w:rPr>
        <w:endnoteRef/>
      </w:r>
      <w:r w:rsidRPr="000A1992">
        <w:rPr>
          <w:sz w:val="18"/>
          <w:szCs w:val="18"/>
        </w:rPr>
        <w:t xml:space="preserve"> See, for example: </w:t>
      </w:r>
      <w:hyperlink r:id="rId23" w:history="1">
        <w:r w:rsidRPr="000A1992">
          <w:rPr>
            <w:rStyle w:val="Hyperlink"/>
            <w:sz w:val="18"/>
            <w:szCs w:val="18"/>
          </w:rPr>
          <w:t>https://www.accc.gov.au/system/files/ACCC%20Draft%20Decision%20-%20ARTC%E2%80%99s%20March%202021%20variation%20to%20the%20HVAU_0.pdf</w:t>
        </w:r>
      </w:hyperlink>
    </w:p>
    <w:p w14:paraId="7AD0B875" w14:textId="77777777" w:rsidR="00494C95" w:rsidRPr="000A1992" w:rsidRDefault="00494C95" w:rsidP="00494C95">
      <w:pPr>
        <w:pStyle w:val="EndnoteText"/>
        <w:rPr>
          <w:sz w:val="18"/>
          <w:szCs w:val="18"/>
        </w:rPr>
      </w:pPr>
    </w:p>
  </w:endnote>
  <w:endnote w:id="18">
    <w:p w14:paraId="77F456F5" w14:textId="5FDE56CD" w:rsidR="00F76DCD" w:rsidRPr="000A1992" w:rsidRDefault="00D1326E">
      <w:pPr>
        <w:pStyle w:val="EndnoteText"/>
        <w:rPr>
          <w:sz w:val="18"/>
          <w:szCs w:val="18"/>
        </w:rPr>
      </w:pPr>
      <w:r w:rsidRPr="000A1992">
        <w:rPr>
          <w:rStyle w:val="EndnoteReference"/>
          <w:sz w:val="18"/>
          <w:szCs w:val="18"/>
        </w:rPr>
        <w:endnoteRef/>
      </w:r>
      <w:r w:rsidRPr="000A1992">
        <w:rPr>
          <w:sz w:val="18"/>
          <w:szCs w:val="18"/>
        </w:rPr>
        <w:t xml:space="preserve"> </w:t>
      </w:r>
      <w:r w:rsidR="00F76DCD" w:rsidRPr="000A1992">
        <w:rPr>
          <w:sz w:val="18"/>
          <w:szCs w:val="18"/>
        </w:rPr>
        <w:t xml:space="preserve">Even excluding congestion external road costs – implicit subsidies – such as accidents, pollution, loss of amenity can be substantially higher than financial costs see </w:t>
      </w:r>
      <w:r w:rsidR="0013511D" w:rsidRPr="000A1992">
        <w:rPr>
          <w:sz w:val="18"/>
          <w:szCs w:val="18"/>
        </w:rPr>
        <w:t>e.g.,</w:t>
      </w:r>
      <w:r w:rsidR="00F76DCD" w:rsidRPr="000A1992">
        <w:rPr>
          <w:sz w:val="18"/>
          <w:szCs w:val="18"/>
        </w:rPr>
        <w:t xml:space="preserve"> </w:t>
      </w:r>
      <w:hyperlink r:id="rId24" w:history="1">
        <w:r w:rsidR="00F76DCD" w:rsidRPr="000A1992">
          <w:rPr>
            <w:rStyle w:val="Hyperlink"/>
            <w:sz w:val="18"/>
            <w:szCs w:val="18"/>
          </w:rPr>
          <w:t>https://ses.library.usyd.edu.au/bitstream/handle/2123/19237/ITLS-WP-11-17.pdf?sequence=1&amp;isAllowed=y</w:t>
        </w:r>
      </w:hyperlink>
    </w:p>
    <w:p w14:paraId="61CD2B32" w14:textId="11102DAA" w:rsidR="00D1326E" w:rsidRPr="000A1992" w:rsidRDefault="00D92B15">
      <w:pPr>
        <w:pStyle w:val="EndnoteText"/>
        <w:rPr>
          <w:sz w:val="18"/>
          <w:szCs w:val="18"/>
        </w:rPr>
      </w:pPr>
      <w:hyperlink r:id="rId25" w:history="1">
        <w:r w:rsidR="00F76DCD" w:rsidRPr="000A1992">
          <w:rPr>
            <w:rStyle w:val="Hyperlink"/>
            <w:sz w:val="18"/>
            <w:szCs w:val="18"/>
          </w:rPr>
          <w:t>https://www.uow.edu.au/media/2020/transport-is-letting-australia-down-in-the-race-to-cut-emissions.php</w:t>
        </w:r>
      </w:hyperlink>
    </w:p>
    <w:p w14:paraId="43F06B86" w14:textId="77777777" w:rsidR="00010C3A" w:rsidRPr="000A1992" w:rsidRDefault="00010C3A">
      <w:pPr>
        <w:pStyle w:val="EndnoteText"/>
        <w:rPr>
          <w:sz w:val="18"/>
          <w:szCs w:val="18"/>
        </w:rPr>
      </w:pPr>
    </w:p>
  </w:endnote>
  <w:endnote w:id="19">
    <w:p w14:paraId="72EF34D9" w14:textId="4FF48583" w:rsidR="001E2770" w:rsidRPr="000A1992" w:rsidRDefault="001E2770">
      <w:pPr>
        <w:pStyle w:val="EndnoteText"/>
        <w:rPr>
          <w:sz w:val="18"/>
          <w:szCs w:val="18"/>
        </w:rPr>
      </w:pPr>
      <w:r w:rsidRPr="000A1992">
        <w:rPr>
          <w:rStyle w:val="EndnoteReference"/>
          <w:sz w:val="18"/>
          <w:szCs w:val="18"/>
        </w:rPr>
        <w:endnoteRef/>
      </w:r>
      <w:r w:rsidRPr="000A1992">
        <w:rPr>
          <w:sz w:val="18"/>
          <w:szCs w:val="18"/>
        </w:rPr>
        <w:t xml:space="preserve"> For example: </w:t>
      </w:r>
      <w:hyperlink r:id="rId26" w:history="1">
        <w:r w:rsidRPr="000A1992">
          <w:rPr>
            <w:rStyle w:val="Hyperlink"/>
            <w:sz w:val="18"/>
            <w:szCs w:val="18"/>
          </w:rPr>
          <w:t>https://www.abc.net.au/news/2021-04-26/scott-morrison-climate-change-fossil-fuel-subsidies-net-zero/100094506</w:t>
        </w:r>
      </w:hyperlink>
      <w:r w:rsidRPr="000A1992">
        <w:rPr>
          <w:sz w:val="18"/>
          <w:szCs w:val="18"/>
        </w:rPr>
        <w:t>;</w:t>
      </w:r>
    </w:p>
    <w:p w14:paraId="6DA070C5" w14:textId="79C8507B" w:rsidR="001E2770" w:rsidRPr="000A1992" w:rsidRDefault="00D92B15">
      <w:pPr>
        <w:pStyle w:val="EndnoteText"/>
        <w:rPr>
          <w:sz w:val="18"/>
          <w:szCs w:val="18"/>
        </w:rPr>
      </w:pPr>
      <w:hyperlink r:id="rId27" w:history="1">
        <w:r w:rsidR="001E2770" w:rsidRPr="000A1992">
          <w:rPr>
            <w:rStyle w:val="Hyperlink"/>
            <w:sz w:val="18"/>
            <w:szCs w:val="18"/>
          </w:rPr>
          <w:t>https://www.michaelwest.com.au/government-fossil-fuel-subsidies-top-10b-a-year/</w:t>
        </w:r>
      </w:hyperlink>
    </w:p>
    <w:p w14:paraId="272914EA" w14:textId="77777777" w:rsidR="001E2770" w:rsidRPr="000A1992" w:rsidRDefault="001E2770">
      <w:pPr>
        <w:pStyle w:val="EndnoteText"/>
        <w:rPr>
          <w:sz w:val="18"/>
          <w:szCs w:val="18"/>
        </w:rPr>
      </w:pPr>
    </w:p>
  </w:endnote>
  <w:endnote w:id="20">
    <w:p w14:paraId="47AFD1F8" w14:textId="77777777" w:rsidR="00CF61A0" w:rsidRPr="000A1992" w:rsidRDefault="00577E14" w:rsidP="00CF61A0">
      <w:pPr>
        <w:spacing w:after="0"/>
        <w:rPr>
          <w:rFonts w:cstheme="minorHAnsi"/>
          <w:i/>
          <w:iCs/>
          <w:sz w:val="18"/>
          <w:szCs w:val="18"/>
        </w:rPr>
      </w:pPr>
      <w:r w:rsidRPr="000A1992">
        <w:rPr>
          <w:rStyle w:val="EndnoteReference"/>
          <w:sz w:val="18"/>
          <w:szCs w:val="18"/>
        </w:rPr>
        <w:endnoteRef/>
      </w:r>
      <w:r w:rsidRPr="000A1992">
        <w:rPr>
          <w:sz w:val="18"/>
          <w:szCs w:val="18"/>
        </w:rPr>
        <w:t xml:space="preserve"> </w:t>
      </w:r>
      <w:r w:rsidR="00BA4212" w:rsidRPr="000A1992">
        <w:rPr>
          <w:sz w:val="18"/>
          <w:szCs w:val="18"/>
        </w:rPr>
        <w:t xml:space="preserve">Not for the first time: </w:t>
      </w:r>
      <w:r w:rsidR="00603B00" w:rsidRPr="000A1992">
        <w:rPr>
          <w:sz w:val="18"/>
          <w:szCs w:val="18"/>
        </w:rPr>
        <w:t xml:space="preserve">see </w:t>
      </w:r>
      <w:r w:rsidR="00CF61A0" w:rsidRPr="000A1992">
        <w:rPr>
          <w:sz w:val="18"/>
          <w:szCs w:val="18"/>
        </w:rPr>
        <w:t xml:space="preserve">for example the ‘arson’ v. climate change presentation by Media Watch, February 2020 at </w:t>
      </w:r>
      <w:hyperlink r:id="rId28" w:history="1">
        <w:r w:rsidR="00CF61A0" w:rsidRPr="000A1992">
          <w:rPr>
            <w:rStyle w:val="Hyperlink"/>
            <w:sz w:val="18"/>
            <w:szCs w:val="18"/>
          </w:rPr>
          <w:t>https://www.thejadebeagle.com/media-botch.html e.g</w:t>
        </w:r>
      </w:hyperlink>
      <w:r w:rsidR="00CF61A0" w:rsidRPr="000A1992">
        <w:rPr>
          <w:sz w:val="18"/>
          <w:szCs w:val="18"/>
        </w:rPr>
        <w:t xml:space="preserve">. </w:t>
      </w:r>
      <w:r w:rsidR="00CF61A0" w:rsidRPr="000A1992">
        <w:rPr>
          <w:i/>
          <w:iCs/>
          <w:sz w:val="18"/>
          <w:szCs w:val="18"/>
        </w:rPr>
        <w:t>‘</w:t>
      </w:r>
      <w:r w:rsidR="00CF61A0" w:rsidRPr="000A1992">
        <w:rPr>
          <w:rFonts w:cstheme="minorHAnsi"/>
          <w:i/>
          <w:iCs/>
          <w:sz w:val="18"/>
          <w:szCs w:val="18"/>
        </w:rPr>
        <w:t xml:space="preserve">Media Watch then asked: ‘So was arson actually responsible for any of the big fires?’  It misled the audience to believe ‘no’.  It first cited: ‘On 9 January, Victorian Police said no’.  </w:t>
      </w:r>
    </w:p>
    <w:p w14:paraId="5BC073CB" w14:textId="71EAAB17" w:rsidR="00BA4212" w:rsidRPr="000A1992" w:rsidRDefault="00CF61A0" w:rsidP="00CF61A0">
      <w:pPr>
        <w:spacing w:after="0"/>
        <w:rPr>
          <w:i/>
          <w:iCs/>
          <w:sz w:val="18"/>
          <w:szCs w:val="18"/>
        </w:rPr>
      </w:pPr>
      <w:r w:rsidRPr="000A1992">
        <w:rPr>
          <w:rFonts w:cstheme="minorHAnsi"/>
          <w:i/>
          <w:iCs/>
          <w:sz w:val="18"/>
          <w:szCs w:val="18"/>
        </w:rPr>
        <w:t>This omitted the opinions of the police in NSW where most of the big fires were.  That omission is significant because by the time of the February episode the NSW police had (re)established a taskforce to investigate the causes of the fire ignitions, suggesting suspicion there were undetected cases of arson.   Despite this being widely reported, it escaped mention…..’</w:t>
      </w:r>
    </w:p>
    <w:p w14:paraId="4FC863EB" w14:textId="2DF4A9BE" w:rsidR="00577E14" w:rsidRPr="000A1992" w:rsidRDefault="00D92B15">
      <w:pPr>
        <w:pStyle w:val="EndnoteText"/>
        <w:rPr>
          <w:sz w:val="18"/>
          <w:szCs w:val="18"/>
        </w:rPr>
      </w:pPr>
      <w:hyperlink r:id="rId29" w:history="1">
        <w:r w:rsidR="00BA4212" w:rsidRPr="000A1992">
          <w:rPr>
            <w:rStyle w:val="Hyperlink"/>
            <w:sz w:val="18"/>
            <w:szCs w:val="18"/>
          </w:rPr>
          <w:t>https://www.abc.net.au/news/2021-04-26/scott-morrison-climate-change-fossil-fuel-subsidies-net-zero/100094506</w:t>
        </w:r>
      </w:hyperlink>
    </w:p>
    <w:p w14:paraId="2EC19A34" w14:textId="3539D3C7" w:rsidR="00577E14" w:rsidRPr="000A1992" w:rsidRDefault="00D92B15">
      <w:pPr>
        <w:pStyle w:val="EndnoteText"/>
        <w:rPr>
          <w:sz w:val="18"/>
          <w:szCs w:val="18"/>
        </w:rPr>
      </w:pPr>
      <w:hyperlink r:id="rId30" w:history="1">
        <w:r w:rsidR="00577E14" w:rsidRPr="000A1992">
          <w:rPr>
            <w:rStyle w:val="Hyperlink"/>
            <w:sz w:val="18"/>
            <w:szCs w:val="18"/>
          </w:rPr>
          <w:t>https://www.abc.net.au/news/2020-07-29/fact-check-matt-canavan-fossil-fuel-industry-subsidies/12496310</w:t>
        </w:r>
      </w:hyperlink>
    </w:p>
    <w:p w14:paraId="7A8D6B1A" w14:textId="77777777" w:rsidR="00577E14" w:rsidRPr="000A1992" w:rsidRDefault="00577E14">
      <w:pPr>
        <w:pStyle w:val="EndnoteText"/>
        <w:rPr>
          <w:sz w:val="18"/>
          <w:szCs w:val="18"/>
        </w:rPr>
      </w:pPr>
    </w:p>
  </w:endnote>
  <w:endnote w:id="21">
    <w:p w14:paraId="52FC0809" w14:textId="58B1F7FD" w:rsidR="00577E14" w:rsidRPr="000A1992" w:rsidRDefault="00577E14">
      <w:pPr>
        <w:pStyle w:val="EndnoteText"/>
        <w:rPr>
          <w:sz w:val="18"/>
          <w:szCs w:val="18"/>
        </w:rPr>
      </w:pPr>
      <w:r w:rsidRPr="000A1992">
        <w:rPr>
          <w:rStyle w:val="EndnoteReference"/>
          <w:sz w:val="18"/>
          <w:szCs w:val="18"/>
        </w:rPr>
        <w:endnoteRef/>
      </w:r>
      <w:r w:rsidRPr="000A1992">
        <w:rPr>
          <w:sz w:val="18"/>
          <w:szCs w:val="18"/>
        </w:rPr>
        <w:t xml:space="preserve"> </w:t>
      </w:r>
      <w:hyperlink r:id="rId31" w:history="1">
        <w:r w:rsidRPr="000A1992">
          <w:rPr>
            <w:rStyle w:val="Hyperlink"/>
            <w:sz w:val="18"/>
            <w:szCs w:val="18"/>
          </w:rPr>
          <w:t>https://www.thejadebeagle.com/election-2019.html</w:t>
        </w:r>
      </w:hyperlink>
    </w:p>
    <w:p w14:paraId="259D034C" w14:textId="77777777" w:rsidR="00577E14" w:rsidRPr="000A1992" w:rsidRDefault="00577E14">
      <w:pPr>
        <w:pStyle w:val="EndnoteText"/>
        <w:rPr>
          <w:sz w:val="18"/>
          <w:szCs w:val="18"/>
        </w:rPr>
      </w:pPr>
    </w:p>
  </w:endnote>
  <w:endnote w:id="22">
    <w:p w14:paraId="7B707EA4" w14:textId="471423ED" w:rsidR="00D33E21" w:rsidRPr="000A1992" w:rsidRDefault="00D33E21">
      <w:pPr>
        <w:pStyle w:val="EndnoteText"/>
        <w:rPr>
          <w:sz w:val="18"/>
          <w:szCs w:val="18"/>
        </w:rPr>
      </w:pPr>
      <w:r w:rsidRPr="000A1992">
        <w:rPr>
          <w:rStyle w:val="EndnoteReference"/>
          <w:sz w:val="18"/>
          <w:szCs w:val="18"/>
        </w:rPr>
        <w:endnoteRef/>
      </w:r>
      <w:r w:rsidRPr="000A1992">
        <w:rPr>
          <w:sz w:val="18"/>
          <w:szCs w:val="18"/>
        </w:rPr>
        <w:t xml:space="preserve"> </w:t>
      </w:r>
      <w:hyperlink r:id="rId32" w:history="1">
        <w:r w:rsidRPr="000A1992">
          <w:rPr>
            <w:rStyle w:val="Hyperlink"/>
            <w:sz w:val="18"/>
            <w:szCs w:val="18"/>
          </w:rPr>
          <w:t>https://www.thejadebeagle.com/emergencies---tinpot-series.html</w:t>
        </w:r>
      </w:hyperlink>
    </w:p>
    <w:p w14:paraId="73200DE4" w14:textId="77777777" w:rsidR="00D33E21" w:rsidRPr="000A1992" w:rsidRDefault="00D33E21">
      <w:pPr>
        <w:pStyle w:val="EndnoteText"/>
        <w:rPr>
          <w:sz w:val="18"/>
          <w:szCs w:val="18"/>
        </w:rPr>
      </w:pPr>
    </w:p>
  </w:endnote>
  <w:endnote w:id="23">
    <w:p w14:paraId="22CB11DD" w14:textId="66A5D73C" w:rsidR="00D33E21" w:rsidRPr="000A1992" w:rsidRDefault="00D33E21">
      <w:pPr>
        <w:pStyle w:val="EndnoteText"/>
        <w:rPr>
          <w:sz w:val="18"/>
          <w:szCs w:val="18"/>
        </w:rPr>
      </w:pPr>
      <w:r w:rsidRPr="000A1992">
        <w:rPr>
          <w:rStyle w:val="EndnoteReference"/>
          <w:sz w:val="18"/>
          <w:szCs w:val="18"/>
        </w:rPr>
        <w:endnoteRef/>
      </w:r>
      <w:r w:rsidRPr="000A1992">
        <w:rPr>
          <w:sz w:val="18"/>
          <w:szCs w:val="18"/>
        </w:rPr>
        <w:t xml:space="preserve"> </w:t>
      </w:r>
      <w:hyperlink r:id="rId33" w:history="1">
        <w:r w:rsidRPr="000A1992">
          <w:rPr>
            <w:rStyle w:val="Hyperlink"/>
            <w:sz w:val="18"/>
            <w:szCs w:val="18"/>
          </w:rPr>
          <w:t>https://www.thejadebeagle.com/acrpa.html</w:t>
        </w:r>
      </w:hyperlink>
    </w:p>
    <w:p w14:paraId="22E27402" w14:textId="77777777" w:rsidR="00D33E21" w:rsidRPr="000A1992" w:rsidRDefault="00D33E21">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B397" w14:textId="77777777" w:rsidR="00B95601" w:rsidRDefault="00B9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97337"/>
      <w:docPartObj>
        <w:docPartGallery w:val="Page Numbers (Bottom of Page)"/>
        <w:docPartUnique/>
      </w:docPartObj>
    </w:sdtPr>
    <w:sdtEndPr>
      <w:rPr>
        <w:noProof/>
      </w:rPr>
    </w:sdtEndPr>
    <w:sdtContent>
      <w:p w14:paraId="6BD11A32" w14:textId="66028189" w:rsidR="00B95601" w:rsidRDefault="00B95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F3500" w14:textId="77777777" w:rsidR="00B95601" w:rsidRDefault="00B95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8D35" w14:textId="77777777" w:rsidR="00B95601" w:rsidRDefault="00B9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F3C" w14:textId="77777777" w:rsidR="00D92B15" w:rsidRDefault="00D92B15" w:rsidP="00EA1C64">
      <w:pPr>
        <w:spacing w:after="0" w:line="240" w:lineRule="auto"/>
      </w:pPr>
      <w:r>
        <w:separator/>
      </w:r>
    </w:p>
  </w:footnote>
  <w:footnote w:type="continuationSeparator" w:id="0">
    <w:p w14:paraId="6D4A1FE8" w14:textId="77777777" w:rsidR="00D92B15" w:rsidRDefault="00D92B15" w:rsidP="00EA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F7C0" w14:textId="77777777" w:rsidR="00B95601" w:rsidRDefault="00B9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BAB7" w14:textId="77777777" w:rsidR="00B95601" w:rsidRDefault="00B95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2E03" w14:textId="77777777" w:rsidR="00B95601" w:rsidRDefault="00B95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FA8"/>
    <w:multiLevelType w:val="hybridMultilevel"/>
    <w:tmpl w:val="C0BEC7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E6200B"/>
    <w:multiLevelType w:val="hybridMultilevel"/>
    <w:tmpl w:val="EE32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874B92"/>
    <w:multiLevelType w:val="hybridMultilevel"/>
    <w:tmpl w:val="E544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576DF6"/>
    <w:multiLevelType w:val="hybridMultilevel"/>
    <w:tmpl w:val="77B015D6"/>
    <w:lvl w:ilvl="0" w:tplc="86A022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60522F5"/>
    <w:multiLevelType w:val="hybridMultilevel"/>
    <w:tmpl w:val="3AD20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915872"/>
    <w:multiLevelType w:val="hybridMultilevel"/>
    <w:tmpl w:val="6F84A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70"/>
    <w:rsid w:val="000026AD"/>
    <w:rsid w:val="00010C3A"/>
    <w:rsid w:val="000148A0"/>
    <w:rsid w:val="00042134"/>
    <w:rsid w:val="000677CC"/>
    <w:rsid w:val="00082317"/>
    <w:rsid w:val="00083F97"/>
    <w:rsid w:val="000A1992"/>
    <w:rsid w:val="000D24D4"/>
    <w:rsid w:val="001114CE"/>
    <w:rsid w:val="001245FF"/>
    <w:rsid w:val="0013511D"/>
    <w:rsid w:val="00170F9F"/>
    <w:rsid w:val="001978B2"/>
    <w:rsid w:val="001A1E07"/>
    <w:rsid w:val="001A775B"/>
    <w:rsid w:val="001C29F6"/>
    <w:rsid w:val="001D3C7B"/>
    <w:rsid w:val="001E2770"/>
    <w:rsid w:val="001F199D"/>
    <w:rsid w:val="001F3335"/>
    <w:rsid w:val="00200BDF"/>
    <w:rsid w:val="0021237F"/>
    <w:rsid w:val="00214329"/>
    <w:rsid w:val="002237D0"/>
    <w:rsid w:val="00225F2E"/>
    <w:rsid w:val="00264514"/>
    <w:rsid w:val="0026722A"/>
    <w:rsid w:val="00274FE4"/>
    <w:rsid w:val="00275786"/>
    <w:rsid w:val="0027584E"/>
    <w:rsid w:val="002861F1"/>
    <w:rsid w:val="00296927"/>
    <w:rsid w:val="002C1EE7"/>
    <w:rsid w:val="002E4664"/>
    <w:rsid w:val="00351B24"/>
    <w:rsid w:val="003B1501"/>
    <w:rsid w:val="00400B59"/>
    <w:rsid w:val="00400EA2"/>
    <w:rsid w:val="004160D5"/>
    <w:rsid w:val="004269C9"/>
    <w:rsid w:val="004362AC"/>
    <w:rsid w:val="00437A16"/>
    <w:rsid w:val="00440B37"/>
    <w:rsid w:val="00456B88"/>
    <w:rsid w:val="0046389E"/>
    <w:rsid w:val="004708A6"/>
    <w:rsid w:val="00481EA6"/>
    <w:rsid w:val="00494C95"/>
    <w:rsid w:val="0052252C"/>
    <w:rsid w:val="00577E14"/>
    <w:rsid w:val="005B7119"/>
    <w:rsid w:val="00603B00"/>
    <w:rsid w:val="006076AE"/>
    <w:rsid w:val="0061569D"/>
    <w:rsid w:val="006158B5"/>
    <w:rsid w:val="00663B37"/>
    <w:rsid w:val="00695ABA"/>
    <w:rsid w:val="006C32CA"/>
    <w:rsid w:val="006D3726"/>
    <w:rsid w:val="006E4DC8"/>
    <w:rsid w:val="006E53A7"/>
    <w:rsid w:val="00737181"/>
    <w:rsid w:val="00746273"/>
    <w:rsid w:val="00752AA3"/>
    <w:rsid w:val="00771DF0"/>
    <w:rsid w:val="007733BD"/>
    <w:rsid w:val="00774451"/>
    <w:rsid w:val="007931A5"/>
    <w:rsid w:val="00796F7D"/>
    <w:rsid w:val="007B1F84"/>
    <w:rsid w:val="007B2B29"/>
    <w:rsid w:val="007E543B"/>
    <w:rsid w:val="007E73B0"/>
    <w:rsid w:val="007F5F97"/>
    <w:rsid w:val="0080591F"/>
    <w:rsid w:val="0081370E"/>
    <w:rsid w:val="00821BB1"/>
    <w:rsid w:val="00830066"/>
    <w:rsid w:val="008312E0"/>
    <w:rsid w:val="008659E6"/>
    <w:rsid w:val="00887426"/>
    <w:rsid w:val="008959F2"/>
    <w:rsid w:val="008A5FBA"/>
    <w:rsid w:val="008A7DE1"/>
    <w:rsid w:val="008B5DCF"/>
    <w:rsid w:val="008D0324"/>
    <w:rsid w:val="008F5BF1"/>
    <w:rsid w:val="00903D8A"/>
    <w:rsid w:val="00910750"/>
    <w:rsid w:val="0091533B"/>
    <w:rsid w:val="009169A0"/>
    <w:rsid w:val="009215A2"/>
    <w:rsid w:val="00930B43"/>
    <w:rsid w:val="00944FDF"/>
    <w:rsid w:val="00992BD0"/>
    <w:rsid w:val="009B7DBC"/>
    <w:rsid w:val="009D7A85"/>
    <w:rsid w:val="009E236F"/>
    <w:rsid w:val="009E49E8"/>
    <w:rsid w:val="009E5D70"/>
    <w:rsid w:val="009E60B5"/>
    <w:rsid w:val="009F1C62"/>
    <w:rsid w:val="009F70D1"/>
    <w:rsid w:val="00A0069E"/>
    <w:rsid w:val="00A05243"/>
    <w:rsid w:val="00A21AC9"/>
    <w:rsid w:val="00A275E4"/>
    <w:rsid w:val="00A35696"/>
    <w:rsid w:val="00A60C28"/>
    <w:rsid w:val="00A630A4"/>
    <w:rsid w:val="00A976EA"/>
    <w:rsid w:val="00AA0AA5"/>
    <w:rsid w:val="00AB2A41"/>
    <w:rsid w:val="00AC2096"/>
    <w:rsid w:val="00AE396E"/>
    <w:rsid w:val="00AF6D40"/>
    <w:rsid w:val="00AF6E2D"/>
    <w:rsid w:val="00B14AAD"/>
    <w:rsid w:val="00B20023"/>
    <w:rsid w:val="00B318C1"/>
    <w:rsid w:val="00B3739C"/>
    <w:rsid w:val="00B47732"/>
    <w:rsid w:val="00B503FE"/>
    <w:rsid w:val="00B55C6B"/>
    <w:rsid w:val="00B60E2A"/>
    <w:rsid w:val="00B83DFE"/>
    <w:rsid w:val="00B95601"/>
    <w:rsid w:val="00BA4212"/>
    <w:rsid w:val="00BF5C93"/>
    <w:rsid w:val="00C32264"/>
    <w:rsid w:val="00C47EB1"/>
    <w:rsid w:val="00C53DF9"/>
    <w:rsid w:val="00C8699B"/>
    <w:rsid w:val="00C87CE4"/>
    <w:rsid w:val="00CB1D8A"/>
    <w:rsid w:val="00CB49CF"/>
    <w:rsid w:val="00CC5256"/>
    <w:rsid w:val="00CE5885"/>
    <w:rsid w:val="00CF61A0"/>
    <w:rsid w:val="00D0386F"/>
    <w:rsid w:val="00D07331"/>
    <w:rsid w:val="00D1326E"/>
    <w:rsid w:val="00D32C6C"/>
    <w:rsid w:val="00D33E21"/>
    <w:rsid w:val="00D92B15"/>
    <w:rsid w:val="00DA066E"/>
    <w:rsid w:val="00DB155D"/>
    <w:rsid w:val="00E01281"/>
    <w:rsid w:val="00E11194"/>
    <w:rsid w:val="00E32057"/>
    <w:rsid w:val="00E5030C"/>
    <w:rsid w:val="00E60716"/>
    <w:rsid w:val="00E64E93"/>
    <w:rsid w:val="00E73EE5"/>
    <w:rsid w:val="00E87E3B"/>
    <w:rsid w:val="00EA1C64"/>
    <w:rsid w:val="00EA4739"/>
    <w:rsid w:val="00EB0476"/>
    <w:rsid w:val="00EB681D"/>
    <w:rsid w:val="00EC5DD3"/>
    <w:rsid w:val="00EC7858"/>
    <w:rsid w:val="00EC7E12"/>
    <w:rsid w:val="00EF7827"/>
    <w:rsid w:val="00F00B6A"/>
    <w:rsid w:val="00F209F4"/>
    <w:rsid w:val="00F40573"/>
    <w:rsid w:val="00F6408D"/>
    <w:rsid w:val="00F76DCD"/>
    <w:rsid w:val="00F84FD5"/>
    <w:rsid w:val="00FA6E7B"/>
    <w:rsid w:val="00FC4C8B"/>
    <w:rsid w:val="00FE52C7"/>
    <w:rsid w:val="00FF3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051B"/>
  <w15:chartTrackingRefBased/>
  <w15:docId w15:val="{F8B9E73D-A341-4F2D-8517-EC36861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F7D"/>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96F7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96F7D"/>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F7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796F7D"/>
    <w:rPr>
      <w:rFonts w:eastAsiaTheme="majorEastAsia" w:cstheme="majorBidi"/>
      <w:b/>
      <w:color w:val="2F5496" w:themeColor="accent1" w:themeShade="BF"/>
      <w:sz w:val="26"/>
      <w:szCs w:val="26"/>
    </w:rPr>
  </w:style>
  <w:style w:type="paragraph" w:styleId="EndnoteText">
    <w:name w:val="endnote text"/>
    <w:basedOn w:val="Normal"/>
    <w:link w:val="EndnoteTextChar"/>
    <w:uiPriority w:val="99"/>
    <w:semiHidden/>
    <w:unhideWhenUsed/>
    <w:rsid w:val="00EA1C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1C64"/>
    <w:rPr>
      <w:sz w:val="20"/>
      <w:szCs w:val="20"/>
    </w:rPr>
  </w:style>
  <w:style w:type="character" w:styleId="EndnoteReference">
    <w:name w:val="endnote reference"/>
    <w:basedOn w:val="DefaultParagraphFont"/>
    <w:uiPriority w:val="99"/>
    <w:semiHidden/>
    <w:unhideWhenUsed/>
    <w:rsid w:val="00EA1C64"/>
    <w:rPr>
      <w:vertAlign w:val="superscript"/>
    </w:rPr>
  </w:style>
  <w:style w:type="character" w:styleId="Hyperlink">
    <w:name w:val="Hyperlink"/>
    <w:basedOn w:val="DefaultParagraphFont"/>
    <w:uiPriority w:val="99"/>
    <w:unhideWhenUsed/>
    <w:rsid w:val="00EA1C64"/>
    <w:rPr>
      <w:color w:val="0563C1" w:themeColor="hyperlink"/>
      <w:u w:val="single"/>
    </w:rPr>
  </w:style>
  <w:style w:type="character" w:styleId="UnresolvedMention">
    <w:name w:val="Unresolved Mention"/>
    <w:basedOn w:val="DefaultParagraphFont"/>
    <w:uiPriority w:val="99"/>
    <w:semiHidden/>
    <w:unhideWhenUsed/>
    <w:rsid w:val="00EA1C64"/>
    <w:rPr>
      <w:color w:val="605E5C"/>
      <w:shd w:val="clear" w:color="auto" w:fill="E1DFDD"/>
    </w:rPr>
  </w:style>
  <w:style w:type="paragraph" w:styleId="ListParagraph">
    <w:name w:val="List Paragraph"/>
    <w:basedOn w:val="Normal"/>
    <w:uiPriority w:val="34"/>
    <w:qFormat/>
    <w:rsid w:val="00A35696"/>
    <w:pPr>
      <w:ind w:left="720"/>
      <w:contextualSpacing/>
    </w:pPr>
  </w:style>
  <w:style w:type="paragraph" w:styleId="Header">
    <w:name w:val="header"/>
    <w:basedOn w:val="Normal"/>
    <w:link w:val="HeaderChar"/>
    <w:uiPriority w:val="99"/>
    <w:unhideWhenUsed/>
    <w:rsid w:val="00B95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01"/>
  </w:style>
  <w:style w:type="paragraph" w:styleId="Footer">
    <w:name w:val="footer"/>
    <w:basedOn w:val="Normal"/>
    <w:link w:val="FooterChar"/>
    <w:uiPriority w:val="99"/>
    <w:unhideWhenUsed/>
    <w:rsid w:val="00B95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01"/>
  </w:style>
  <w:style w:type="character" w:customStyle="1" w:styleId="Heading3Char">
    <w:name w:val="Heading 3 Char"/>
    <w:basedOn w:val="DefaultParagraphFont"/>
    <w:link w:val="Heading3"/>
    <w:uiPriority w:val="9"/>
    <w:rsid w:val="00796F7D"/>
    <w:rPr>
      <w:rFonts w:eastAsiaTheme="majorEastAsia" w:cstheme="majorBidi"/>
      <w:color w:val="1F3763" w:themeColor="accent1" w:themeShade="7F"/>
      <w:sz w:val="24"/>
      <w:szCs w:val="24"/>
    </w:rPr>
  </w:style>
  <w:style w:type="paragraph" w:styleId="TOCHeading">
    <w:name w:val="TOC Heading"/>
    <w:basedOn w:val="Heading1"/>
    <w:next w:val="Normal"/>
    <w:uiPriority w:val="39"/>
    <w:unhideWhenUsed/>
    <w:qFormat/>
    <w:rsid w:val="00400B59"/>
    <w:pPr>
      <w:outlineLvl w:val="9"/>
    </w:pPr>
    <w:rPr>
      <w:rFonts w:asciiTheme="majorHAnsi" w:hAnsiTheme="majorHAnsi"/>
      <w:b w:val="0"/>
      <w:lang w:val="en-US"/>
    </w:rPr>
  </w:style>
  <w:style w:type="paragraph" w:styleId="TOC1">
    <w:name w:val="toc 1"/>
    <w:basedOn w:val="Normal"/>
    <w:next w:val="Normal"/>
    <w:autoRedefine/>
    <w:uiPriority w:val="39"/>
    <w:unhideWhenUsed/>
    <w:rsid w:val="00400B59"/>
    <w:pPr>
      <w:spacing w:after="100"/>
    </w:pPr>
  </w:style>
  <w:style w:type="paragraph" w:styleId="TOC2">
    <w:name w:val="toc 2"/>
    <w:basedOn w:val="Normal"/>
    <w:next w:val="Normal"/>
    <w:autoRedefine/>
    <w:uiPriority w:val="39"/>
    <w:unhideWhenUsed/>
    <w:rsid w:val="00400B59"/>
    <w:pPr>
      <w:spacing w:after="100"/>
      <w:ind w:left="220"/>
    </w:pPr>
  </w:style>
  <w:style w:type="paragraph" w:styleId="TOC3">
    <w:name w:val="toc 3"/>
    <w:basedOn w:val="Normal"/>
    <w:next w:val="Normal"/>
    <w:autoRedefine/>
    <w:uiPriority w:val="39"/>
    <w:unhideWhenUsed/>
    <w:rsid w:val="00400B59"/>
    <w:pPr>
      <w:spacing w:after="100"/>
      <w:ind w:left="440"/>
    </w:pPr>
  </w:style>
  <w:style w:type="table" w:styleId="TableGrid">
    <w:name w:val="Table Grid"/>
    <w:basedOn w:val="TableNormal"/>
    <w:uiPriority w:val="39"/>
    <w:rsid w:val="00A0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2535">
      <w:bodyDiv w:val="1"/>
      <w:marLeft w:val="0"/>
      <w:marRight w:val="0"/>
      <w:marTop w:val="0"/>
      <w:marBottom w:val="0"/>
      <w:divBdr>
        <w:top w:val="none" w:sz="0" w:space="0" w:color="auto"/>
        <w:left w:val="none" w:sz="0" w:space="0" w:color="auto"/>
        <w:bottom w:val="none" w:sz="0" w:space="0" w:color="auto"/>
        <w:right w:val="none" w:sz="0" w:space="0" w:color="auto"/>
      </w:divBdr>
    </w:div>
    <w:div w:id="982546187">
      <w:bodyDiv w:val="1"/>
      <w:marLeft w:val="0"/>
      <w:marRight w:val="0"/>
      <w:marTop w:val="0"/>
      <w:marBottom w:val="0"/>
      <w:divBdr>
        <w:top w:val="none" w:sz="0" w:space="0" w:color="auto"/>
        <w:left w:val="none" w:sz="0" w:space="0" w:color="auto"/>
        <w:bottom w:val="none" w:sz="0" w:space="0" w:color="auto"/>
        <w:right w:val="none" w:sz="0" w:space="0" w:color="auto"/>
      </w:divBdr>
      <w:divsChild>
        <w:div w:id="91752043">
          <w:marLeft w:val="0"/>
          <w:marRight w:val="0"/>
          <w:marTop w:val="0"/>
          <w:marBottom w:val="0"/>
          <w:divBdr>
            <w:top w:val="none" w:sz="0" w:space="0" w:color="auto"/>
            <w:left w:val="none" w:sz="0" w:space="0" w:color="auto"/>
            <w:bottom w:val="none" w:sz="0" w:space="0" w:color="auto"/>
            <w:right w:val="none" w:sz="0" w:space="0" w:color="auto"/>
          </w:divBdr>
        </w:div>
        <w:div w:id="647788831">
          <w:marLeft w:val="0"/>
          <w:marRight w:val="0"/>
          <w:marTop w:val="120"/>
          <w:marBottom w:val="0"/>
          <w:divBdr>
            <w:top w:val="none" w:sz="0" w:space="0" w:color="auto"/>
            <w:left w:val="none" w:sz="0" w:space="0" w:color="auto"/>
            <w:bottom w:val="none" w:sz="0" w:space="0" w:color="auto"/>
            <w:right w:val="none" w:sz="0" w:space="0" w:color="auto"/>
          </w:divBdr>
          <w:divsChild>
            <w:div w:id="1322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bitre.gov.au/publications/2019/yearbook_2019" TargetMode="External"/><Relationship Id="rId13" Type="http://schemas.openxmlformats.org/officeDocument/2006/relationships/hyperlink" Target="https://www.crikey.com.au/2020/08/07/matt-canavan-fossil-fuel/" TargetMode="External"/><Relationship Id="rId18" Type="http://schemas.openxmlformats.org/officeDocument/2006/relationships/hyperlink" Target="https://www.smh.com.au/environment/climate-change/much-weaker-outlook-for-coal-slashed-expected-nsw-mining-royalties-20201117-p56fdr.html" TargetMode="External"/><Relationship Id="rId26" Type="http://schemas.openxmlformats.org/officeDocument/2006/relationships/hyperlink" Target="https://www.abc.net.au/news/2021-04-26/scott-morrison-climate-change-fossil-fuel-subsidies-net-zero/100094506" TargetMode="External"/><Relationship Id="rId3" Type="http://schemas.openxmlformats.org/officeDocument/2006/relationships/hyperlink" Target="https://australiainstitute.org.au/report/fossil-fuel-subsidies-in-australia/" TargetMode="External"/><Relationship Id="rId21" Type="http://schemas.openxmlformats.org/officeDocument/2006/relationships/hyperlink" Target="https://s3.treasury.qld.gov.au/files/ncp-competitive-neutrality.pdf" TargetMode="External"/><Relationship Id="rId7" Type="http://schemas.openxmlformats.org/officeDocument/2006/relationships/hyperlink" Target="https://www.thejadebeagle.com/road-reform.html" TargetMode="External"/><Relationship Id="rId12" Type="http://schemas.openxmlformats.org/officeDocument/2006/relationships/hyperlink" Target="https://www.pc.gov.au/research/ongoing/trade-assistance/2018-19" TargetMode="External"/><Relationship Id="rId17" Type="http://schemas.openxmlformats.org/officeDocument/2006/relationships/hyperlink" Target="https://budget.qld.gov.au/files/BP2_4_Revenue.pdf" TargetMode="External"/><Relationship Id="rId25" Type="http://schemas.openxmlformats.org/officeDocument/2006/relationships/hyperlink" Target="https://www.uow.edu.au/media/2020/transport-is-letting-australia-down-in-the-race-to-cut-emissions.php" TargetMode="External"/><Relationship Id="rId33" Type="http://schemas.openxmlformats.org/officeDocument/2006/relationships/hyperlink" Target="https://www.thejadebeagle.com/acrpa.html" TargetMode="External"/><Relationship Id="rId2" Type="http://schemas.openxmlformats.org/officeDocument/2006/relationships/hyperlink" Target="https://www.thejadebeagle.com/if-only-governments-spent-what-they-collected-from-roads.html" TargetMode="External"/><Relationship Id="rId16" Type="http://schemas.openxmlformats.org/officeDocument/2006/relationships/hyperlink" Target="https://www.treasury.nsw.gov.au/sites/default/files/2020-11/Budget%20Paper%20No.%201%20-%20Budget%20Statement%20-%202020-21%20Budget.pdf" TargetMode="External"/><Relationship Id="rId20" Type="http://schemas.openxmlformats.org/officeDocument/2006/relationships/hyperlink" Target="https://www.ato.gov.au/business/fuel-schemes/in-detail/heavy-vehicles/?anchor=Onpublicroads" TargetMode="External"/><Relationship Id="rId29" Type="http://schemas.openxmlformats.org/officeDocument/2006/relationships/hyperlink" Target="https://www.abc.net.au/news/2021-04-26/scott-morrison-climate-change-fossil-fuel-subsidies-net-zero/100094506" TargetMode="External"/><Relationship Id="rId1" Type="http://schemas.openxmlformats.org/officeDocument/2006/relationships/hyperlink" Target="https://johnmenadue.com/fools-paradise-independent-advisers-promote-lie-that-transport-infrastructure-can-lead-a-covid-recovery/" TargetMode="External"/><Relationship Id="rId6" Type="http://schemas.openxmlformats.org/officeDocument/2006/relationships/hyperlink" Target="https://www.thejadebeagle.com/if-only-governments-spent-what-they-collected-from-roads.html" TargetMode="External"/><Relationship Id="rId11" Type="http://schemas.openxmlformats.org/officeDocument/2006/relationships/hyperlink" Target="https://www.thejadebeagle.com/williams-case.html" TargetMode="External"/><Relationship Id="rId24" Type="http://schemas.openxmlformats.org/officeDocument/2006/relationships/hyperlink" Target="https://ses.library.usyd.edu.au/bitstream/handle/2123/19237/ITLS-WP-11-17.pdf?sequence=1&amp;isAllowed=y" TargetMode="External"/><Relationship Id="rId32" Type="http://schemas.openxmlformats.org/officeDocument/2006/relationships/hyperlink" Target="https://www.thejadebeagle.com/emergencies---tinpot-series.html" TargetMode="External"/><Relationship Id="rId5" Type="http://schemas.openxmlformats.org/officeDocument/2006/relationships/hyperlink" Target="https://www.abs.gov.au/statistics/industry/tourism-and-transport/survey-motor-vehicle-use-australia/latest-release" TargetMode="External"/><Relationship Id="rId15" Type="http://schemas.openxmlformats.org/officeDocument/2006/relationships/hyperlink" Target="https://budget.gov.au/2020-21/content/bp1/download/bp1_bs5.pdf" TargetMode="External"/><Relationship Id="rId23" Type="http://schemas.openxmlformats.org/officeDocument/2006/relationships/hyperlink" Target="https://www.accc.gov.au/system/files/ACCC%20Draft%20Decision%20-%20ARTC%E2%80%99s%20March%202021%20variation%20to%20the%20HVAU_0.pdf" TargetMode="External"/><Relationship Id="rId28" Type="http://schemas.openxmlformats.org/officeDocument/2006/relationships/hyperlink" Target="https://www.thejadebeagle.com/media-botch.html%20e.g" TargetMode="External"/><Relationship Id="rId10" Type="http://schemas.openxmlformats.org/officeDocument/2006/relationships/hyperlink" Target="https://www.thejadebeagle.com/if-only-governments-spent-what-they-collected-from-roads.html" TargetMode="External"/><Relationship Id="rId19" Type="http://schemas.openxmlformats.org/officeDocument/2006/relationships/hyperlink" Target="https://www.australianmining.com.au/news/lower-coal-volumes-to-hit-qld-royalty-revenue/" TargetMode="External"/><Relationship Id="rId31" Type="http://schemas.openxmlformats.org/officeDocument/2006/relationships/hyperlink" Target="https://www.thejadebeagle.com/election-2019.html" TargetMode="External"/><Relationship Id="rId4" Type="http://schemas.openxmlformats.org/officeDocument/2006/relationships/hyperlink" Target="https://www.energy.gov.au/publications/australian-petroleum-statistics-2021" TargetMode="External"/><Relationship Id="rId9" Type="http://schemas.openxmlformats.org/officeDocument/2006/relationships/hyperlink" Target="https://archive.budget.gov.au/2018-19/myefo/myefo_2018-19.pdf" TargetMode="External"/><Relationship Id="rId14" Type="http://schemas.openxmlformats.org/officeDocument/2006/relationships/hyperlink" Target="https://www.imf.org/en/Publications/WP/Issues/2019/05/02/Global-Fossil-Fuel-Subsidies-Remain-Large-An-Update-Based-on-Country-Level-Estimates-46509" TargetMode="External"/><Relationship Id="rId22" Type="http://schemas.openxmlformats.org/officeDocument/2006/relationships/hyperlink" Target="https://treasury.gov.au/publication/2017-tax-expenditures-statement" TargetMode="External"/><Relationship Id="rId27" Type="http://schemas.openxmlformats.org/officeDocument/2006/relationships/hyperlink" Target="https://www.michaelwest.com.au/government-fossil-fuel-subsidies-top-10b-a-year/" TargetMode="External"/><Relationship Id="rId30" Type="http://schemas.openxmlformats.org/officeDocument/2006/relationships/hyperlink" Target="https://www.abc.net.au/news/2020-07-29/fact-check-matt-canavan-fossil-fuel-industry-subsidies/12496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655F-0FC9-4C4C-B521-16279890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11</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38</cp:revision>
  <dcterms:created xsi:type="dcterms:W3CDTF">2021-05-11T03:07:00Z</dcterms:created>
  <dcterms:modified xsi:type="dcterms:W3CDTF">2021-05-18T08:33:00Z</dcterms:modified>
</cp:coreProperties>
</file>