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9F80A4" w14:textId="1804FC38" w:rsidR="008F0CD9" w:rsidRDefault="0085368B" w:rsidP="00931787">
      <w:pPr>
        <w:pStyle w:val="Heading1"/>
        <w:spacing w:before="0"/>
      </w:pPr>
      <w:bookmarkStart w:id="0" w:name="_Toc93085749"/>
      <w:r>
        <w:t>Policy SPAD update</w:t>
      </w:r>
      <w:bookmarkEnd w:id="0"/>
    </w:p>
    <w:sdt>
      <w:sdtPr>
        <w:rPr>
          <w:rFonts w:asciiTheme="minorHAnsi" w:eastAsiaTheme="minorHAnsi" w:hAnsiTheme="minorHAnsi" w:cstheme="minorBidi"/>
          <w:color w:val="auto"/>
          <w:sz w:val="22"/>
          <w:szCs w:val="22"/>
          <w:lang w:val="en-GB"/>
        </w:rPr>
        <w:id w:val="-321501427"/>
        <w:docPartObj>
          <w:docPartGallery w:val="Table of Contents"/>
          <w:docPartUnique/>
        </w:docPartObj>
      </w:sdtPr>
      <w:sdtEndPr>
        <w:rPr>
          <w:b/>
          <w:bCs/>
          <w:noProof/>
        </w:rPr>
      </w:sdtEndPr>
      <w:sdtContent>
        <w:p w14:paraId="56544AF2" w14:textId="541DE0EA" w:rsidR="00CC315C" w:rsidRDefault="00CC315C" w:rsidP="00931787">
          <w:pPr>
            <w:pStyle w:val="TOCHeading"/>
          </w:pPr>
          <w:r>
            <w:t>Contents</w:t>
          </w:r>
        </w:p>
        <w:p w14:paraId="41BE43FD" w14:textId="2653B8A3" w:rsidR="009068E6" w:rsidRDefault="00CC315C">
          <w:pPr>
            <w:pStyle w:val="TOC1"/>
            <w:tabs>
              <w:tab w:val="right" w:leader="dot" w:pos="9016"/>
            </w:tabs>
            <w:rPr>
              <w:rFonts w:eastAsiaTheme="minorEastAsia"/>
              <w:noProof/>
              <w:lang w:val="en-AU" w:eastAsia="en-AU"/>
            </w:rPr>
          </w:pPr>
          <w:r>
            <w:fldChar w:fldCharType="begin"/>
          </w:r>
          <w:r>
            <w:instrText xml:space="preserve"> TOC \o "1-3" \h \z \u </w:instrText>
          </w:r>
          <w:r>
            <w:fldChar w:fldCharType="separate"/>
          </w:r>
          <w:hyperlink w:anchor="_Toc93085749" w:history="1">
            <w:r w:rsidR="009068E6" w:rsidRPr="00C4159A">
              <w:rPr>
                <w:rStyle w:val="Hyperlink"/>
                <w:noProof/>
              </w:rPr>
              <w:t>Policy SPAD update</w:t>
            </w:r>
            <w:r w:rsidR="009068E6">
              <w:rPr>
                <w:noProof/>
                <w:webHidden/>
              </w:rPr>
              <w:tab/>
            </w:r>
            <w:r w:rsidR="009068E6">
              <w:rPr>
                <w:noProof/>
                <w:webHidden/>
              </w:rPr>
              <w:fldChar w:fldCharType="begin"/>
            </w:r>
            <w:r w:rsidR="009068E6">
              <w:rPr>
                <w:noProof/>
                <w:webHidden/>
              </w:rPr>
              <w:instrText xml:space="preserve"> PAGEREF _Toc93085749 \h </w:instrText>
            </w:r>
            <w:r w:rsidR="009068E6">
              <w:rPr>
                <w:noProof/>
                <w:webHidden/>
              </w:rPr>
            </w:r>
            <w:r w:rsidR="009068E6">
              <w:rPr>
                <w:noProof/>
                <w:webHidden/>
              </w:rPr>
              <w:fldChar w:fldCharType="separate"/>
            </w:r>
            <w:r w:rsidR="009068E6">
              <w:rPr>
                <w:noProof/>
                <w:webHidden/>
              </w:rPr>
              <w:t>1</w:t>
            </w:r>
            <w:r w:rsidR="009068E6">
              <w:rPr>
                <w:noProof/>
                <w:webHidden/>
              </w:rPr>
              <w:fldChar w:fldCharType="end"/>
            </w:r>
          </w:hyperlink>
        </w:p>
        <w:p w14:paraId="3B4321CB" w14:textId="416639A5" w:rsidR="009068E6" w:rsidRDefault="009068E6">
          <w:pPr>
            <w:pStyle w:val="TOC2"/>
            <w:tabs>
              <w:tab w:val="left" w:pos="660"/>
              <w:tab w:val="right" w:leader="dot" w:pos="9016"/>
            </w:tabs>
            <w:rPr>
              <w:rFonts w:eastAsiaTheme="minorEastAsia"/>
              <w:noProof/>
              <w:lang w:val="en-AU" w:eastAsia="en-AU"/>
            </w:rPr>
          </w:pPr>
          <w:hyperlink w:anchor="_Toc93085750" w:history="1">
            <w:r w:rsidRPr="00C4159A">
              <w:rPr>
                <w:rStyle w:val="Hyperlink"/>
                <w:noProof/>
              </w:rPr>
              <w:t>1.</w:t>
            </w:r>
            <w:r>
              <w:rPr>
                <w:rFonts w:eastAsiaTheme="minorEastAsia"/>
                <w:noProof/>
                <w:lang w:val="en-AU" w:eastAsia="en-AU"/>
              </w:rPr>
              <w:tab/>
            </w:r>
            <w:r w:rsidRPr="00C4159A">
              <w:rPr>
                <w:rStyle w:val="Hyperlink"/>
                <w:noProof/>
              </w:rPr>
              <w:t>Introduction</w:t>
            </w:r>
            <w:r>
              <w:rPr>
                <w:noProof/>
                <w:webHidden/>
              </w:rPr>
              <w:tab/>
            </w:r>
            <w:r>
              <w:rPr>
                <w:noProof/>
                <w:webHidden/>
              </w:rPr>
              <w:fldChar w:fldCharType="begin"/>
            </w:r>
            <w:r>
              <w:rPr>
                <w:noProof/>
                <w:webHidden/>
              </w:rPr>
              <w:instrText xml:space="preserve"> PAGEREF _Toc93085750 \h </w:instrText>
            </w:r>
            <w:r>
              <w:rPr>
                <w:noProof/>
                <w:webHidden/>
              </w:rPr>
            </w:r>
            <w:r>
              <w:rPr>
                <w:noProof/>
                <w:webHidden/>
              </w:rPr>
              <w:fldChar w:fldCharType="separate"/>
            </w:r>
            <w:r>
              <w:rPr>
                <w:noProof/>
                <w:webHidden/>
              </w:rPr>
              <w:t>3</w:t>
            </w:r>
            <w:r>
              <w:rPr>
                <w:noProof/>
                <w:webHidden/>
              </w:rPr>
              <w:fldChar w:fldCharType="end"/>
            </w:r>
          </w:hyperlink>
        </w:p>
        <w:p w14:paraId="19743D45" w14:textId="3BB1F528" w:rsidR="009068E6" w:rsidRDefault="009068E6">
          <w:pPr>
            <w:pStyle w:val="TOC2"/>
            <w:tabs>
              <w:tab w:val="left" w:pos="660"/>
              <w:tab w:val="right" w:leader="dot" w:pos="9016"/>
            </w:tabs>
            <w:rPr>
              <w:rFonts w:eastAsiaTheme="minorEastAsia"/>
              <w:noProof/>
              <w:lang w:val="en-AU" w:eastAsia="en-AU"/>
            </w:rPr>
          </w:pPr>
          <w:hyperlink w:anchor="_Toc93085751" w:history="1">
            <w:r w:rsidRPr="00C4159A">
              <w:rPr>
                <w:rStyle w:val="Hyperlink"/>
                <w:noProof/>
              </w:rPr>
              <w:t>2.</w:t>
            </w:r>
            <w:r>
              <w:rPr>
                <w:rFonts w:eastAsiaTheme="minorEastAsia"/>
                <w:noProof/>
                <w:lang w:val="en-AU" w:eastAsia="en-AU"/>
              </w:rPr>
              <w:tab/>
            </w:r>
            <w:r w:rsidRPr="00C4159A">
              <w:rPr>
                <w:rStyle w:val="Hyperlink"/>
                <w:noProof/>
              </w:rPr>
              <w:t>The Inquiry</w:t>
            </w:r>
            <w:r>
              <w:rPr>
                <w:noProof/>
                <w:webHidden/>
              </w:rPr>
              <w:tab/>
            </w:r>
            <w:r>
              <w:rPr>
                <w:noProof/>
                <w:webHidden/>
              </w:rPr>
              <w:fldChar w:fldCharType="begin"/>
            </w:r>
            <w:r>
              <w:rPr>
                <w:noProof/>
                <w:webHidden/>
              </w:rPr>
              <w:instrText xml:space="preserve"> PAGEREF _Toc93085751 \h </w:instrText>
            </w:r>
            <w:r>
              <w:rPr>
                <w:noProof/>
                <w:webHidden/>
              </w:rPr>
            </w:r>
            <w:r>
              <w:rPr>
                <w:noProof/>
                <w:webHidden/>
              </w:rPr>
              <w:fldChar w:fldCharType="separate"/>
            </w:r>
            <w:r>
              <w:rPr>
                <w:noProof/>
                <w:webHidden/>
              </w:rPr>
              <w:t>5</w:t>
            </w:r>
            <w:r>
              <w:rPr>
                <w:noProof/>
                <w:webHidden/>
              </w:rPr>
              <w:fldChar w:fldCharType="end"/>
            </w:r>
          </w:hyperlink>
        </w:p>
        <w:p w14:paraId="1B5F2F59" w14:textId="492BFA05" w:rsidR="009068E6" w:rsidRDefault="009068E6">
          <w:pPr>
            <w:pStyle w:val="TOC3"/>
            <w:tabs>
              <w:tab w:val="left" w:pos="1100"/>
              <w:tab w:val="right" w:leader="dot" w:pos="9016"/>
            </w:tabs>
            <w:rPr>
              <w:rFonts w:eastAsiaTheme="minorEastAsia"/>
              <w:noProof/>
              <w:lang w:val="en-AU" w:eastAsia="en-AU"/>
            </w:rPr>
          </w:pPr>
          <w:hyperlink w:anchor="_Toc93085752" w:history="1">
            <w:r w:rsidRPr="00C4159A">
              <w:rPr>
                <w:rStyle w:val="Hyperlink"/>
                <w:noProof/>
              </w:rPr>
              <w:t>2.1</w:t>
            </w:r>
            <w:r>
              <w:rPr>
                <w:rFonts w:eastAsiaTheme="minorEastAsia"/>
                <w:noProof/>
                <w:lang w:val="en-AU" w:eastAsia="en-AU"/>
              </w:rPr>
              <w:tab/>
            </w:r>
            <w:r w:rsidRPr="00C4159A">
              <w:rPr>
                <w:rStyle w:val="Hyperlink"/>
                <w:noProof/>
              </w:rPr>
              <w:t>Hearings, documents</w:t>
            </w:r>
            <w:r>
              <w:rPr>
                <w:noProof/>
                <w:webHidden/>
              </w:rPr>
              <w:tab/>
            </w:r>
            <w:r>
              <w:rPr>
                <w:noProof/>
                <w:webHidden/>
              </w:rPr>
              <w:fldChar w:fldCharType="begin"/>
            </w:r>
            <w:r>
              <w:rPr>
                <w:noProof/>
                <w:webHidden/>
              </w:rPr>
              <w:instrText xml:space="preserve"> PAGEREF _Toc93085752 \h </w:instrText>
            </w:r>
            <w:r>
              <w:rPr>
                <w:noProof/>
                <w:webHidden/>
              </w:rPr>
            </w:r>
            <w:r>
              <w:rPr>
                <w:noProof/>
                <w:webHidden/>
              </w:rPr>
              <w:fldChar w:fldCharType="separate"/>
            </w:r>
            <w:r>
              <w:rPr>
                <w:noProof/>
                <w:webHidden/>
              </w:rPr>
              <w:t>5</w:t>
            </w:r>
            <w:r>
              <w:rPr>
                <w:noProof/>
                <w:webHidden/>
              </w:rPr>
              <w:fldChar w:fldCharType="end"/>
            </w:r>
          </w:hyperlink>
        </w:p>
        <w:p w14:paraId="2DA83469" w14:textId="06E4BB26" w:rsidR="009068E6" w:rsidRDefault="009068E6">
          <w:pPr>
            <w:pStyle w:val="TOC3"/>
            <w:tabs>
              <w:tab w:val="left" w:pos="1100"/>
              <w:tab w:val="right" w:leader="dot" w:pos="9016"/>
            </w:tabs>
            <w:rPr>
              <w:rFonts w:eastAsiaTheme="minorEastAsia"/>
              <w:noProof/>
              <w:lang w:val="en-AU" w:eastAsia="en-AU"/>
            </w:rPr>
          </w:pPr>
          <w:hyperlink w:anchor="_Toc93085753" w:history="1">
            <w:r w:rsidRPr="00C4159A">
              <w:rPr>
                <w:rStyle w:val="Hyperlink"/>
                <w:noProof/>
              </w:rPr>
              <w:t>2.2</w:t>
            </w:r>
            <w:r>
              <w:rPr>
                <w:rFonts w:eastAsiaTheme="minorEastAsia"/>
                <w:noProof/>
                <w:lang w:val="en-AU" w:eastAsia="en-AU"/>
              </w:rPr>
              <w:tab/>
            </w:r>
            <w:r w:rsidRPr="00C4159A">
              <w:rPr>
                <w:rStyle w:val="Hyperlink"/>
                <w:noProof/>
              </w:rPr>
              <w:t>Challenge to documents</w:t>
            </w:r>
            <w:r>
              <w:rPr>
                <w:noProof/>
                <w:webHidden/>
              </w:rPr>
              <w:tab/>
            </w:r>
            <w:r>
              <w:rPr>
                <w:noProof/>
                <w:webHidden/>
              </w:rPr>
              <w:fldChar w:fldCharType="begin"/>
            </w:r>
            <w:r>
              <w:rPr>
                <w:noProof/>
                <w:webHidden/>
              </w:rPr>
              <w:instrText xml:space="preserve"> PAGEREF _Toc93085753 \h </w:instrText>
            </w:r>
            <w:r>
              <w:rPr>
                <w:noProof/>
                <w:webHidden/>
              </w:rPr>
            </w:r>
            <w:r>
              <w:rPr>
                <w:noProof/>
                <w:webHidden/>
              </w:rPr>
              <w:fldChar w:fldCharType="separate"/>
            </w:r>
            <w:r>
              <w:rPr>
                <w:noProof/>
                <w:webHidden/>
              </w:rPr>
              <w:t>7</w:t>
            </w:r>
            <w:r>
              <w:rPr>
                <w:noProof/>
                <w:webHidden/>
              </w:rPr>
              <w:fldChar w:fldCharType="end"/>
            </w:r>
          </w:hyperlink>
        </w:p>
        <w:p w14:paraId="28EF7A23" w14:textId="6E2A3A65" w:rsidR="009068E6" w:rsidRDefault="009068E6">
          <w:pPr>
            <w:pStyle w:val="TOC2"/>
            <w:tabs>
              <w:tab w:val="left" w:pos="660"/>
              <w:tab w:val="right" w:leader="dot" w:pos="9016"/>
            </w:tabs>
            <w:rPr>
              <w:rFonts w:eastAsiaTheme="minorEastAsia"/>
              <w:noProof/>
              <w:lang w:val="en-AU" w:eastAsia="en-AU"/>
            </w:rPr>
          </w:pPr>
          <w:hyperlink w:anchor="_Toc93085754" w:history="1">
            <w:r w:rsidRPr="00C4159A">
              <w:rPr>
                <w:rStyle w:val="Hyperlink"/>
                <w:noProof/>
              </w:rPr>
              <w:t>3.</w:t>
            </w:r>
            <w:r>
              <w:rPr>
                <w:rFonts w:eastAsiaTheme="minorEastAsia"/>
                <w:noProof/>
                <w:lang w:val="en-AU" w:eastAsia="en-AU"/>
              </w:rPr>
              <w:tab/>
            </w:r>
            <w:r w:rsidRPr="00C4159A">
              <w:rPr>
                <w:rStyle w:val="Hyperlink"/>
                <w:noProof/>
              </w:rPr>
              <w:t>Microeconomic reform</w:t>
            </w:r>
            <w:r>
              <w:rPr>
                <w:noProof/>
                <w:webHidden/>
              </w:rPr>
              <w:tab/>
            </w:r>
            <w:r>
              <w:rPr>
                <w:noProof/>
                <w:webHidden/>
              </w:rPr>
              <w:fldChar w:fldCharType="begin"/>
            </w:r>
            <w:r>
              <w:rPr>
                <w:noProof/>
                <w:webHidden/>
              </w:rPr>
              <w:instrText xml:space="preserve"> PAGEREF _Toc93085754 \h </w:instrText>
            </w:r>
            <w:r>
              <w:rPr>
                <w:noProof/>
                <w:webHidden/>
              </w:rPr>
            </w:r>
            <w:r>
              <w:rPr>
                <w:noProof/>
                <w:webHidden/>
              </w:rPr>
              <w:fldChar w:fldCharType="separate"/>
            </w:r>
            <w:r>
              <w:rPr>
                <w:noProof/>
                <w:webHidden/>
              </w:rPr>
              <w:t>8</w:t>
            </w:r>
            <w:r>
              <w:rPr>
                <w:noProof/>
                <w:webHidden/>
              </w:rPr>
              <w:fldChar w:fldCharType="end"/>
            </w:r>
          </w:hyperlink>
        </w:p>
        <w:p w14:paraId="062D49F7" w14:textId="0328E877" w:rsidR="009068E6" w:rsidRDefault="009068E6">
          <w:pPr>
            <w:pStyle w:val="TOC3"/>
            <w:tabs>
              <w:tab w:val="left" w:pos="1100"/>
              <w:tab w:val="right" w:leader="dot" w:pos="9016"/>
            </w:tabs>
            <w:rPr>
              <w:rFonts w:eastAsiaTheme="minorEastAsia"/>
              <w:noProof/>
              <w:lang w:val="en-AU" w:eastAsia="en-AU"/>
            </w:rPr>
          </w:pPr>
          <w:hyperlink w:anchor="_Toc93085755" w:history="1">
            <w:r w:rsidRPr="00C4159A">
              <w:rPr>
                <w:rStyle w:val="Hyperlink"/>
                <w:noProof/>
              </w:rPr>
              <w:t>3.1</w:t>
            </w:r>
            <w:r>
              <w:rPr>
                <w:rFonts w:eastAsiaTheme="minorEastAsia"/>
                <w:noProof/>
                <w:lang w:val="en-AU" w:eastAsia="en-AU"/>
              </w:rPr>
              <w:tab/>
            </w:r>
            <w:r w:rsidRPr="00C4159A">
              <w:rPr>
                <w:rStyle w:val="Hyperlink"/>
                <w:noProof/>
              </w:rPr>
              <w:t>The claim</w:t>
            </w:r>
            <w:r>
              <w:rPr>
                <w:noProof/>
                <w:webHidden/>
              </w:rPr>
              <w:tab/>
            </w:r>
            <w:r>
              <w:rPr>
                <w:noProof/>
                <w:webHidden/>
              </w:rPr>
              <w:fldChar w:fldCharType="begin"/>
            </w:r>
            <w:r>
              <w:rPr>
                <w:noProof/>
                <w:webHidden/>
              </w:rPr>
              <w:instrText xml:space="preserve"> PAGEREF _Toc93085755 \h </w:instrText>
            </w:r>
            <w:r>
              <w:rPr>
                <w:noProof/>
                <w:webHidden/>
              </w:rPr>
            </w:r>
            <w:r>
              <w:rPr>
                <w:noProof/>
                <w:webHidden/>
              </w:rPr>
              <w:fldChar w:fldCharType="separate"/>
            </w:r>
            <w:r>
              <w:rPr>
                <w:noProof/>
                <w:webHidden/>
              </w:rPr>
              <w:t>8</w:t>
            </w:r>
            <w:r>
              <w:rPr>
                <w:noProof/>
                <w:webHidden/>
              </w:rPr>
              <w:fldChar w:fldCharType="end"/>
            </w:r>
          </w:hyperlink>
        </w:p>
        <w:p w14:paraId="127B3385" w14:textId="482FFBCB" w:rsidR="009068E6" w:rsidRDefault="009068E6">
          <w:pPr>
            <w:pStyle w:val="TOC3"/>
            <w:tabs>
              <w:tab w:val="left" w:pos="1100"/>
              <w:tab w:val="right" w:leader="dot" w:pos="9016"/>
            </w:tabs>
            <w:rPr>
              <w:rFonts w:eastAsiaTheme="minorEastAsia"/>
              <w:noProof/>
              <w:lang w:val="en-AU" w:eastAsia="en-AU"/>
            </w:rPr>
          </w:pPr>
          <w:hyperlink w:anchor="_Toc93085756" w:history="1">
            <w:r w:rsidRPr="00C4159A">
              <w:rPr>
                <w:rStyle w:val="Hyperlink"/>
                <w:noProof/>
              </w:rPr>
              <w:t>3.2</w:t>
            </w:r>
            <w:r>
              <w:rPr>
                <w:rFonts w:eastAsiaTheme="minorEastAsia"/>
                <w:noProof/>
                <w:lang w:val="en-AU" w:eastAsia="en-AU"/>
              </w:rPr>
              <w:tab/>
            </w:r>
            <w:r w:rsidRPr="00C4159A">
              <w:rPr>
                <w:rStyle w:val="Hyperlink"/>
                <w:noProof/>
              </w:rPr>
              <w:t>Micro-economic reform and competition policy - 1990s</w:t>
            </w:r>
            <w:r>
              <w:rPr>
                <w:noProof/>
                <w:webHidden/>
              </w:rPr>
              <w:tab/>
            </w:r>
            <w:r>
              <w:rPr>
                <w:noProof/>
                <w:webHidden/>
              </w:rPr>
              <w:fldChar w:fldCharType="begin"/>
            </w:r>
            <w:r>
              <w:rPr>
                <w:noProof/>
                <w:webHidden/>
              </w:rPr>
              <w:instrText xml:space="preserve"> PAGEREF _Toc93085756 \h </w:instrText>
            </w:r>
            <w:r>
              <w:rPr>
                <w:noProof/>
                <w:webHidden/>
              </w:rPr>
            </w:r>
            <w:r>
              <w:rPr>
                <w:noProof/>
                <w:webHidden/>
              </w:rPr>
              <w:fldChar w:fldCharType="separate"/>
            </w:r>
            <w:r>
              <w:rPr>
                <w:noProof/>
                <w:webHidden/>
              </w:rPr>
              <w:t>9</w:t>
            </w:r>
            <w:r>
              <w:rPr>
                <w:noProof/>
                <w:webHidden/>
              </w:rPr>
              <w:fldChar w:fldCharType="end"/>
            </w:r>
          </w:hyperlink>
        </w:p>
        <w:p w14:paraId="1B741DEE" w14:textId="283818EA" w:rsidR="009068E6" w:rsidRDefault="009068E6">
          <w:pPr>
            <w:pStyle w:val="TOC3"/>
            <w:tabs>
              <w:tab w:val="left" w:pos="1100"/>
              <w:tab w:val="right" w:leader="dot" w:pos="9016"/>
            </w:tabs>
            <w:rPr>
              <w:rFonts w:eastAsiaTheme="minorEastAsia"/>
              <w:noProof/>
              <w:lang w:val="en-AU" w:eastAsia="en-AU"/>
            </w:rPr>
          </w:pPr>
          <w:hyperlink w:anchor="_Toc93085757" w:history="1">
            <w:r w:rsidRPr="00C4159A">
              <w:rPr>
                <w:rStyle w:val="Hyperlink"/>
                <w:noProof/>
              </w:rPr>
              <w:t>3.3</w:t>
            </w:r>
            <w:r>
              <w:rPr>
                <w:rFonts w:eastAsiaTheme="minorEastAsia"/>
                <w:noProof/>
                <w:lang w:val="en-AU" w:eastAsia="en-AU"/>
              </w:rPr>
              <w:tab/>
            </w:r>
            <w:r w:rsidRPr="00C4159A">
              <w:rPr>
                <w:rStyle w:val="Hyperlink"/>
                <w:noProof/>
              </w:rPr>
              <w:t>Microeconomic reform and the NSW 1996 rail changes</w:t>
            </w:r>
            <w:r>
              <w:rPr>
                <w:noProof/>
                <w:webHidden/>
              </w:rPr>
              <w:tab/>
            </w:r>
            <w:r>
              <w:rPr>
                <w:noProof/>
                <w:webHidden/>
              </w:rPr>
              <w:fldChar w:fldCharType="begin"/>
            </w:r>
            <w:r>
              <w:rPr>
                <w:noProof/>
                <w:webHidden/>
              </w:rPr>
              <w:instrText xml:space="preserve"> PAGEREF _Toc93085757 \h </w:instrText>
            </w:r>
            <w:r>
              <w:rPr>
                <w:noProof/>
                <w:webHidden/>
              </w:rPr>
            </w:r>
            <w:r>
              <w:rPr>
                <w:noProof/>
                <w:webHidden/>
              </w:rPr>
              <w:fldChar w:fldCharType="separate"/>
            </w:r>
            <w:r>
              <w:rPr>
                <w:noProof/>
                <w:webHidden/>
              </w:rPr>
              <w:t>11</w:t>
            </w:r>
            <w:r>
              <w:rPr>
                <w:noProof/>
                <w:webHidden/>
              </w:rPr>
              <w:fldChar w:fldCharType="end"/>
            </w:r>
          </w:hyperlink>
        </w:p>
        <w:p w14:paraId="50ACF82B" w14:textId="7B8B6F37" w:rsidR="009068E6" w:rsidRDefault="009068E6">
          <w:pPr>
            <w:pStyle w:val="TOC3"/>
            <w:tabs>
              <w:tab w:val="left" w:pos="1100"/>
              <w:tab w:val="right" w:leader="dot" w:pos="9016"/>
            </w:tabs>
            <w:rPr>
              <w:rFonts w:eastAsiaTheme="minorEastAsia"/>
              <w:noProof/>
              <w:lang w:val="en-AU" w:eastAsia="en-AU"/>
            </w:rPr>
          </w:pPr>
          <w:hyperlink w:anchor="_Toc93085758" w:history="1">
            <w:r w:rsidRPr="00C4159A">
              <w:rPr>
                <w:rStyle w:val="Hyperlink"/>
                <w:noProof/>
                <w:shd w:val="clear" w:color="auto" w:fill="FFFFFF"/>
              </w:rPr>
              <w:t>3.4</w:t>
            </w:r>
            <w:r>
              <w:rPr>
                <w:rFonts w:eastAsiaTheme="minorEastAsia"/>
                <w:noProof/>
                <w:lang w:val="en-AU" w:eastAsia="en-AU"/>
              </w:rPr>
              <w:tab/>
            </w:r>
            <w:r w:rsidRPr="00C4159A">
              <w:rPr>
                <w:rStyle w:val="Hyperlink"/>
                <w:noProof/>
                <w:shd w:val="clear" w:color="auto" w:fill="FFFFFF"/>
              </w:rPr>
              <w:t>Productivity Commission – 1999</w:t>
            </w:r>
            <w:r>
              <w:rPr>
                <w:noProof/>
                <w:webHidden/>
              </w:rPr>
              <w:tab/>
            </w:r>
            <w:r>
              <w:rPr>
                <w:noProof/>
                <w:webHidden/>
              </w:rPr>
              <w:fldChar w:fldCharType="begin"/>
            </w:r>
            <w:r>
              <w:rPr>
                <w:noProof/>
                <w:webHidden/>
              </w:rPr>
              <w:instrText xml:space="preserve"> PAGEREF _Toc93085758 \h </w:instrText>
            </w:r>
            <w:r>
              <w:rPr>
                <w:noProof/>
                <w:webHidden/>
              </w:rPr>
            </w:r>
            <w:r>
              <w:rPr>
                <w:noProof/>
                <w:webHidden/>
              </w:rPr>
              <w:fldChar w:fldCharType="separate"/>
            </w:r>
            <w:r>
              <w:rPr>
                <w:noProof/>
                <w:webHidden/>
              </w:rPr>
              <w:t>12</w:t>
            </w:r>
            <w:r>
              <w:rPr>
                <w:noProof/>
                <w:webHidden/>
              </w:rPr>
              <w:fldChar w:fldCharType="end"/>
            </w:r>
          </w:hyperlink>
        </w:p>
        <w:p w14:paraId="16B9791E" w14:textId="78FC2B70" w:rsidR="009068E6" w:rsidRDefault="009068E6">
          <w:pPr>
            <w:pStyle w:val="TOC3"/>
            <w:tabs>
              <w:tab w:val="left" w:pos="1100"/>
              <w:tab w:val="right" w:leader="dot" w:pos="9016"/>
            </w:tabs>
            <w:rPr>
              <w:rFonts w:eastAsiaTheme="minorEastAsia"/>
              <w:noProof/>
              <w:lang w:val="en-AU" w:eastAsia="en-AU"/>
            </w:rPr>
          </w:pPr>
          <w:hyperlink w:anchor="_Toc93085759" w:history="1">
            <w:r w:rsidRPr="00C4159A">
              <w:rPr>
                <w:rStyle w:val="Hyperlink"/>
                <w:noProof/>
                <w:shd w:val="clear" w:color="auto" w:fill="FFFFFF"/>
              </w:rPr>
              <w:t>3.5</w:t>
            </w:r>
            <w:r>
              <w:rPr>
                <w:rFonts w:eastAsiaTheme="minorEastAsia"/>
                <w:noProof/>
                <w:lang w:val="en-AU" w:eastAsia="en-AU"/>
              </w:rPr>
              <w:tab/>
            </w:r>
            <w:r w:rsidRPr="00C4159A">
              <w:rPr>
                <w:rStyle w:val="Hyperlink"/>
                <w:noProof/>
                <w:shd w:val="clear" w:color="auto" w:fill="FFFFFF"/>
              </w:rPr>
              <w:t xml:space="preserve">Post </w:t>
            </w:r>
            <w:r w:rsidRPr="00C4159A">
              <w:rPr>
                <w:rStyle w:val="Hyperlink"/>
                <w:i/>
                <w:iCs/>
                <w:noProof/>
                <w:shd w:val="clear" w:color="auto" w:fill="FFFFFF"/>
              </w:rPr>
              <w:t>Progress in Rail Reform</w:t>
            </w:r>
            <w:r w:rsidRPr="00C4159A">
              <w:rPr>
                <w:rStyle w:val="Hyperlink"/>
                <w:noProof/>
                <w:shd w:val="clear" w:color="auto" w:fill="FFFFFF"/>
              </w:rPr>
              <w:t xml:space="preserve"> to road reform</w:t>
            </w:r>
            <w:r>
              <w:rPr>
                <w:noProof/>
                <w:webHidden/>
              </w:rPr>
              <w:tab/>
            </w:r>
            <w:r>
              <w:rPr>
                <w:noProof/>
                <w:webHidden/>
              </w:rPr>
              <w:fldChar w:fldCharType="begin"/>
            </w:r>
            <w:r>
              <w:rPr>
                <w:noProof/>
                <w:webHidden/>
              </w:rPr>
              <w:instrText xml:space="preserve"> PAGEREF _Toc93085759 \h </w:instrText>
            </w:r>
            <w:r>
              <w:rPr>
                <w:noProof/>
                <w:webHidden/>
              </w:rPr>
            </w:r>
            <w:r>
              <w:rPr>
                <w:noProof/>
                <w:webHidden/>
              </w:rPr>
              <w:fldChar w:fldCharType="separate"/>
            </w:r>
            <w:r>
              <w:rPr>
                <w:noProof/>
                <w:webHidden/>
              </w:rPr>
              <w:t>15</w:t>
            </w:r>
            <w:r>
              <w:rPr>
                <w:noProof/>
                <w:webHidden/>
              </w:rPr>
              <w:fldChar w:fldCharType="end"/>
            </w:r>
          </w:hyperlink>
        </w:p>
        <w:p w14:paraId="64683229" w14:textId="7511D73C" w:rsidR="009068E6" w:rsidRDefault="009068E6">
          <w:pPr>
            <w:pStyle w:val="TOC3"/>
            <w:tabs>
              <w:tab w:val="left" w:pos="1100"/>
              <w:tab w:val="right" w:leader="dot" w:pos="9016"/>
            </w:tabs>
            <w:rPr>
              <w:rFonts w:eastAsiaTheme="minorEastAsia"/>
              <w:noProof/>
              <w:lang w:val="en-AU" w:eastAsia="en-AU"/>
            </w:rPr>
          </w:pPr>
          <w:hyperlink w:anchor="_Toc93085760" w:history="1">
            <w:r w:rsidRPr="00C4159A">
              <w:rPr>
                <w:rStyle w:val="Hyperlink"/>
                <w:noProof/>
                <w:shd w:val="clear" w:color="auto" w:fill="FFFFFF"/>
              </w:rPr>
              <w:t>3.6</w:t>
            </w:r>
            <w:r>
              <w:rPr>
                <w:rFonts w:eastAsiaTheme="minorEastAsia"/>
                <w:noProof/>
                <w:lang w:val="en-AU" w:eastAsia="en-AU"/>
              </w:rPr>
              <w:tab/>
            </w:r>
            <w:r w:rsidRPr="00C4159A">
              <w:rPr>
                <w:rStyle w:val="Hyperlink"/>
                <w:noProof/>
                <w:shd w:val="clear" w:color="auto" w:fill="FFFFFF"/>
              </w:rPr>
              <w:t>Independent Pricing and Regulatory Tribunal, incentives and corporatisation 2007-09</w:t>
            </w:r>
            <w:r>
              <w:rPr>
                <w:noProof/>
                <w:webHidden/>
              </w:rPr>
              <w:tab/>
            </w:r>
            <w:r>
              <w:rPr>
                <w:noProof/>
                <w:webHidden/>
              </w:rPr>
              <w:fldChar w:fldCharType="begin"/>
            </w:r>
            <w:r>
              <w:rPr>
                <w:noProof/>
                <w:webHidden/>
              </w:rPr>
              <w:instrText xml:space="preserve"> PAGEREF _Toc93085760 \h </w:instrText>
            </w:r>
            <w:r>
              <w:rPr>
                <w:noProof/>
                <w:webHidden/>
              </w:rPr>
            </w:r>
            <w:r>
              <w:rPr>
                <w:noProof/>
                <w:webHidden/>
              </w:rPr>
              <w:fldChar w:fldCharType="separate"/>
            </w:r>
            <w:r>
              <w:rPr>
                <w:noProof/>
                <w:webHidden/>
              </w:rPr>
              <w:t>18</w:t>
            </w:r>
            <w:r>
              <w:rPr>
                <w:noProof/>
                <w:webHidden/>
              </w:rPr>
              <w:fldChar w:fldCharType="end"/>
            </w:r>
          </w:hyperlink>
        </w:p>
        <w:p w14:paraId="0C594CED" w14:textId="7789BD62" w:rsidR="009068E6" w:rsidRDefault="009068E6">
          <w:pPr>
            <w:pStyle w:val="TOC3"/>
            <w:tabs>
              <w:tab w:val="left" w:pos="1100"/>
              <w:tab w:val="right" w:leader="dot" w:pos="9016"/>
            </w:tabs>
            <w:rPr>
              <w:rFonts w:eastAsiaTheme="minorEastAsia"/>
              <w:noProof/>
              <w:lang w:val="en-AU" w:eastAsia="en-AU"/>
            </w:rPr>
          </w:pPr>
          <w:hyperlink w:anchor="_Toc93085761" w:history="1">
            <w:r w:rsidRPr="00C4159A">
              <w:rPr>
                <w:rStyle w:val="Hyperlink"/>
                <w:noProof/>
                <w:shd w:val="clear" w:color="auto" w:fill="FFFFFF"/>
              </w:rPr>
              <w:t>3.7</w:t>
            </w:r>
            <w:r>
              <w:rPr>
                <w:rFonts w:eastAsiaTheme="minorEastAsia"/>
                <w:noProof/>
                <w:lang w:val="en-AU" w:eastAsia="en-AU"/>
              </w:rPr>
              <w:tab/>
            </w:r>
            <w:r w:rsidRPr="00C4159A">
              <w:rPr>
                <w:rStyle w:val="Hyperlink"/>
                <w:noProof/>
                <w:shd w:val="clear" w:color="auto" w:fill="FFFFFF"/>
              </w:rPr>
              <w:t>Independent review of competition policy 2014-15</w:t>
            </w:r>
            <w:r>
              <w:rPr>
                <w:noProof/>
                <w:webHidden/>
              </w:rPr>
              <w:tab/>
            </w:r>
            <w:r>
              <w:rPr>
                <w:noProof/>
                <w:webHidden/>
              </w:rPr>
              <w:fldChar w:fldCharType="begin"/>
            </w:r>
            <w:r>
              <w:rPr>
                <w:noProof/>
                <w:webHidden/>
              </w:rPr>
              <w:instrText xml:space="preserve"> PAGEREF _Toc93085761 \h </w:instrText>
            </w:r>
            <w:r>
              <w:rPr>
                <w:noProof/>
                <w:webHidden/>
              </w:rPr>
            </w:r>
            <w:r>
              <w:rPr>
                <w:noProof/>
                <w:webHidden/>
              </w:rPr>
              <w:fldChar w:fldCharType="separate"/>
            </w:r>
            <w:r>
              <w:rPr>
                <w:noProof/>
                <w:webHidden/>
              </w:rPr>
              <w:t>19</w:t>
            </w:r>
            <w:r>
              <w:rPr>
                <w:noProof/>
                <w:webHidden/>
              </w:rPr>
              <w:fldChar w:fldCharType="end"/>
            </w:r>
          </w:hyperlink>
        </w:p>
        <w:p w14:paraId="58E8E781" w14:textId="4D2F87F4" w:rsidR="009068E6" w:rsidRDefault="009068E6">
          <w:pPr>
            <w:pStyle w:val="TOC3"/>
            <w:tabs>
              <w:tab w:val="left" w:pos="1100"/>
              <w:tab w:val="right" w:leader="dot" w:pos="9016"/>
            </w:tabs>
            <w:rPr>
              <w:rFonts w:eastAsiaTheme="minorEastAsia"/>
              <w:noProof/>
              <w:lang w:val="en-AU" w:eastAsia="en-AU"/>
            </w:rPr>
          </w:pPr>
          <w:hyperlink w:anchor="_Toc93085762" w:history="1">
            <w:r w:rsidRPr="00C4159A">
              <w:rPr>
                <w:rStyle w:val="Hyperlink"/>
                <w:noProof/>
                <w:shd w:val="clear" w:color="auto" w:fill="FFFFFF"/>
              </w:rPr>
              <w:t>3.8</w:t>
            </w:r>
            <w:r>
              <w:rPr>
                <w:rFonts w:eastAsiaTheme="minorEastAsia"/>
                <w:noProof/>
                <w:lang w:val="en-AU" w:eastAsia="en-AU"/>
              </w:rPr>
              <w:tab/>
            </w:r>
            <w:r w:rsidRPr="00C4159A">
              <w:rPr>
                <w:rStyle w:val="Hyperlink"/>
                <w:noProof/>
                <w:shd w:val="clear" w:color="auto" w:fill="FFFFFF"/>
              </w:rPr>
              <w:t>Summary of microeconomic reform</w:t>
            </w:r>
            <w:r>
              <w:rPr>
                <w:noProof/>
                <w:webHidden/>
              </w:rPr>
              <w:tab/>
            </w:r>
            <w:r>
              <w:rPr>
                <w:noProof/>
                <w:webHidden/>
              </w:rPr>
              <w:fldChar w:fldCharType="begin"/>
            </w:r>
            <w:r>
              <w:rPr>
                <w:noProof/>
                <w:webHidden/>
              </w:rPr>
              <w:instrText xml:space="preserve"> PAGEREF _Toc93085762 \h </w:instrText>
            </w:r>
            <w:r>
              <w:rPr>
                <w:noProof/>
                <w:webHidden/>
              </w:rPr>
            </w:r>
            <w:r>
              <w:rPr>
                <w:noProof/>
                <w:webHidden/>
              </w:rPr>
              <w:fldChar w:fldCharType="separate"/>
            </w:r>
            <w:r>
              <w:rPr>
                <w:noProof/>
                <w:webHidden/>
              </w:rPr>
              <w:t>20</w:t>
            </w:r>
            <w:r>
              <w:rPr>
                <w:noProof/>
                <w:webHidden/>
              </w:rPr>
              <w:fldChar w:fldCharType="end"/>
            </w:r>
          </w:hyperlink>
        </w:p>
        <w:p w14:paraId="7A061DAC" w14:textId="080CB161" w:rsidR="009068E6" w:rsidRDefault="009068E6">
          <w:pPr>
            <w:pStyle w:val="TOC2"/>
            <w:tabs>
              <w:tab w:val="left" w:pos="660"/>
              <w:tab w:val="right" w:leader="dot" w:pos="9016"/>
            </w:tabs>
            <w:rPr>
              <w:rFonts w:eastAsiaTheme="minorEastAsia"/>
              <w:noProof/>
              <w:lang w:val="en-AU" w:eastAsia="en-AU"/>
            </w:rPr>
          </w:pPr>
          <w:hyperlink w:anchor="_Toc93085763" w:history="1">
            <w:r w:rsidRPr="00C4159A">
              <w:rPr>
                <w:rStyle w:val="Hyperlink"/>
                <w:noProof/>
              </w:rPr>
              <w:t>4.</w:t>
            </w:r>
            <w:r>
              <w:rPr>
                <w:rFonts w:eastAsiaTheme="minorEastAsia"/>
                <w:noProof/>
                <w:lang w:val="en-AU" w:eastAsia="en-AU"/>
              </w:rPr>
              <w:tab/>
            </w:r>
            <w:r w:rsidRPr="00C4159A">
              <w:rPr>
                <w:rStyle w:val="Hyperlink"/>
                <w:noProof/>
              </w:rPr>
              <w:t>Submissions and evidence - misunderstandings</w:t>
            </w:r>
            <w:r>
              <w:rPr>
                <w:noProof/>
                <w:webHidden/>
              </w:rPr>
              <w:tab/>
            </w:r>
            <w:r>
              <w:rPr>
                <w:noProof/>
                <w:webHidden/>
              </w:rPr>
              <w:fldChar w:fldCharType="begin"/>
            </w:r>
            <w:r>
              <w:rPr>
                <w:noProof/>
                <w:webHidden/>
              </w:rPr>
              <w:instrText xml:space="preserve"> PAGEREF _Toc93085763 \h </w:instrText>
            </w:r>
            <w:r>
              <w:rPr>
                <w:noProof/>
                <w:webHidden/>
              </w:rPr>
            </w:r>
            <w:r>
              <w:rPr>
                <w:noProof/>
                <w:webHidden/>
              </w:rPr>
              <w:fldChar w:fldCharType="separate"/>
            </w:r>
            <w:r>
              <w:rPr>
                <w:noProof/>
                <w:webHidden/>
              </w:rPr>
              <w:t>23</w:t>
            </w:r>
            <w:r>
              <w:rPr>
                <w:noProof/>
                <w:webHidden/>
              </w:rPr>
              <w:fldChar w:fldCharType="end"/>
            </w:r>
          </w:hyperlink>
        </w:p>
        <w:p w14:paraId="57AD3935" w14:textId="090C38B9" w:rsidR="009068E6" w:rsidRDefault="009068E6">
          <w:pPr>
            <w:pStyle w:val="TOC3"/>
            <w:tabs>
              <w:tab w:val="left" w:pos="1100"/>
              <w:tab w:val="right" w:leader="dot" w:pos="9016"/>
            </w:tabs>
            <w:rPr>
              <w:rFonts w:eastAsiaTheme="minorEastAsia"/>
              <w:noProof/>
              <w:lang w:val="en-AU" w:eastAsia="en-AU"/>
            </w:rPr>
          </w:pPr>
          <w:hyperlink w:anchor="_Toc93085764" w:history="1">
            <w:r w:rsidRPr="00C4159A">
              <w:rPr>
                <w:rStyle w:val="Hyperlink"/>
                <w:noProof/>
              </w:rPr>
              <w:t>4.1</w:t>
            </w:r>
            <w:r>
              <w:rPr>
                <w:rFonts w:eastAsiaTheme="minorEastAsia"/>
                <w:noProof/>
                <w:lang w:val="en-AU" w:eastAsia="en-AU"/>
              </w:rPr>
              <w:tab/>
            </w:r>
            <w:r w:rsidRPr="00C4159A">
              <w:rPr>
                <w:rStyle w:val="Hyperlink"/>
                <w:noProof/>
              </w:rPr>
              <w:t>Introduction</w:t>
            </w:r>
            <w:r>
              <w:rPr>
                <w:noProof/>
                <w:webHidden/>
              </w:rPr>
              <w:tab/>
            </w:r>
            <w:r>
              <w:rPr>
                <w:noProof/>
                <w:webHidden/>
              </w:rPr>
              <w:fldChar w:fldCharType="begin"/>
            </w:r>
            <w:r>
              <w:rPr>
                <w:noProof/>
                <w:webHidden/>
              </w:rPr>
              <w:instrText xml:space="preserve"> PAGEREF _Toc93085764 \h </w:instrText>
            </w:r>
            <w:r>
              <w:rPr>
                <w:noProof/>
                <w:webHidden/>
              </w:rPr>
            </w:r>
            <w:r>
              <w:rPr>
                <w:noProof/>
                <w:webHidden/>
              </w:rPr>
              <w:fldChar w:fldCharType="separate"/>
            </w:r>
            <w:r>
              <w:rPr>
                <w:noProof/>
                <w:webHidden/>
              </w:rPr>
              <w:t>23</w:t>
            </w:r>
            <w:r>
              <w:rPr>
                <w:noProof/>
                <w:webHidden/>
              </w:rPr>
              <w:fldChar w:fldCharType="end"/>
            </w:r>
          </w:hyperlink>
        </w:p>
        <w:p w14:paraId="2B788B7C" w14:textId="6D11E49E" w:rsidR="009068E6" w:rsidRDefault="009068E6">
          <w:pPr>
            <w:pStyle w:val="TOC3"/>
            <w:tabs>
              <w:tab w:val="left" w:pos="1100"/>
              <w:tab w:val="right" w:leader="dot" w:pos="9016"/>
            </w:tabs>
            <w:rPr>
              <w:rFonts w:eastAsiaTheme="minorEastAsia"/>
              <w:noProof/>
              <w:lang w:val="en-AU" w:eastAsia="en-AU"/>
            </w:rPr>
          </w:pPr>
          <w:hyperlink w:anchor="_Toc93085765" w:history="1">
            <w:r w:rsidRPr="00C4159A">
              <w:rPr>
                <w:rStyle w:val="Hyperlink"/>
                <w:noProof/>
              </w:rPr>
              <w:t>4.2</w:t>
            </w:r>
            <w:r>
              <w:rPr>
                <w:rFonts w:eastAsiaTheme="minorEastAsia"/>
                <w:noProof/>
                <w:lang w:val="en-AU" w:eastAsia="en-AU"/>
              </w:rPr>
              <w:tab/>
            </w:r>
            <w:r w:rsidRPr="00C4159A">
              <w:rPr>
                <w:rStyle w:val="Hyperlink"/>
                <w:noProof/>
              </w:rPr>
              <w:t>Vertical integration</w:t>
            </w:r>
            <w:r>
              <w:rPr>
                <w:noProof/>
                <w:webHidden/>
              </w:rPr>
              <w:tab/>
            </w:r>
            <w:r>
              <w:rPr>
                <w:noProof/>
                <w:webHidden/>
              </w:rPr>
              <w:fldChar w:fldCharType="begin"/>
            </w:r>
            <w:r>
              <w:rPr>
                <w:noProof/>
                <w:webHidden/>
              </w:rPr>
              <w:instrText xml:space="preserve"> PAGEREF _Toc93085765 \h </w:instrText>
            </w:r>
            <w:r>
              <w:rPr>
                <w:noProof/>
                <w:webHidden/>
              </w:rPr>
            </w:r>
            <w:r>
              <w:rPr>
                <w:noProof/>
                <w:webHidden/>
              </w:rPr>
              <w:fldChar w:fldCharType="separate"/>
            </w:r>
            <w:r>
              <w:rPr>
                <w:noProof/>
                <w:webHidden/>
              </w:rPr>
              <w:t>23</w:t>
            </w:r>
            <w:r>
              <w:rPr>
                <w:noProof/>
                <w:webHidden/>
              </w:rPr>
              <w:fldChar w:fldCharType="end"/>
            </w:r>
          </w:hyperlink>
        </w:p>
        <w:p w14:paraId="4A8BD6BC" w14:textId="49EE6ACB" w:rsidR="009068E6" w:rsidRDefault="009068E6">
          <w:pPr>
            <w:pStyle w:val="TOC3"/>
            <w:tabs>
              <w:tab w:val="left" w:pos="1100"/>
              <w:tab w:val="right" w:leader="dot" w:pos="9016"/>
            </w:tabs>
            <w:rPr>
              <w:rFonts w:eastAsiaTheme="minorEastAsia"/>
              <w:noProof/>
              <w:lang w:val="en-AU" w:eastAsia="en-AU"/>
            </w:rPr>
          </w:pPr>
          <w:hyperlink w:anchor="_Toc93085766" w:history="1">
            <w:r w:rsidRPr="00C4159A">
              <w:rPr>
                <w:rStyle w:val="Hyperlink"/>
                <w:noProof/>
              </w:rPr>
              <w:t>4.3</w:t>
            </w:r>
            <w:r>
              <w:rPr>
                <w:rFonts w:eastAsiaTheme="minorEastAsia"/>
                <w:noProof/>
                <w:lang w:val="en-AU" w:eastAsia="en-AU"/>
              </w:rPr>
              <w:tab/>
            </w:r>
            <w:r w:rsidRPr="00C4159A">
              <w:rPr>
                <w:rStyle w:val="Hyperlink"/>
                <w:noProof/>
              </w:rPr>
              <w:t>Safety management</w:t>
            </w:r>
            <w:r>
              <w:rPr>
                <w:noProof/>
                <w:webHidden/>
              </w:rPr>
              <w:tab/>
            </w:r>
            <w:r>
              <w:rPr>
                <w:noProof/>
                <w:webHidden/>
              </w:rPr>
              <w:fldChar w:fldCharType="begin"/>
            </w:r>
            <w:r>
              <w:rPr>
                <w:noProof/>
                <w:webHidden/>
              </w:rPr>
              <w:instrText xml:space="preserve"> PAGEREF _Toc93085766 \h </w:instrText>
            </w:r>
            <w:r>
              <w:rPr>
                <w:noProof/>
                <w:webHidden/>
              </w:rPr>
            </w:r>
            <w:r>
              <w:rPr>
                <w:noProof/>
                <w:webHidden/>
              </w:rPr>
              <w:fldChar w:fldCharType="separate"/>
            </w:r>
            <w:r>
              <w:rPr>
                <w:noProof/>
                <w:webHidden/>
              </w:rPr>
              <w:t>27</w:t>
            </w:r>
            <w:r>
              <w:rPr>
                <w:noProof/>
                <w:webHidden/>
              </w:rPr>
              <w:fldChar w:fldCharType="end"/>
            </w:r>
          </w:hyperlink>
        </w:p>
        <w:p w14:paraId="71B9B718" w14:textId="39E3694E" w:rsidR="009068E6" w:rsidRDefault="009068E6">
          <w:pPr>
            <w:pStyle w:val="TOC3"/>
            <w:tabs>
              <w:tab w:val="left" w:pos="1100"/>
              <w:tab w:val="right" w:leader="dot" w:pos="9016"/>
            </w:tabs>
            <w:rPr>
              <w:rFonts w:eastAsiaTheme="minorEastAsia"/>
              <w:noProof/>
              <w:lang w:val="en-AU" w:eastAsia="en-AU"/>
            </w:rPr>
          </w:pPr>
          <w:hyperlink w:anchor="_Toc93085767" w:history="1">
            <w:r w:rsidRPr="00C4159A">
              <w:rPr>
                <w:rStyle w:val="Hyperlink"/>
                <w:noProof/>
              </w:rPr>
              <w:t>4.4</w:t>
            </w:r>
            <w:r>
              <w:rPr>
                <w:rFonts w:eastAsiaTheme="minorEastAsia"/>
                <w:noProof/>
                <w:lang w:val="en-AU" w:eastAsia="en-AU"/>
              </w:rPr>
              <w:tab/>
            </w:r>
            <w:r w:rsidRPr="00C4159A">
              <w:rPr>
                <w:rStyle w:val="Hyperlink"/>
                <w:noProof/>
              </w:rPr>
              <w:t>Recommendations of rail crash inquiries</w:t>
            </w:r>
            <w:r>
              <w:rPr>
                <w:noProof/>
                <w:webHidden/>
              </w:rPr>
              <w:tab/>
            </w:r>
            <w:r>
              <w:rPr>
                <w:noProof/>
                <w:webHidden/>
              </w:rPr>
              <w:fldChar w:fldCharType="begin"/>
            </w:r>
            <w:r>
              <w:rPr>
                <w:noProof/>
                <w:webHidden/>
              </w:rPr>
              <w:instrText xml:space="preserve"> PAGEREF _Toc93085767 \h </w:instrText>
            </w:r>
            <w:r>
              <w:rPr>
                <w:noProof/>
                <w:webHidden/>
              </w:rPr>
            </w:r>
            <w:r>
              <w:rPr>
                <w:noProof/>
                <w:webHidden/>
              </w:rPr>
              <w:fldChar w:fldCharType="separate"/>
            </w:r>
            <w:r>
              <w:rPr>
                <w:noProof/>
                <w:webHidden/>
              </w:rPr>
              <w:t>30</w:t>
            </w:r>
            <w:r>
              <w:rPr>
                <w:noProof/>
                <w:webHidden/>
              </w:rPr>
              <w:fldChar w:fldCharType="end"/>
            </w:r>
          </w:hyperlink>
        </w:p>
        <w:p w14:paraId="7CB21AE3" w14:textId="6C4EAD81" w:rsidR="009068E6" w:rsidRDefault="009068E6">
          <w:pPr>
            <w:pStyle w:val="TOC3"/>
            <w:tabs>
              <w:tab w:val="left" w:pos="1100"/>
              <w:tab w:val="right" w:leader="dot" w:pos="9016"/>
            </w:tabs>
            <w:rPr>
              <w:rFonts w:eastAsiaTheme="minorEastAsia"/>
              <w:noProof/>
              <w:lang w:val="en-AU" w:eastAsia="en-AU"/>
            </w:rPr>
          </w:pPr>
          <w:hyperlink w:anchor="_Toc93085768" w:history="1">
            <w:r w:rsidRPr="00C4159A">
              <w:rPr>
                <w:rStyle w:val="Hyperlink"/>
                <w:noProof/>
              </w:rPr>
              <w:t>4.5</w:t>
            </w:r>
            <w:r>
              <w:rPr>
                <w:rFonts w:eastAsiaTheme="minorEastAsia"/>
                <w:noProof/>
                <w:lang w:val="en-AU" w:eastAsia="en-AU"/>
              </w:rPr>
              <w:tab/>
            </w:r>
            <w:r w:rsidRPr="00C4159A">
              <w:rPr>
                <w:rStyle w:val="Hyperlink"/>
                <w:noProof/>
              </w:rPr>
              <w:t>History – accidents and railway structure</w:t>
            </w:r>
            <w:r>
              <w:rPr>
                <w:noProof/>
                <w:webHidden/>
              </w:rPr>
              <w:tab/>
            </w:r>
            <w:r>
              <w:rPr>
                <w:noProof/>
                <w:webHidden/>
              </w:rPr>
              <w:fldChar w:fldCharType="begin"/>
            </w:r>
            <w:r>
              <w:rPr>
                <w:noProof/>
                <w:webHidden/>
              </w:rPr>
              <w:instrText xml:space="preserve"> PAGEREF _Toc93085768 \h </w:instrText>
            </w:r>
            <w:r>
              <w:rPr>
                <w:noProof/>
                <w:webHidden/>
              </w:rPr>
            </w:r>
            <w:r>
              <w:rPr>
                <w:noProof/>
                <w:webHidden/>
              </w:rPr>
              <w:fldChar w:fldCharType="separate"/>
            </w:r>
            <w:r>
              <w:rPr>
                <w:noProof/>
                <w:webHidden/>
              </w:rPr>
              <w:t>32</w:t>
            </w:r>
            <w:r>
              <w:rPr>
                <w:noProof/>
                <w:webHidden/>
              </w:rPr>
              <w:fldChar w:fldCharType="end"/>
            </w:r>
          </w:hyperlink>
        </w:p>
        <w:p w14:paraId="57BE6A61" w14:textId="46256747" w:rsidR="009068E6" w:rsidRDefault="009068E6">
          <w:pPr>
            <w:pStyle w:val="TOC3"/>
            <w:tabs>
              <w:tab w:val="left" w:pos="1100"/>
              <w:tab w:val="right" w:leader="dot" w:pos="9016"/>
            </w:tabs>
            <w:rPr>
              <w:rFonts w:eastAsiaTheme="minorEastAsia"/>
              <w:noProof/>
              <w:lang w:val="en-AU" w:eastAsia="en-AU"/>
            </w:rPr>
          </w:pPr>
          <w:hyperlink w:anchor="_Toc93085769" w:history="1">
            <w:r w:rsidRPr="00C4159A">
              <w:rPr>
                <w:rStyle w:val="Hyperlink"/>
                <w:noProof/>
              </w:rPr>
              <w:t>4.6</w:t>
            </w:r>
            <w:r>
              <w:rPr>
                <w:rFonts w:eastAsiaTheme="minorEastAsia"/>
                <w:noProof/>
                <w:lang w:val="en-AU" w:eastAsia="en-AU"/>
              </w:rPr>
              <w:tab/>
            </w:r>
            <w:r w:rsidRPr="00C4159A">
              <w:rPr>
                <w:rStyle w:val="Hyperlink"/>
                <w:noProof/>
              </w:rPr>
              <w:t>Origin of the present mistake</w:t>
            </w:r>
            <w:r>
              <w:rPr>
                <w:noProof/>
                <w:webHidden/>
              </w:rPr>
              <w:tab/>
            </w:r>
            <w:r>
              <w:rPr>
                <w:noProof/>
                <w:webHidden/>
              </w:rPr>
              <w:fldChar w:fldCharType="begin"/>
            </w:r>
            <w:r>
              <w:rPr>
                <w:noProof/>
                <w:webHidden/>
              </w:rPr>
              <w:instrText xml:space="preserve"> PAGEREF _Toc93085769 \h </w:instrText>
            </w:r>
            <w:r>
              <w:rPr>
                <w:noProof/>
                <w:webHidden/>
              </w:rPr>
            </w:r>
            <w:r>
              <w:rPr>
                <w:noProof/>
                <w:webHidden/>
              </w:rPr>
              <w:fldChar w:fldCharType="separate"/>
            </w:r>
            <w:r>
              <w:rPr>
                <w:noProof/>
                <w:webHidden/>
              </w:rPr>
              <w:t>38</w:t>
            </w:r>
            <w:r>
              <w:rPr>
                <w:noProof/>
                <w:webHidden/>
              </w:rPr>
              <w:fldChar w:fldCharType="end"/>
            </w:r>
          </w:hyperlink>
        </w:p>
        <w:p w14:paraId="3F03E514" w14:textId="29D03C9D" w:rsidR="009068E6" w:rsidRDefault="009068E6">
          <w:pPr>
            <w:pStyle w:val="TOC2"/>
            <w:tabs>
              <w:tab w:val="left" w:pos="660"/>
              <w:tab w:val="right" w:leader="dot" w:pos="9016"/>
            </w:tabs>
            <w:rPr>
              <w:rFonts w:eastAsiaTheme="minorEastAsia"/>
              <w:noProof/>
              <w:lang w:val="en-AU" w:eastAsia="en-AU"/>
            </w:rPr>
          </w:pPr>
          <w:hyperlink w:anchor="_Toc93085770" w:history="1">
            <w:r w:rsidRPr="00C4159A">
              <w:rPr>
                <w:rStyle w:val="Hyperlink"/>
                <w:noProof/>
              </w:rPr>
              <w:t>5.</w:t>
            </w:r>
            <w:r>
              <w:rPr>
                <w:rFonts w:eastAsiaTheme="minorEastAsia"/>
                <w:noProof/>
                <w:lang w:val="en-AU" w:eastAsia="en-AU"/>
              </w:rPr>
              <w:tab/>
            </w:r>
            <w:r w:rsidRPr="00C4159A">
              <w:rPr>
                <w:rStyle w:val="Hyperlink"/>
                <w:noProof/>
              </w:rPr>
              <w:t>Independent Pricing and Regulatory Tribunal</w:t>
            </w:r>
            <w:r>
              <w:rPr>
                <w:noProof/>
                <w:webHidden/>
              </w:rPr>
              <w:tab/>
            </w:r>
            <w:r>
              <w:rPr>
                <w:noProof/>
                <w:webHidden/>
              </w:rPr>
              <w:fldChar w:fldCharType="begin"/>
            </w:r>
            <w:r>
              <w:rPr>
                <w:noProof/>
                <w:webHidden/>
              </w:rPr>
              <w:instrText xml:space="preserve"> PAGEREF _Toc93085770 \h </w:instrText>
            </w:r>
            <w:r>
              <w:rPr>
                <w:noProof/>
                <w:webHidden/>
              </w:rPr>
            </w:r>
            <w:r>
              <w:rPr>
                <w:noProof/>
                <w:webHidden/>
              </w:rPr>
              <w:fldChar w:fldCharType="separate"/>
            </w:r>
            <w:r>
              <w:rPr>
                <w:noProof/>
                <w:webHidden/>
              </w:rPr>
              <w:t>41</w:t>
            </w:r>
            <w:r>
              <w:rPr>
                <w:noProof/>
                <w:webHidden/>
              </w:rPr>
              <w:fldChar w:fldCharType="end"/>
            </w:r>
          </w:hyperlink>
        </w:p>
        <w:p w14:paraId="137801F1" w14:textId="2BF0BFD2" w:rsidR="009068E6" w:rsidRDefault="009068E6">
          <w:pPr>
            <w:pStyle w:val="TOC2"/>
            <w:tabs>
              <w:tab w:val="left" w:pos="660"/>
              <w:tab w:val="right" w:leader="dot" w:pos="9016"/>
            </w:tabs>
            <w:rPr>
              <w:rFonts w:eastAsiaTheme="minorEastAsia"/>
              <w:noProof/>
              <w:lang w:val="en-AU" w:eastAsia="en-AU"/>
            </w:rPr>
          </w:pPr>
          <w:hyperlink w:anchor="_Toc93085771" w:history="1">
            <w:r w:rsidRPr="00C4159A">
              <w:rPr>
                <w:rStyle w:val="Hyperlink"/>
                <w:noProof/>
              </w:rPr>
              <w:t>6.</w:t>
            </w:r>
            <w:r>
              <w:rPr>
                <w:rFonts w:eastAsiaTheme="minorEastAsia"/>
                <w:noProof/>
                <w:lang w:val="en-AU" w:eastAsia="en-AU"/>
              </w:rPr>
              <w:tab/>
            </w:r>
            <w:r w:rsidRPr="00C4159A">
              <w:rPr>
                <w:rStyle w:val="Hyperlink"/>
                <w:noProof/>
              </w:rPr>
              <w:t>Consultant reports and access</w:t>
            </w:r>
            <w:r>
              <w:rPr>
                <w:noProof/>
                <w:webHidden/>
              </w:rPr>
              <w:tab/>
            </w:r>
            <w:r>
              <w:rPr>
                <w:noProof/>
                <w:webHidden/>
              </w:rPr>
              <w:fldChar w:fldCharType="begin"/>
            </w:r>
            <w:r>
              <w:rPr>
                <w:noProof/>
                <w:webHidden/>
              </w:rPr>
              <w:instrText xml:space="preserve"> PAGEREF _Toc93085771 \h </w:instrText>
            </w:r>
            <w:r>
              <w:rPr>
                <w:noProof/>
                <w:webHidden/>
              </w:rPr>
            </w:r>
            <w:r>
              <w:rPr>
                <w:noProof/>
                <w:webHidden/>
              </w:rPr>
              <w:fldChar w:fldCharType="separate"/>
            </w:r>
            <w:r>
              <w:rPr>
                <w:noProof/>
                <w:webHidden/>
              </w:rPr>
              <w:t>42</w:t>
            </w:r>
            <w:r>
              <w:rPr>
                <w:noProof/>
                <w:webHidden/>
              </w:rPr>
              <w:fldChar w:fldCharType="end"/>
            </w:r>
          </w:hyperlink>
        </w:p>
        <w:p w14:paraId="7DEF2D93" w14:textId="518D0A78" w:rsidR="009068E6" w:rsidRDefault="009068E6">
          <w:pPr>
            <w:pStyle w:val="TOC3"/>
            <w:tabs>
              <w:tab w:val="left" w:pos="1100"/>
              <w:tab w:val="right" w:leader="dot" w:pos="9016"/>
            </w:tabs>
            <w:rPr>
              <w:rFonts w:eastAsiaTheme="minorEastAsia"/>
              <w:noProof/>
              <w:lang w:val="en-AU" w:eastAsia="en-AU"/>
            </w:rPr>
          </w:pPr>
          <w:hyperlink w:anchor="_Toc93085772" w:history="1">
            <w:r w:rsidRPr="00C4159A">
              <w:rPr>
                <w:rStyle w:val="Hyperlink"/>
                <w:noProof/>
              </w:rPr>
              <w:t>6.1</w:t>
            </w:r>
            <w:r>
              <w:rPr>
                <w:rFonts w:eastAsiaTheme="minorEastAsia"/>
                <w:noProof/>
                <w:lang w:val="en-AU" w:eastAsia="en-AU"/>
              </w:rPr>
              <w:tab/>
            </w:r>
            <w:r w:rsidRPr="00C4159A">
              <w:rPr>
                <w:rStyle w:val="Hyperlink"/>
                <w:noProof/>
              </w:rPr>
              <w:t>Introduction</w:t>
            </w:r>
            <w:r>
              <w:rPr>
                <w:noProof/>
                <w:webHidden/>
              </w:rPr>
              <w:tab/>
            </w:r>
            <w:r>
              <w:rPr>
                <w:noProof/>
                <w:webHidden/>
              </w:rPr>
              <w:fldChar w:fldCharType="begin"/>
            </w:r>
            <w:r>
              <w:rPr>
                <w:noProof/>
                <w:webHidden/>
              </w:rPr>
              <w:instrText xml:space="preserve"> PAGEREF _Toc93085772 \h </w:instrText>
            </w:r>
            <w:r>
              <w:rPr>
                <w:noProof/>
                <w:webHidden/>
              </w:rPr>
            </w:r>
            <w:r>
              <w:rPr>
                <w:noProof/>
                <w:webHidden/>
              </w:rPr>
              <w:fldChar w:fldCharType="separate"/>
            </w:r>
            <w:r>
              <w:rPr>
                <w:noProof/>
                <w:webHidden/>
              </w:rPr>
              <w:t>42</w:t>
            </w:r>
            <w:r>
              <w:rPr>
                <w:noProof/>
                <w:webHidden/>
              </w:rPr>
              <w:fldChar w:fldCharType="end"/>
            </w:r>
          </w:hyperlink>
        </w:p>
        <w:p w14:paraId="5BB454FD" w14:textId="569A7555" w:rsidR="009068E6" w:rsidRDefault="009068E6">
          <w:pPr>
            <w:pStyle w:val="TOC3"/>
            <w:tabs>
              <w:tab w:val="left" w:pos="1100"/>
              <w:tab w:val="right" w:leader="dot" w:pos="9016"/>
            </w:tabs>
            <w:rPr>
              <w:rFonts w:eastAsiaTheme="minorEastAsia"/>
              <w:noProof/>
              <w:lang w:val="en-AU" w:eastAsia="en-AU"/>
            </w:rPr>
          </w:pPr>
          <w:hyperlink w:anchor="_Toc93085773" w:history="1">
            <w:r w:rsidRPr="00C4159A">
              <w:rPr>
                <w:rStyle w:val="Hyperlink"/>
                <w:noProof/>
              </w:rPr>
              <w:t>6.2</w:t>
            </w:r>
            <w:r>
              <w:rPr>
                <w:rFonts w:eastAsiaTheme="minorEastAsia"/>
                <w:noProof/>
                <w:lang w:val="en-AU" w:eastAsia="en-AU"/>
              </w:rPr>
              <w:tab/>
            </w:r>
            <w:r w:rsidRPr="00C4159A">
              <w:rPr>
                <w:rStyle w:val="Hyperlink"/>
                <w:noProof/>
              </w:rPr>
              <w:t>PwC</w:t>
            </w:r>
            <w:r>
              <w:rPr>
                <w:noProof/>
                <w:webHidden/>
              </w:rPr>
              <w:tab/>
            </w:r>
            <w:r>
              <w:rPr>
                <w:noProof/>
                <w:webHidden/>
              </w:rPr>
              <w:fldChar w:fldCharType="begin"/>
            </w:r>
            <w:r>
              <w:rPr>
                <w:noProof/>
                <w:webHidden/>
              </w:rPr>
              <w:instrText xml:space="preserve"> PAGEREF _Toc93085773 \h </w:instrText>
            </w:r>
            <w:r>
              <w:rPr>
                <w:noProof/>
                <w:webHidden/>
              </w:rPr>
            </w:r>
            <w:r>
              <w:rPr>
                <w:noProof/>
                <w:webHidden/>
              </w:rPr>
              <w:fldChar w:fldCharType="separate"/>
            </w:r>
            <w:r>
              <w:rPr>
                <w:noProof/>
                <w:webHidden/>
              </w:rPr>
              <w:t>42</w:t>
            </w:r>
            <w:r>
              <w:rPr>
                <w:noProof/>
                <w:webHidden/>
              </w:rPr>
              <w:fldChar w:fldCharType="end"/>
            </w:r>
          </w:hyperlink>
        </w:p>
        <w:p w14:paraId="302D6007" w14:textId="7EBB6B14" w:rsidR="009068E6" w:rsidRDefault="009068E6">
          <w:pPr>
            <w:pStyle w:val="TOC3"/>
            <w:tabs>
              <w:tab w:val="left" w:pos="1100"/>
              <w:tab w:val="right" w:leader="dot" w:pos="9016"/>
            </w:tabs>
            <w:rPr>
              <w:rFonts w:eastAsiaTheme="minorEastAsia"/>
              <w:noProof/>
              <w:lang w:val="en-AU" w:eastAsia="en-AU"/>
            </w:rPr>
          </w:pPr>
          <w:hyperlink w:anchor="_Toc93085774" w:history="1">
            <w:r w:rsidRPr="00C4159A">
              <w:rPr>
                <w:rStyle w:val="Hyperlink"/>
                <w:noProof/>
              </w:rPr>
              <w:t>6.3</w:t>
            </w:r>
            <w:r>
              <w:rPr>
                <w:rFonts w:eastAsiaTheme="minorEastAsia"/>
                <w:noProof/>
                <w:lang w:val="en-AU" w:eastAsia="en-AU"/>
              </w:rPr>
              <w:tab/>
            </w:r>
            <w:r w:rsidRPr="00C4159A">
              <w:rPr>
                <w:rStyle w:val="Hyperlink"/>
                <w:noProof/>
              </w:rPr>
              <w:t>KPMG 2020 July</w:t>
            </w:r>
            <w:r>
              <w:rPr>
                <w:noProof/>
                <w:webHidden/>
              </w:rPr>
              <w:tab/>
            </w:r>
            <w:r>
              <w:rPr>
                <w:noProof/>
                <w:webHidden/>
              </w:rPr>
              <w:fldChar w:fldCharType="begin"/>
            </w:r>
            <w:r>
              <w:rPr>
                <w:noProof/>
                <w:webHidden/>
              </w:rPr>
              <w:instrText xml:space="preserve"> PAGEREF _Toc93085774 \h </w:instrText>
            </w:r>
            <w:r>
              <w:rPr>
                <w:noProof/>
                <w:webHidden/>
              </w:rPr>
            </w:r>
            <w:r>
              <w:rPr>
                <w:noProof/>
                <w:webHidden/>
              </w:rPr>
              <w:fldChar w:fldCharType="separate"/>
            </w:r>
            <w:r>
              <w:rPr>
                <w:noProof/>
                <w:webHidden/>
              </w:rPr>
              <w:t>43</w:t>
            </w:r>
            <w:r>
              <w:rPr>
                <w:noProof/>
                <w:webHidden/>
              </w:rPr>
              <w:fldChar w:fldCharType="end"/>
            </w:r>
          </w:hyperlink>
        </w:p>
        <w:p w14:paraId="57C9B885" w14:textId="4C59DFEB" w:rsidR="009068E6" w:rsidRDefault="009068E6">
          <w:pPr>
            <w:pStyle w:val="TOC3"/>
            <w:tabs>
              <w:tab w:val="left" w:pos="1100"/>
              <w:tab w:val="right" w:leader="dot" w:pos="9016"/>
            </w:tabs>
            <w:rPr>
              <w:rFonts w:eastAsiaTheme="minorEastAsia"/>
              <w:noProof/>
              <w:lang w:val="en-AU" w:eastAsia="en-AU"/>
            </w:rPr>
          </w:pPr>
          <w:hyperlink w:anchor="_Toc93085775" w:history="1">
            <w:r w:rsidRPr="00C4159A">
              <w:rPr>
                <w:rStyle w:val="Hyperlink"/>
                <w:noProof/>
              </w:rPr>
              <w:t>6.4</w:t>
            </w:r>
            <w:r>
              <w:rPr>
                <w:rFonts w:eastAsiaTheme="minorEastAsia"/>
                <w:noProof/>
                <w:lang w:val="en-AU" w:eastAsia="en-AU"/>
              </w:rPr>
              <w:tab/>
            </w:r>
            <w:r w:rsidRPr="00C4159A">
              <w:rPr>
                <w:rStyle w:val="Hyperlink"/>
                <w:noProof/>
              </w:rPr>
              <w:t>KPMG November 2020</w:t>
            </w:r>
            <w:r>
              <w:rPr>
                <w:noProof/>
                <w:webHidden/>
              </w:rPr>
              <w:tab/>
            </w:r>
            <w:r>
              <w:rPr>
                <w:noProof/>
                <w:webHidden/>
              </w:rPr>
              <w:fldChar w:fldCharType="begin"/>
            </w:r>
            <w:r>
              <w:rPr>
                <w:noProof/>
                <w:webHidden/>
              </w:rPr>
              <w:instrText xml:space="preserve"> PAGEREF _Toc93085775 \h </w:instrText>
            </w:r>
            <w:r>
              <w:rPr>
                <w:noProof/>
                <w:webHidden/>
              </w:rPr>
            </w:r>
            <w:r>
              <w:rPr>
                <w:noProof/>
                <w:webHidden/>
              </w:rPr>
              <w:fldChar w:fldCharType="separate"/>
            </w:r>
            <w:r>
              <w:rPr>
                <w:noProof/>
                <w:webHidden/>
              </w:rPr>
              <w:t>44</w:t>
            </w:r>
            <w:r>
              <w:rPr>
                <w:noProof/>
                <w:webHidden/>
              </w:rPr>
              <w:fldChar w:fldCharType="end"/>
            </w:r>
          </w:hyperlink>
        </w:p>
        <w:p w14:paraId="70B8A732" w14:textId="73DD8ECD" w:rsidR="009068E6" w:rsidRDefault="009068E6">
          <w:pPr>
            <w:pStyle w:val="TOC3"/>
            <w:tabs>
              <w:tab w:val="left" w:pos="1100"/>
              <w:tab w:val="right" w:leader="dot" w:pos="9016"/>
            </w:tabs>
            <w:rPr>
              <w:rFonts w:eastAsiaTheme="minorEastAsia"/>
              <w:noProof/>
              <w:lang w:val="en-AU" w:eastAsia="en-AU"/>
            </w:rPr>
          </w:pPr>
          <w:hyperlink w:anchor="_Toc93085776" w:history="1">
            <w:r w:rsidRPr="00C4159A">
              <w:rPr>
                <w:rStyle w:val="Hyperlink"/>
                <w:noProof/>
              </w:rPr>
              <w:t>6.5</w:t>
            </w:r>
            <w:r>
              <w:rPr>
                <w:rFonts w:eastAsiaTheme="minorEastAsia"/>
                <w:noProof/>
                <w:lang w:val="en-AU" w:eastAsia="en-AU"/>
              </w:rPr>
              <w:tab/>
            </w:r>
            <w:r w:rsidRPr="00C4159A">
              <w:rPr>
                <w:rStyle w:val="Hyperlink"/>
                <w:noProof/>
              </w:rPr>
              <w:t>Access charges</w:t>
            </w:r>
            <w:r>
              <w:rPr>
                <w:noProof/>
                <w:webHidden/>
              </w:rPr>
              <w:tab/>
            </w:r>
            <w:r>
              <w:rPr>
                <w:noProof/>
                <w:webHidden/>
              </w:rPr>
              <w:fldChar w:fldCharType="begin"/>
            </w:r>
            <w:r>
              <w:rPr>
                <w:noProof/>
                <w:webHidden/>
              </w:rPr>
              <w:instrText xml:space="preserve"> PAGEREF _Toc93085776 \h </w:instrText>
            </w:r>
            <w:r>
              <w:rPr>
                <w:noProof/>
                <w:webHidden/>
              </w:rPr>
            </w:r>
            <w:r>
              <w:rPr>
                <w:noProof/>
                <w:webHidden/>
              </w:rPr>
              <w:fldChar w:fldCharType="separate"/>
            </w:r>
            <w:r>
              <w:rPr>
                <w:noProof/>
                <w:webHidden/>
              </w:rPr>
              <w:t>47</w:t>
            </w:r>
            <w:r>
              <w:rPr>
                <w:noProof/>
                <w:webHidden/>
              </w:rPr>
              <w:fldChar w:fldCharType="end"/>
            </w:r>
          </w:hyperlink>
        </w:p>
        <w:p w14:paraId="76F3240B" w14:textId="1DFEDC09" w:rsidR="009068E6" w:rsidRDefault="009068E6">
          <w:pPr>
            <w:pStyle w:val="TOC2"/>
            <w:tabs>
              <w:tab w:val="left" w:pos="660"/>
              <w:tab w:val="right" w:leader="dot" w:pos="9016"/>
            </w:tabs>
            <w:rPr>
              <w:rFonts w:eastAsiaTheme="minorEastAsia"/>
              <w:noProof/>
              <w:lang w:val="en-AU" w:eastAsia="en-AU"/>
            </w:rPr>
          </w:pPr>
          <w:hyperlink w:anchor="_Toc93085777" w:history="1">
            <w:r w:rsidRPr="00C4159A">
              <w:rPr>
                <w:rStyle w:val="Hyperlink"/>
                <w:noProof/>
              </w:rPr>
              <w:t>7.</w:t>
            </w:r>
            <w:r>
              <w:rPr>
                <w:rFonts w:eastAsiaTheme="minorEastAsia"/>
                <w:noProof/>
                <w:lang w:val="en-AU" w:eastAsia="en-AU"/>
              </w:rPr>
              <w:tab/>
            </w:r>
            <w:r w:rsidRPr="00C4159A">
              <w:rPr>
                <w:rStyle w:val="Hyperlink"/>
                <w:noProof/>
              </w:rPr>
              <w:t>Franchising</w:t>
            </w:r>
            <w:r>
              <w:rPr>
                <w:noProof/>
                <w:webHidden/>
              </w:rPr>
              <w:tab/>
            </w:r>
            <w:r>
              <w:rPr>
                <w:noProof/>
                <w:webHidden/>
              </w:rPr>
              <w:fldChar w:fldCharType="begin"/>
            </w:r>
            <w:r>
              <w:rPr>
                <w:noProof/>
                <w:webHidden/>
              </w:rPr>
              <w:instrText xml:space="preserve"> PAGEREF _Toc93085777 \h </w:instrText>
            </w:r>
            <w:r>
              <w:rPr>
                <w:noProof/>
                <w:webHidden/>
              </w:rPr>
            </w:r>
            <w:r>
              <w:rPr>
                <w:noProof/>
                <w:webHidden/>
              </w:rPr>
              <w:fldChar w:fldCharType="separate"/>
            </w:r>
            <w:r>
              <w:rPr>
                <w:noProof/>
                <w:webHidden/>
              </w:rPr>
              <w:t>58</w:t>
            </w:r>
            <w:r>
              <w:rPr>
                <w:noProof/>
                <w:webHidden/>
              </w:rPr>
              <w:fldChar w:fldCharType="end"/>
            </w:r>
          </w:hyperlink>
        </w:p>
        <w:p w14:paraId="68BAB600" w14:textId="19E09E94" w:rsidR="009068E6" w:rsidRDefault="009068E6">
          <w:pPr>
            <w:pStyle w:val="TOC2"/>
            <w:tabs>
              <w:tab w:val="left" w:pos="660"/>
              <w:tab w:val="right" w:leader="dot" w:pos="9016"/>
            </w:tabs>
            <w:rPr>
              <w:rFonts w:eastAsiaTheme="minorEastAsia"/>
              <w:noProof/>
              <w:lang w:val="en-AU" w:eastAsia="en-AU"/>
            </w:rPr>
          </w:pPr>
          <w:hyperlink w:anchor="_Toc93085778" w:history="1">
            <w:r w:rsidRPr="00C4159A">
              <w:rPr>
                <w:rStyle w:val="Hyperlink"/>
                <w:noProof/>
              </w:rPr>
              <w:t>8.</w:t>
            </w:r>
            <w:r>
              <w:rPr>
                <w:rFonts w:eastAsiaTheme="minorEastAsia"/>
                <w:noProof/>
                <w:lang w:val="en-AU" w:eastAsia="en-AU"/>
              </w:rPr>
              <w:tab/>
            </w:r>
            <w:r w:rsidRPr="00C4159A">
              <w:rPr>
                <w:rStyle w:val="Hyperlink"/>
                <w:noProof/>
              </w:rPr>
              <w:t>Conclusion</w:t>
            </w:r>
            <w:r>
              <w:rPr>
                <w:noProof/>
                <w:webHidden/>
              </w:rPr>
              <w:tab/>
            </w:r>
            <w:r>
              <w:rPr>
                <w:noProof/>
                <w:webHidden/>
              </w:rPr>
              <w:fldChar w:fldCharType="begin"/>
            </w:r>
            <w:r>
              <w:rPr>
                <w:noProof/>
                <w:webHidden/>
              </w:rPr>
              <w:instrText xml:space="preserve"> PAGEREF _Toc93085778 \h </w:instrText>
            </w:r>
            <w:r>
              <w:rPr>
                <w:noProof/>
                <w:webHidden/>
              </w:rPr>
            </w:r>
            <w:r>
              <w:rPr>
                <w:noProof/>
                <w:webHidden/>
              </w:rPr>
              <w:fldChar w:fldCharType="separate"/>
            </w:r>
            <w:r>
              <w:rPr>
                <w:noProof/>
                <w:webHidden/>
              </w:rPr>
              <w:t>60</w:t>
            </w:r>
            <w:r>
              <w:rPr>
                <w:noProof/>
                <w:webHidden/>
              </w:rPr>
              <w:fldChar w:fldCharType="end"/>
            </w:r>
          </w:hyperlink>
        </w:p>
        <w:p w14:paraId="5DE50F84" w14:textId="122704B2" w:rsidR="009068E6" w:rsidRDefault="009068E6">
          <w:pPr>
            <w:pStyle w:val="TOC3"/>
            <w:tabs>
              <w:tab w:val="left" w:pos="1100"/>
              <w:tab w:val="right" w:leader="dot" w:pos="9016"/>
            </w:tabs>
            <w:rPr>
              <w:rFonts w:eastAsiaTheme="minorEastAsia"/>
              <w:noProof/>
              <w:lang w:val="en-AU" w:eastAsia="en-AU"/>
            </w:rPr>
          </w:pPr>
          <w:hyperlink w:anchor="_Toc93085779" w:history="1">
            <w:r w:rsidRPr="00C4159A">
              <w:rPr>
                <w:rStyle w:val="Hyperlink"/>
                <w:noProof/>
              </w:rPr>
              <w:t>8.1</w:t>
            </w:r>
            <w:r>
              <w:rPr>
                <w:rFonts w:eastAsiaTheme="minorEastAsia"/>
                <w:noProof/>
                <w:lang w:val="en-AU" w:eastAsia="en-AU"/>
              </w:rPr>
              <w:tab/>
            </w:r>
            <w:r w:rsidRPr="00C4159A">
              <w:rPr>
                <w:rStyle w:val="Hyperlink"/>
                <w:noProof/>
              </w:rPr>
              <w:t>This series</w:t>
            </w:r>
            <w:r>
              <w:rPr>
                <w:noProof/>
                <w:webHidden/>
              </w:rPr>
              <w:tab/>
            </w:r>
            <w:r>
              <w:rPr>
                <w:noProof/>
                <w:webHidden/>
              </w:rPr>
              <w:fldChar w:fldCharType="begin"/>
            </w:r>
            <w:r>
              <w:rPr>
                <w:noProof/>
                <w:webHidden/>
              </w:rPr>
              <w:instrText xml:space="preserve"> PAGEREF _Toc93085779 \h </w:instrText>
            </w:r>
            <w:r>
              <w:rPr>
                <w:noProof/>
                <w:webHidden/>
              </w:rPr>
            </w:r>
            <w:r>
              <w:rPr>
                <w:noProof/>
                <w:webHidden/>
              </w:rPr>
              <w:fldChar w:fldCharType="separate"/>
            </w:r>
            <w:r>
              <w:rPr>
                <w:noProof/>
                <w:webHidden/>
              </w:rPr>
              <w:t>60</w:t>
            </w:r>
            <w:r>
              <w:rPr>
                <w:noProof/>
                <w:webHidden/>
              </w:rPr>
              <w:fldChar w:fldCharType="end"/>
            </w:r>
          </w:hyperlink>
        </w:p>
        <w:p w14:paraId="37911BE9" w14:textId="2B83DFD4" w:rsidR="009068E6" w:rsidRDefault="009068E6">
          <w:pPr>
            <w:pStyle w:val="TOC3"/>
            <w:tabs>
              <w:tab w:val="left" w:pos="1100"/>
              <w:tab w:val="right" w:leader="dot" w:pos="9016"/>
            </w:tabs>
            <w:rPr>
              <w:rFonts w:eastAsiaTheme="minorEastAsia"/>
              <w:noProof/>
              <w:lang w:val="en-AU" w:eastAsia="en-AU"/>
            </w:rPr>
          </w:pPr>
          <w:hyperlink w:anchor="_Toc93085780" w:history="1">
            <w:r w:rsidRPr="00C4159A">
              <w:rPr>
                <w:rStyle w:val="Hyperlink"/>
                <w:noProof/>
              </w:rPr>
              <w:t>8.2</w:t>
            </w:r>
            <w:r>
              <w:rPr>
                <w:rFonts w:eastAsiaTheme="minorEastAsia"/>
                <w:noProof/>
                <w:lang w:val="en-AU" w:eastAsia="en-AU"/>
              </w:rPr>
              <w:tab/>
            </w:r>
            <w:r w:rsidRPr="00C4159A">
              <w:rPr>
                <w:rStyle w:val="Hyperlink"/>
                <w:noProof/>
              </w:rPr>
              <w:t>Policy SPAD</w:t>
            </w:r>
            <w:r>
              <w:rPr>
                <w:noProof/>
                <w:webHidden/>
              </w:rPr>
              <w:tab/>
            </w:r>
            <w:r>
              <w:rPr>
                <w:noProof/>
                <w:webHidden/>
              </w:rPr>
              <w:fldChar w:fldCharType="begin"/>
            </w:r>
            <w:r>
              <w:rPr>
                <w:noProof/>
                <w:webHidden/>
              </w:rPr>
              <w:instrText xml:space="preserve"> PAGEREF _Toc93085780 \h </w:instrText>
            </w:r>
            <w:r>
              <w:rPr>
                <w:noProof/>
                <w:webHidden/>
              </w:rPr>
            </w:r>
            <w:r>
              <w:rPr>
                <w:noProof/>
                <w:webHidden/>
              </w:rPr>
              <w:fldChar w:fldCharType="separate"/>
            </w:r>
            <w:r>
              <w:rPr>
                <w:noProof/>
                <w:webHidden/>
              </w:rPr>
              <w:t>61</w:t>
            </w:r>
            <w:r>
              <w:rPr>
                <w:noProof/>
                <w:webHidden/>
              </w:rPr>
              <w:fldChar w:fldCharType="end"/>
            </w:r>
          </w:hyperlink>
        </w:p>
        <w:p w14:paraId="224F777B" w14:textId="54E89522" w:rsidR="00651760" w:rsidRDefault="00CC315C" w:rsidP="00931787">
          <w:pPr>
            <w:spacing w:after="0"/>
          </w:pPr>
          <w:r>
            <w:rPr>
              <w:b/>
              <w:bCs/>
              <w:noProof/>
            </w:rPr>
            <w:fldChar w:fldCharType="end"/>
          </w:r>
        </w:p>
      </w:sdtContent>
    </w:sdt>
    <w:p w14:paraId="31D9BA66" w14:textId="6675B33C" w:rsidR="00373988" w:rsidRPr="006A64E0" w:rsidRDefault="00373988" w:rsidP="006A64E0">
      <w:pPr>
        <w:spacing w:after="0"/>
        <w:rPr>
          <w:b/>
          <w:bCs/>
          <w:sz w:val="28"/>
          <w:szCs w:val="28"/>
        </w:rPr>
      </w:pPr>
      <w:bookmarkStart w:id="1" w:name="_Hlk92394590"/>
      <w:r w:rsidRPr="006A64E0">
        <w:rPr>
          <w:b/>
          <w:bCs/>
          <w:sz w:val="28"/>
          <w:szCs w:val="28"/>
        </w:rPr>
        <w:lastRenderedPageBreak/>
        <w:t xml:space="preserve">On </w:t>
      </w:r>
      <w:r w:rsidR="00021819" w:rsidRPr="006A64E0">
        <w:rPr>
          <w:b/>
          <w:bCs/>
          <w:sz w:val="28"/>
          <w:szCs w:val="28"/>
        </w:rPr>
        <w:t xml:space="preserve">a </w:t>
      </w:r>
      <w:r w:rsidRPr="006A64E0">
        <w:rPr>
          <w:b/>
          <w:bCs/>
          <w:sz w:val="28"/>
          <w:szCs w:val="28"/>
        </w:rPr>
        <w:t>page</w:t>
      </w:r>
    </w:p>
    <w:p w14:paraId="6BFD109D" w14:textId="55E3AD27" w:rsidR="001F2B57" w:rsidRDefault="002C3DED" w:rsidP="002C3DED">
      <w:r>
        <w:t xml:space="preserve">Arrangements </w:t>
      </w:r>
      <w:r w:rsidR="001F2B57">
        <w:t>around</w:t>
      </w:r>
      <w:r>
        <w:t xml:space="preserve"> the </w:t>
      </w:r>
      <w:r w:rsidR="001F2B57">
        <w:t xml:space="preserve">NSW </w:t>
      </w:r>
      <w:r>
        <w:t xml:space="preserve">Transport Asset Holding entity </w:t>
      </w:r>
      <w:r w:rsidR="00E911AC">
        <w:t xml:space="preserve">– commuter rail assets </w:t>
      </w:r>
      <w:r w:rsidR="000E5AAF">
        <w:t>held by</w:t>
      </w:r>
      <w:r w:rsidR="00E911AC">
        <w:t xml:space="preserve"> a State-owned corporation that does not undertake physical rail activities - </w:t>
      </w:r>
      <w:r>
        <w:t xml:space="preserve">are being considered by a Parliamentary Inquiry. This follows </w:t>
      </w:r>
      <w:r>
        <w:t xml:space="preserve">media </w:t>
      </w:r>
      <w:r>
        <w:t>uproar about whether the</w:t>
      </w:r>
      <w:r w:rsidR="000E5AAF">
        <w:t>y are</w:t>
      </w:r>
      <w:r>
        <w:t xml:space="preserve"> an accounting </w:t>
      </w:r>
      <w:r w:rsidR="00791AB0">
        <w:t>sham</w:t>
      </w:r>
      <w:r w:rsidR="001F2B57">
        <w:t>.</w:t>
      </w:r>
    </w:p>
    <w:p w14:paraId="5F60A86B" w14:textId="4E601A69" w:rsidR="00F5298B" w:rsidRDefault="001F2B57" w:rsidP="00373988">
      <w:r>
        <w:t xml:space="preserve">The </w:t>
      </w:r>
      <w:r w:rsidR="002827B9">
        <w:t>scheme</w:t>
      </w:r>
      <w:r>
        <w:t xml:space="preserve"> resemble</w:t>
      </w:r>
      <w:r w:rsidR="002827B9">
        <w:t>s</w:t>
      </w:r>
      <w:r>
        <w:t xml:space="preserve"> th</w:t>
      </w:r>
      <w:r w:rsidR="002827B9">
        <w:t>at</w:t>
      </w:r>
      <w:r>
        <w:t xml:space="preserve"> for NSW </w:t>
      </w:r>
      <w:r w:rsidR="00F65714">
        <w:t>railways</w:t>
      </w:r>
      <w:r>
        <w:t xml:space="preserve"> 1996-2000.  </w:t>
      </w:r>
      <w:r w:rsidR="00373988">
        <w:t xml:space="preserve">The Policy SPAD article </w:t>
      </w:r>
      <w:r w:rsidR="003F3827">
        <w:t xml:space="preserve">of July 2021 </w:t>
      </w:r>
      <w:r w:rsidR="00373988">
        <w:t xml:space="preserve">questioned whether </w:t>
      </w:r>
      <w:r>
        <w:t>l</w:t>
      </w:r>
      <w:r w:rsidR="00373988">
        <w:t xml:space="preserve">essons </w:t>
      </w:r>
      <w:r w:rsidR="00F65714">
        <w:t>were</w:t>
      </w:r>
      <w:r>
        <w:t xml:space="preserve"> learned from th</w:t>
      </w:r>
      <w:r w:rsidR="00BC4DC9">
        <w:t xml:space="preserve">en </w:t>
      </w:r>
      <w:r w:rsidR="00F65714">
        <w:t>– including from Commissions</w:t>
      </w:r>
      <w:r w:rsidR="00E911AC">
        <w:t xml:space="preserve"> of Inquiry into two rail crashes</w:t>
      </w:r>
      <w:r>
        <w:t>.</w:t>
      </w:r>
      <w:r w:rsidR="00492CBA">
        <w:t xml:space="preserve">  </w:t>
      </w:r>
      <w:r w:rsidR="003F3827">
        <w:t xml:space="preserve">A November </w:t>
      </w:r>
      <w:r w:rsidR="00492CBA">
        <w:t>update</w:t>
      </w:r>
      <w:r w:rsidR="003F3827">
        <w:t xml:space="preserve"> suggested</w:t>
      </w:r>
      <w:r w:rsidR="00492CBA">
        <w:t xml:space="preserve"> not</w:t>
      </w:r>
      <w:r w:rsidR="003F3827">
        <w:t xml:space="preserve">.  </w:t>
      </w:r>
      <w:r w:rsidR="00547BE3">
        <w:t>R</w:t>
      </w:r>
      <w:r w:rsidR="003F3827">
        <w:t>easons</w:t>
      </w:r>
      <w:r w:rsidR="00F5298B">
        <w:t xml:space="preserve"> included</w:t>
      </w:r>
      <w:r w:rsidR="00E911AC">
        <w:t>:</w:t>
      </w:r>
      <w:r w:rsidR="00F5298B">
        <w:t xml:space="preserve"> </w:t>
      </w:r>
      <w:r w:rsidR="00F65714">
        <w:t xml:space="preserve">Government advice and decisions </w:t>
      </w:r>
      <w:r w:rsidR="002827B9">
        <w:t>on the present scheme are</w:t>
      </w:r>
      <w:r w:rsidR="00F5298B">
        <w:t xml:space="preserve"> </w:t>
      </w:r>
      <w:r w:rsidR="00440E91">
        <w:t>predicated</w:t>
      </w:r>
      <w:r w:rsidR="00F5298B">
        <w:t xml:space="preserve"> on </w:t>
      </w:r>
      <w:r w:rsidR="00775764">
        <w:t>mi</w:t>
      </w:r>
      <w:r w:rsidR="00547BE3">
        <w:t>stake</w:t>
      </w:r>
      <w:r w:rsidR="005B7AD6">
        <w:t>s</w:t>
      </w:r>
      <w:r w:rsidR="00547BE3">
        <w:t xml:space="preserve"> about </w:t>
      </w:r>
      <w:r w:rsidR="00F65714">
        <w:t>the Commissions</w:t>
      </w:r>
      <w:r w:rsidR="00F5298B">
        <w:t>.</w:t>
      </w:r>
      <w:r w:rsidR="00F65714">
        <w:t xml:space="preserve">  </w:t>
      </w:r>
      <w:r w:rsidR="00093332">
        <w:t xml:space="preserve">Contrary to </w:t>
      </w:r>
      <w:r w:rsidR="002827B9">
        <w:t>prevailing</w:t>
      </w:r>
      <w:r w:rsidR="00F65714">
        <w:t xml:space="preserve"> views</w:t>
      </w:r>
      <w:r w:rsidR="00093332">
        <w:t>, t</w:t>
      </w:r>
      <w:r w:rsidR="00F5298B">
        <w:t xml:space="preserve">he </w:t>
      </w:r>
      <w:r w:rsidR="00F65714">
        <w:t xml:space="preserve">Commissions recommended against </w:t>
      </w:r>
      <w:r w:rsidR="00F5298B">
        <w:t xml:space="preserve">the type of </w:t>
      </w:r>
      <w:r w:rsidR="002827B9">
        <w:t>scheme</w:t>
      </w:r>
      <w:r w:rsidR="00F5298B">
        <w:t xml:space="preserve"> </w:t>
      </w:r>
      <w:r w:rsidR="00BC4DC9">
        <w:t>now in place</w:t>
      </w:r>
      <w:r w:rsidR="00F5298B">
        <w:t>.</w:t>
      </w:r>
    </w:p>
    <w:p w14:paraId="5E55C413" w14:textId="77777777" w:rsidR="00A94D02" w:rsidRDefault="00E66C9E" w:rsidP="00B5510B">
      <w:r>
        <w:t xml:space="preserve">This </w:t>
      </w:r>
      <w:r w:rsidR="00440E91">
        <w:t xml:space="preserve">second </w:t>
      </w:r>
      <w:r>
        <w:t>update considers</w:t>
      </w:r>
      <w:r w:rsidR="00F63810">
        <w:t xml:space="preserve"> </w:t>
      </w:r>
      <w:r>
        <w:t xml:space="preserve">evidence provided to the Parliamentary Inquiry.  </w:t>
      </w:r>
      <w:r w:rsidR="00A94D02">
        <w:t>Some of it was</w:t>
      </w:r>
      <w:r w:rsidR="00F63810">
        <w:t xml:space="preserve"> </w:t>
      </w:r>
      <w:r w:rsidR="00D71922">
        <w:t>emphatic</w:t>
      </w:r>
      <w:r w:rsidR="00A94D02">
        <w:t>, claiming</w:t>
      </w:r>
      <w:r w:rsidR="00E944EB">
        <w:t xml:space="preserve"> ‘false narratives’ </w:t>
      </w:r>
      <w:r w:rsidR="00F65714">
        <w:t>were</w:t>
      </w:r>
      <w:r w:rsidR="00E944EB">
        <w:t xml:space="preserve"> spread by opponents of ‘the reform’</w:t>
      </w:r>
      <w:r w:rsidR="00093332">
        <w:t>.</w:t>
      </w:r>
      <w:r w:rsidR="00492CBA">
        <w:t xml:space="preserve">  </w:t>
      </w:r>
    </w:p>
    <w:p w14:paraId="035A404D" w14:textId="4F570030" w:rsidR="00A46094" w:rsidRDefault="004E58D2" w:rsidP="00B5510B">
      <w:r>
        <w:t xml:space="preserve">There </w:t>
      </w:r>
      <w:r w:rsidR="00A94D02">
        <w:t>has not been</w:t>
      </w:r>
      <w:r w:rsidR="00440E91">
        <w:t xml:space="preserve"> the slightest acknowledgement </w:t>
      </w:r>
      <w:r w:rsidR="00775764">
        <w:t xml:space="preserve">of what </w:t>
      </w:r>
      <w:r>
        <w:t>the crash Commissions recommended</w:t>
      </w:r>
      <w:r w:rsidR="00775764">
        <w:t>:</w:t>
      </w:r>
      <w:r>
        <w:t xml:space="preserve"> rail infrastructure assets should be maintained by their owner. </w:t>
      </w:r>
      <w:r w:rsidR="002827B9">
        <w:t>Or</w:t>
      </w:r>
      <w:r>
        <w:t xml:space="preserve"> that </w:t>
      </w:r>
      <w:r w:rsidR="00775764">
        <w:t xml:space="preserve">the </w:t>
      </w:r>
      <w:r>
        <w:t xml:space="preserve">owner should be a statutory authority, not a State-owned corporation. </w:t>
      </w:r>
      <w:r w:rsidR="005C00A1">
        <w:t xml:space="preserve"> </w:t>
      </w:r>
    </w:p>
    <w:p w14:paraId="792F3492" w14:textId="72201946" w:rsidR="00791AB0" w:rsidRDefault="005C00A1" w:rsidP="00B5510B">
      <w:r>
        <w:t>I</w:t>
      </w:r>
      <w:r w:rsidR="004E58D2">
        <w:t xml:space="preserve">t </w:t>
      </w:r>
      <w:r w:rsidR="005B7AD6">
        <w:t>wa</w:t>
      </w:r>
      <w:r w:rsidR="004E58D2">
        <w:t xml:space="preserve">s said the Entity will provide another level of safety related ‘assurance’.  </w:t>
      </w:r>
      <w:r>
        <w:t>Yet t</w:t>
      </w:r>
      <w:r w:rsidR="004E58D2">
        <w:t>hat</w:t>
      </w:r>
      <w:r w:rsidR="00C72D5A">
        <w:t xml:space="preserve"> conflicts with the basic principle of rail safety management.  </w:t>
      </w:r>
      <w:r w:rsidR="00775764">
        <w:t>D</w:t>
      </w:r>
      <w:r w:rsidR="00C72D5A">
        <w:t xml:space="preserve">anger </w:t>
      </w:r>
      <w:r w:rsidR="005B7AD6">
        <w:t xml:space="preserve">can </w:t>
      </w:r>
      <w:r w:rsidR="00C72D5A">
        <w:t>already be seen</w:t>
      </w:r>
      <w:r w:rsidR="00BE61D5">
        <w:t xml:space="preserve"> in, for example: obtuse /disputed statements about decision making; inability to say where responsibility rests; misunderstandings of basic facts about other railways; uncertainties about maintenance.  And, to reiterate, the evidence </w:t>
      </w:r>
      <w:r w:rsidR="00791AB0">
        <w:t>suggests fail</w:t>
      </w:r>
      <w:r w:rsidR="00D34CB9">
        <w:t>ure</w:t>
      </w:r>
      <w:r w:rsidR="00791AB0">
        <w:t xml:space="preserve"> to </w:t>
      </w:r>
      <w:r w:rsidR="00775764">
        <w:t>comprehend</w:t>
      </w:r>
      <w:r w:rsidR="00791AB0">
        <w:t xml:space="preserve"> the post 1996 crash Commission reports.</w:t>
      </w:r>
    </w:p>
    <w:p w14:paraId="1F69CA9E" w14:textId="509F422F" w:rsidR="00A07275" w:rsidRDefault="005C00A1" w:rsidP="00B5510B">
      <w:r>
        <w:t>A</w:t>
      </w:r>
      <w:r w:rsidR="00791AB0">
        <w:t xml:space="preserve"> </w:t>
      </w:r>
      <w:r w:rsidR="00775764">
        <w:t xml:space="preserve">counter to </w:t>
      </w:r>
      <w:r w:rsidR="002827B9">
        <w:t xml:space="preserve">the claim </w:t>
      </w:r>
      <w:r w:rsidR="00492CBA">
        <w:t>of</w:t>
      </w:r>
      <w:r w:rsidR="00791AB0">
        <w:t xml:space="preserve"> </w:t>
      </w:r>
      <w:r w:rsidR="00492CBA">
        <w:t>‘</w:t>
      </w:r>
      <w:r w:rsidR="00791AB0">
        <w:t>accounting artifice</w:t>
      </w:r>
      <w:r w:rsidR="00492CBA">
        <w:t>’</w:t>
      </w:r>
      <w:r w:rsidR="00791AB0">
        <w:t xml:space="preserve"> </w:t>
      </w:r>
      <w:r w:rsidR="005B7AD6">
        <w:t>wa</w:t>
      </w:r>
      <w:r w:rsidR="00775764">
        <w:t>s</w:t>
      </w:r>
      <w:r w:rsidR="00791AB0">
        <w:t xml:space="preserve"> </w:t>
      </w:r>
      <w:r w:rsidR="00A07275">
        <w:t>a</w:t>
      </w:r>
      <w:r w:rsidR="002827B9">
        <w:t xml:space="preserve">n argument the </w:t>
      </w:r>
      <w:r>
        <w:t xml:space="preserve">present </w:t>
      </w:r>
      <w:r w:rsidR="002827B9">
        <w:t>scheme</w:t>
      </w:r>
      <w:r w:rsidR="00791AB0">
        <w:t xml:space="preserve"> is </w:t>
      </w:r>
      <w:r w:rsidR="00F5134D">
        <w:t>a</w:t>
      </w:r>
      <w:r w:rsidR="00791AB0">
        <w:t xml:space="preserve"> p</w:t>
      </w:r>
      <w:r w:rsidR="00F5134D">
        <w:t>art</w:t>
      </w:r>
      <w:r w:rsidR="00791AB0">
        <w:t xml:space="preserve"> of micro-economic reform, building on the Hilmer report</w:t>
      </w:r>
      <w:r w:rsidR="00E911AC">
        <w:t>, part of national competition policy</w:t>
      </w:r>
      <w:r w:rsidR="00791AB0">
        <w:t>.</w:t>
      </w:r>
      <w:r w:rsidR="000D697C">
        <w:t xml:space="preserve">  </w:t>
      </w:r>
      <w:r w:rsidR="00791AB0">
        <w:t xml:space="preserve">That is </w:t>
      </w:r>
      <w:r w:rsidR="000D697C">
        <w:t>rubbish</w:t>
      </w:r>
      <w:r w:rsidR="00791AB0">
        <w:t>.</w:t>
      </w:r>
      <w:r w:rsidR="000D697C">
        <w:t xml:space="preserve">  </w:t>
      </w:r>
      <w:r w:rsidR="002827B9">
        <w:t xml:space="preserve">The </w:t>
      </w:r>
      <w:r>
        <w:t>reasons</w:t>
      </w:r>
      <w:r w:rsidR="003D2DA8">
        <w:t xml:space="preserve"> </w:t>
      </w:r>
      <w:r w:rsidR="00A94D02">
        <w:t xml:space="preserve">given for the present scheme </w:t>
      </w:r>
      <w:r w:rsidR="003D2DA8">
        <w:t xml:space="preserve">are virtually identical with those for </w:t>
      </w:r>
      <w:r w:rsidR="00A07275">
        <w:t>t</w:t>
      </w:r>
      <w:r w:rsidR="000D697C">
        <w:t xml:space="preserve">he 1996 </w:t>
      </w:r>
      <w:r w:rsidR="00A94D02">
        <w:t>scheme</w:t>
      </w:r>
      <w:r>
        <w:t xml:space="preserve"> – </w:t>
      </w:r>
      <w:r w:rsidR="00A94D02">
        <w:t>which</w:t>
      </w:r>
      <w:r>
        <w:t xml:space="preserve"> have been discredited for over two decades</w:t>
      </w:r>
      <w:r w:rsidR="003D2DA8">
        <w:t>.</w:t>
      </w:r>
      <w:r w:rsidR="005B7AD6">
        <w:t xml:space="preserve"> The </w:t>
      </w:r>
      <w:r w:rsidR="002827B9">
        <w:t>present scheme</w:t>
      </w:r>
      <w:r w:rsidR="00A07275">
        <w:t xml:space="preserve"> </w:t>
      </w:r>
      <w:r w:rsidR="005B7AD6">
        <w:t>re-instate</w:t>
      </w:r>
      <w:r w:rsidR="002827B9">
        <w:t>s</w:t>
      </w:r>
      <w:r w:rsidR="005B7AD6">
        <w:t xml:space="preserve"> </w:t>
      </w:r>
      <w:r w:rsidR="003D2DA8">
        <w:t xml:space="preserve">the </w:t>
      </w:r>
      <w:r w:rsidR="005B7AD6">
        <w:t xml:space="preserve">aspects of the 1996 </w:t>
      </w:r>
      <w:r w:rsidR="00A07275">
        <w:t xml:space="preserve">changes </w:t>
      </w:r>
      <w:r w:rsidR="005B7AD6">
        <w:t>dismissed</w:t>
      </w:r>
      <w:r w:rsidR="00A07275">
        <w:t xml:space="preserve"> </w:t>
      </w:r>
      <w:r>
        <w:t>by the Productivity Commission and Special Commission</w:t>
      </w:r>
      <w:r w:rsidR="004619C1">
        <w:t>s</w:t>
      </w:r>
      <w:r>
        <w:t xml:space="preserve"> of Inquir</w:t>
      </w:r>
      <w:r w:rsidR="004619C1">
        <w:t>y</w:t>
      </w:r>
      <w:r>
        <w:t xml:space="preserve"> </w:t>
      </w:r>
      <w:r w:rsidR="00A07275">
        <w:t>as ideological</w:t>
      </w:r>
      <w:r>
        <w:t xml:space="preserve"> and</w:t>
      </w:r>
      <w:r w:rsidR="00A07275">
        <w:t xml:space="preserve"> irrelevant to reform</w:t>
      </w:r>
      <w:r>
        <w:t xml:space="preserve"> – and that were</w:t>
      </w:r>
      <w:r w:rsidR="00A07275">
        <w:t xml:space="preserve"> eventually thrown-out.</w:t>
      </w:r>
    </w:p>
    <w:p w14:paraId="21396C41" w14:textId="0CA0EA90" w:rsidR="00047347" w:rsidRDefault="005C00A1" w:rsidP="00B5510B">
      <w:r>
        <w:t>Tellingly</w:t>
      </w:r>
      <w:r w:rsidR="00492CBA">
        <w:t xml:space="preserve">, </w:t>
      </w:r>
      <w:r w:rsidR="00A94D02">
        <w:t xml:space="preserve">neither the 1996 nor present </w:t>
      </w:r>
      <w:r>
        <w:t xml:space="preserve">scheme </w:t>
      </w:r>
      <w:r w:rsidR="00047347">
        <w:t>compli</w:t>
      </w:r>
      <w:r w:rsidR="00A94D02">
        <w:t>ed</w:t>
      </w:r>
      <w:r w:rsidR="00047347">
        <w:t xml:space="preserve"> with </w:t>
      </w:r>
      <w:r>
        <w:t xml:space="preserve">the </w:t>
      </w:r>
      <w:r w:rsidR="00A94D02">
        <w:t xml:space="preserve">one </w:t>
      </w:r>
      <w:r>
        <w:t xml:space="preserve">actual requirement of </w:t>
      </w:r>
      <w:r w:rsidR="00047347">
        <w:t xml:space="preserve">national competition policy </w:t>
      </w:r>
      <w:r>
        <w:t xml:space="preserve">- </w:t>
      </w:r>
      <w:r w:rsidR="00047347">
        <w:t xml:space="preserve">a </w:t>
      </w:r>
      <w:r w:rsidR="00492CBA">
        <w:t xml:space="preserve">sector </w:t>
      </w:r>
      <w:r w:rsidR="00047347">
        <w:t>review prior to structural change.</w:t>
      </w:r>
    </w:p>
    <w:p w14:paraId="50DF6AF7" w14:textId="0098056C" w:rsidR="00FB7585" w:rsidRDefault="00A46094" w:rsidP="00373988">
      <w:r>
        <w:t xml:space="preserve">There are </w:t>
      </w:r>
      <w:r w:rsidR="00D34CB9">
        <w:t>dubious</w:t>
      </w:r>
      <w:r w:rsidR="003D2DA8">
        <w:t xml:space="preserve"> claims about </w:t>
      </w:r>
      <w:r w:rsidR="00FB7585">
        <w:t xml:space="preserve">other matters for example: </w:t>
      </w:r>
      <w:r w:rsidR="003D2DA8">
        <w:t>t</w:t>
      </w:r>
      <w:r w:rsidR="00A07275">
        <w:t>rack access</w:t>
      </w:r>
      <w:r w:rsidR="00FB7585">
        <w:t>;</w:t>
      </w:r>
      <w:r w:rsidR="003D2DA8">
        <w:t xml:space="preserve"> vertical integration/separation</w:t>
      </w:r>
      <w:r w:rsidR="00FB7585">
        <w:t>;</w:t>
      </w:r>
      <w:r w:rsidR="003D2DA8">
        <w:t xml:space="preserve"> structures/practices in other States.  I</w:t>
      </w:r>
      <w:r w:rsidR="00BC2039">
        <w:t>n conjunction with the above</w:t>
      </w:r>
      <w:r w:rsidR="00FE0278">
        <w:t>,</w:t>
      </w:r>
      <w:r w:rsidR="00BC2039">
        <w:t xml:space="preserve"> it appears </w:t>
      </w:r>
      <w:r w:rsidR="003D2DA8">
        <w:t>the</w:t>
      </w:r>
      <w:r>
        <w:t xml:space="preserve">re is a lack of </w:t>
      </w:r>
      <w:r w:rsidR="003D2DA8">
        <w:t>aware</w:t>
      </w:r>
      <w:r>
        <w:t>ness</w:t>
      </w:r>
      <w:r w:rsidR="003D2DA8">
        <w:t xml:space="preserve"> of </w:t>
      </w:r>
      <w:r w:rsidR="00BC2039">
        <w:t xml:space="preserve">prior experience and </w:t>
      </w:r>
      <w:r w:rsidR="003D2DA8">
        <w:t xml:space="preserve">the outside world.  </w:t>
      </w:r>
    </w:p>
    <w:p w14:paraId="05CBCBA2" w14:textId="4C0234BF" w:rsidR="00C77DAE" w:rsidRDefault="003D2DA8" w:rsidP="00373988">
      <w:r>
        <w:t xml:space="preserve">In </w:t>
      </w:r>
      <w:r w:rsidR="00AD49E3">
        <w:t>the</w:t>
      </w:r>
      <w:r>
        <w:t xml:space="preserve"> circumstances</w:t>
      </w:r>
      <w:r w:rsidR="00BC2039">
        <w:t>,</w:t>
      </w:r>
      <w:r>
        <w:t xml:space="preserve"> explanation</w:t>
      </w:r>
      <w:r w:rsidR="00BC2039">
        <w:t>s</w:t>
      </w:r>
      <w:r>
        <w:t xml:space="preserve"> </w:t>
      </w:r>
      <w:r w:rsidR="00AD49E3">
        <w:t>of</w:t>
      </w:r>
      <w:r w:rsidR="00FB7585">
        <w:t xml:space="preserve"> </w:t>
      </w:r>
      <w:r w:rsidR="001112A9">
        <w:t>the Entity scheme</w:t>
      </w:r>
      <w:r>
        <w:t xml:space="preserve"> reflect</w:t>
      </w:r>
      <w:r w:rsidR="00AD49E3">
        <w:t>ing</w:t>
      </w:r>
      <w:r>
        <w:t xml:space="preserve"> </w:t>
      </w:r>
      <w:r w:rsidR="00FB7585">
        <w:t xml:space="preserve">a wish for certain accounting </w:t>
      </w:r>
      <w:r w:rsidR="00BC2039">
        <w:t>outcome</w:t>
      </w:r>
      <w:r w:rsidR="00AD49E3">
        <w:t>s</w:t>
      </w:r>
      <w:r>
        <w:t xml:space="preserve"> </w:t>
      </w:r>
      <w:r w:rsidR="00FB7585">
        <w:t>would be less concerning</w:t>
      </w:r>
      <w:r w:rsidR="00FE0278">
        <w:t xml:space="preserve"> than a belief it is a genuine microeconomic reform</w:t>
      </w:r>
      <w:r w:rsidR="00FB7585">
        <w:t xml:space="preserve">. </w:t>
      </w:r>
      <w:r w:rsidR="00C77DAE">
        <w:t xml:space="preserve"> </w:t>
      </w:r>
    </w:p>
    <w:p w14:paraId="4F5A2664" w14:textId="5A7534DE" w:rsidR="00BC4DC9" w:rsidRDefault="00BC2039" w:rsidP="00373988">
      <w:r>
        <w:t>H</w:t>
      </w:r>
      <w:r w:rsidR="00FB7585">
        <w:t xml:space="preserve">owever, accepting what </w:t>
      </w:r>
      <w:r w:rsidR="00AD49E3">
        <w:t>was</w:t>
      </w:r>
      <w:r w:rsidR="00FB7585">
        <w:t xml:space="preserve"> said to reflect honest opinion</w:t>
      </w:r>
      <w:r w:rsidR="000E5AAF">
        <w:t xml:space="preserve">, </w:t>
      </w:r>
      <w:r w:rsidR="00AD49E3">
        <w:t>issues</w:t>
      </w:r>
      <w:r>
        <w:t xml:space="preserve"> extend beyond the </w:t>
      </w:r>
      <w:r w:rsidR="000E5AAF">
        <w:t xml:space="preserve">Entity </w:t>
      </w:r>
      <w:r w:rsidR="00AD49E3">
        <w:t>t</w:t>
      </w:r>
      <w:r>
        <w:t>o</w:t>
      </w:r>
      <w:r w:rsidR="000E5AAF">
        <w:t xml:space="preserve"> other aspects of policy which may be similarly </w:t>
      </w:r>
      <w:r w:rsidR="00F63810">
        <w:t xml:space="preserve">based on </w:t>
      </w:r>
      <w:r w:rsidR="00D34CB9">
        <w:t>misunderstanding</w:t>
      </w:r>
      <w:r w:rsidR="006953CF">
        <w:t>s</w:t>
      </w:r>
      <w:r w:rsidR="00AD49E3">
        <w:t xml:space="preserve"> and bad advice</w:t>
      </w:r>
      <w:r w:rsidR="000E5AAF">
        <w:t xml:space="preserve">.  Among these </w:t>
      </w:r>
      <w:r>
        <w:t>is</w:t>
      </w:r>
      <w:r w:rsidR="000E5AAF">
        <w:t xml:space="preserve"> Sydney Metro whose commonalities with the </w:t>
      </w:r>
      <w:r>
        <w:t>scheme</w:t>
      </w:r>
      <w:r w:rsidR="000E5AAF">
        <w:t xml:space="preserve"> are not limited to same </w:t>
      </w:r>
      <w:r w:rsidR="00AD49E3">
        <w:t>time/</w:t>
      </w:r>
      <w:r>
        <w:t>portfolio</w:t>
      </w:r>
      <w:r w:rsidR="000E5AAF">
        <w:t xml:space="preserve"> origins.</w:t>
      </w:r>
    </w:p>
    <w:p w14:paraId="1C781868" w14:textId="36806D74" w:rsidR="00BC2039" w:rsidRDefault="00BC4DC9" w:rsidP="00373988">
      <w:r>
        <w:t xml:space="preserve">It is possible the </w:t>
      </w:r>
      <w:r w:rsidR="00F5134D">
        <w:t xml:space="preserve">Entity scheme and ensuing </w:t>
      </w:r>
      <w:r>
        <w:t xml:space="preserve">uproar arose from bureaucratic plays to lead future commuter rail franchising processes.  </w:t>
      </w:r>
      <w:r w:rsidR="00E12F7D">
        <w:t>What is</w:t>
      </w:r>
      <w:r>
        <w:t xml:space="preserve"> on public display should scotch any prospect</w:t>
      </w:r>
      <w:r w:rsidR="00F63810">
        <w:t xml:space="preserve"> of franchising until confidence </w:t>
      </w:r>
      <w:r w:rsidR="00A94D02">
        <w:t xml:space="preserve">in </w:t>
      </w:r>
      <w:r w:rsidR="00F63810">
        <w:t>advice and decision making</w:t>
      </w:r>
      <w:r w:rsidR="00A94D02">
        <w:t xml:space="preserve"> is restored</w:t>
      </w:r>
      <w:r>
        <w:t>.</w:t>
      </w:r>
      <w:r w:rsidR="0012423A">
        <w:t xml:space="preserve">  Attempted defences of the situation, frankly, have been embarrassing.</w:t>
      </w:r>
      <w:r w:rsidR="000E5AAF">
        <w:t xml:space="preserve">  </w:t>
      </w:r>
    </w:p>
    <w:p w14:paraId="352296A0" w14:textId="3DB8D3DA" w:rsidR="000E5AAF" w:rsidRDefault="000E5AAF" w:rsidP="00373988">
      <w:r>
        <w:t xml:space="preserve">A judicial style inquiry into NSW Transport policy is </w:t>
      </w:r>
      <w:r w:rsidR="00963C57">
        <w:t xml:space="preserve">more than </w:t>
      </w:r>
      <w:r>
        <w:t>warranted</w:t>
      </w:r>
      <w:r w:rsidR="00BC2039">
        <w:t>.  It is likely</w:t>
      </w:r>
      <w:r>
        <w:t xml:space="preserve"> inevitable.</w:t>
      </w:r>
    </w:p>
    <w:p w14:paraId="18FA9863" w14:textId="6C32156D" w:rsidR="0085368B" w:rsidRDefault="00A752BF" w:rsidP="001112A9">
      <w:pPr>
        <w:pStyle w:val="Heading2"/>
      </w:pPr>
      <w:bookmarkStart w:id="2" w:name="_Toc93085750"/>
      <w:bookmarkEnd w:id="1"/>
      <w:r w:rsidRPr="00A752BF">
        <w:lastRenderedPageBreak/>
        <w:t>1.</w:t>
      </w:r>
      <w:r>
        <w:tab/>
      </w:r>
      <w:r w:rsidR="0085368B">
        <w:t>Introduction</w:t>
      </w:r>
      <w:bookmarkEnd w:id="2"/>
    </w:p>
    <w:p w14:paraId="60B4D1EC" w14:textId="0E556449" w:rsidR="0085368B" w:rsidRDefault="0085368B" w:rsidP="00931787">
      <w:pPr>
        <w:spacing w:after="0"/>
      </w:pPr>
      <w:r>
        <w:t xml:space="preserve">The </w:t>
      </w:r>
      <w:r w:rsidR="00FC7146">
        <w:t xml:space="preserve">scheme surrounding the </w:t>
      </w:r>
      <w:r>
        <w:t>Transport Asset Holding Entity was the topic of the Policy SPAD article.  That article was the basis of a submission to the current Legislative Council Committee inquiry.</w:t>
      </w:r>
      <w:r w:rsidR="00510B9E">
        <w:rPr>
          <w:rStyle w:val="FootnoteReference"/>
        </w:rPr>
        <w:footnoteReference w:id="1"/>
      </w:r>
    </w:p>
    <w:p w14:paraId="03DE7FDB" w14:textId="11B6B5D8" w:rsidR="00B71B9F" w:rsidRDefault="00B71B9F" w:rsidP="00931787">
      <w:pPr>
        <w:spacing w:after="0"/>
      </w:pPr>
    </w:p>
    <w:p w14:paraId="5CEAA652" w14:textId="658EEA93" w:rsidR="0034583C" w:rsidRDefault="00B71B9F" w:rsidP="00931787">
      <w:pPr>
        <w:spacing w:after="0"/>
      </w:pPr>
      <w:r>
        <w:t xml:space="preserve">Most commentary regarding </w:t>
      </w:r>
      <w:r w:rsidR="009A2661">
        <w:t xml:space="preserve">the </w:t>
      </w:r>
      <w:r w:rsidR="00B108DD">
        <w:t xml:space="preserve">scheme </w:t>
      </w:r>
      <w:r>
        <w:t xml:space="preserve">concerned </w:t>
      </w:r>
      <w:r w:rsidR="000631F0">
        <w:t>financial deception</w:t>
      </w:r>
      <w:r w:rsidR="0034583C">
        <w:t xml:space="preserve"> – that </w:t>
      </w:r>
      <w:r w:rsidR="00FC7146">
        <w:t>the scheme’</w:t>
      </w:r>
      <w:r w:rsidR="000C05E2">
        <w:t xml:space="preserve">s </w:t>
      </w:r>
      <w:r w:rsidR="0034583C">
        <w:t xml:space="preserve">purpose </w:t>
      </w:r>
      <w:r w:rsidR="000C05E2">
        <w:t>is</w:t>
      </w:r>
      <w:r w:rsidR="0034583C">
        <w:t xml:space="preserve"> to effect </w:t>
      </w:r>
      <w:r w:rsidR="00B108DD">
        <w:t>accounting</w:t>
      </w:r>
      <w:r w:rsidR="000C05E2">
        <w:t xml:space="preserve"> </w:t>
      </w:r>
      <w:r w:rsidR="00B108DD">
        <w:t>to</w:t>
      </w:r>
      <w:r w:rsidR="000C05E2">
        <w:t xml:space="preserve"> </w:t>
      </w:r>
      <w:r w:rsidR="0034583C">
        <w:t>avoid showing</w:t>
      </w:r>
      <w:r w:rsidR="003E36A1">
        <w:t xml:space="preserve"> </w:t>
      </w:r>
      <w:r w:rsidR="0034583C">
        <w:t>Government spending in the Budget.</w:t>
      </w:r>
      <w:r>
        <w:t xml:space="preserve">  </w:t>
      </w:r>
      <w:r w:rsidR="00E929E4">
        <w:t xml:space="preserve">Some commentary concerned the behaviour and motivation of </w:t>
      </w:r>
      <w:r w:rsidR="008971F6">
        <w:t>parties to the debate</w:t>
      </w:r>
      <w:r w:rsidR="00E929E4">
        <w:t>.</w:t>
      </w:r>
      <w:r w:rsidR="000631F0">
        <w:t xml:space="preserve">  </w:t>
      </w:r>
    </w:p>
    <w:p w14:paraId="38AAA604" w14:textId="77777777" w:rsidR="0034583C" w:rsidRDefault="0034583C" w:rsidP="00931787">
      <w:pPr>
        <w:spacing w:after="0"/>
      </w:pPr>
    </w:p>
    <w:p w14:paraId="1F1503BB" w14:textId="53B41B2B" w:rsidR="000631F0" w:rsidRDefault="00B71B9F" w:rsidP="00931787">
      <w:pPr>
        <w:spacing w:after="0"/>
      </w:pPr>
      <w:r>
        <w:t xml:space="preserve">The </w:t>
      </w:r>
      <w:r w:rsidR="009A2661">
        <w:t xml:space="preserve">Policy SPAD </w:t>
      </w:r>
      <w:r>
        <w:t>article</w:t>
      </w:r>
      <w:r w:rsidR="00E929E4">
        <w:t xml:space="preserve"> was not concerned with th</w:t>
      </w:r>
      <w:r w:rsidR="000C05E2">
        <w:t xml:space="preserve">at.  </w:t>
      </w:r>
      <w:r w:rsidR="00E929E4">
        <w:t xml:space="preserve">Rather </w:t>
      </w:r>
      <w:r w:rsidR="000631F0">
        <w:t>i</w:t>
      </w:r>
      <w:r w:rsidR="005616E2">
        <w:t>t was interested in</w:t>
      </w:r>
      <w:r>
        <w:t xml:space="preserve"> whether </w:t>
      </w:r>
      <w:r w:rsidR="00B108DD">
        <w:t>the scheme</w:t>
      </w:r>
      <w:r w:rsidR="005616E2">
        <w:t xml:space="preserve"> </w:t>
      </w:r>
      <w:r>
        <w:t>replicated aspects of the NSW 1996 rail structur</w:t>
      </w:r>
      <w:r w:rsidR="007D74FD">
        <w:t>e</w:t>
      </w:r>
      <w:r w:rsidR="00905242">
        <w:t xml:space="preserve"> </w:t>
      </w:r>
      <w:r w:rsidR="000631F0">
        <w:t>that</w:t>
      </w:r>
      <w:r w:rsidR="005616E2">
        <w:t xml:space="preserve"> </w:t>
      </w:r>
      <w:r w:rsidR="00905242">
        <w:t>led to</w:t>
      </w:r>
      <w:r>
        <w:t xml:space="preserve"> rail </w:t>
      </w:r>
      <w:r w:rsidR="003F5614">
        <w:t>crashes</w:t>
      </w:r>
      <w:r>
        <w:t>.</w:t>
      </w:r>
      <w:r w:rsidR="005616E2">
        <w:t xml:space="preserve">  </w:t>
      </w:r>
      <w:r w:rsidR="00B108DD">
        <w:t>It</w:t>
      </w:r>
      <w:r>
        <w:t xml:space="preserve"> </w:t>
      </w:r>
      <w:r w:rsidR="008971F6">
        <w:t>asked: have t</w:t>
      </w:r>
      <w:r>
        <w:t>he lessons of the 1996 structur</w:t>
      </w:r>
      <w:r w:rsidR="007D74FD">
        <w:t>e</w:t>
      </w:r>
      <w:r>
        <w:t xml:space="preserve"> </w:t>
      </w:r>
      <w:r w:rsidR="005616E2">
        <w:t>been forgotten</w:t>
      </w:r>
      <w:r w:rsidR="008971F6">
        <w:t xml:space="preserve">?  </w:t>
      </w:r>
      <w:r w:rsidR="006F4680">
        <w:t>A first update of that article answered</w:t>
      </w:r>
      <w:r w:rsidR="007D74FD">
        <w:t>: yes</w:t>
      </w:r>
      <w:r w:rsidR="006F4680">
        <w:t xml:space="preserve">.     </w:t>
      </w:r>
    </w:p>
    <w:p w14:paraId="2CD79506" w14:textId="77777777" w:rsidR="000631F0" w:rsidRDefault="000631F0" w:rsidP="00931787">
      <w:pPr>
        <w:spacing w:after="0"/>
      </w:pPr>
    </w:p>
    <w:p w14:paraId="072E5C29" w14:textId="3F832CF8" w:rsidR="00AB6E50" w:rsidRDefault="00FC7146" w:rsidP="00931787">
      <w:pPr>
        <w:spacing w:after="0"/>
      </w:pPr>
      <w:r>
        <w:t>More r</w:t>
      </w:r>
      <w:r w:rsidR="00B108DD">
        <w:t xml:space="preserve">ecently, </w:t>
      </w:r>
      <w:r w:rsidR="008971F6">
        <w:t>senior officials robustly</w:t>
      </w:r>
      <w:r w:rsidR="00E726FB">
        <w:t xml:space="preserve"> criticis</w:t>
      </w:r>
      <w:r w:rsidR="008971F6">
        <w:t>ed</w:t>
      </w:r>
      <w:r w:rsidR="00E726FB">
        <w:t xml:space="preserve"> </w:t>
      </w:r>
      <w:r w:rsidR="00B108DD">
        <w:t xml:space="preserve">‘false narratives’ </w:t>
      </w:r>
      <w:r w:rsidR="008971F6">
        <w:t xml:space="preserve">about the </w:t>
      </w:r>
      <w:r w:rsidR="00B108DD">
        <w:t>scheme</w:t>
      </w:r>
      <w:r w:rsidR="008971F6">
        <w:t xml:space="preserve"> </w:t>
      </w:r>
      <w:r>
        <w:t xml:space="preserve">as </w:t>
      </w:r>
      <w:r w:rsidR="008971F6">
        <w:t>traduc</w:t>
      </w:r>
      <w:r>
        <w:t>ing</w:t>
      </w:r>
      <w:r w:rsidR="00B108DD">
        <w:t xml:space="preserve"> the</w:t>
      </w:r>
      <w:r w:rsidR="00E726FB">
        <w:t xml:space="preserve"> integrity and</w:t>
      </w:r>
      <w:r w:rsidR="00B108DD">
        <w:t xml:space="preserve"> professionalism </w:t>
      </w:r>
      <w:r w:rsidR="009A2661">
        <w:t xml:space="preserve">of </w:t>
      </w:r>
      <w:r w:rsidR="008971F6">
        <w:t>staff</w:t>
      </w:r>
      <w:r w:rsidR="009A2661">
        <w:t xml:space="preserve"> </w:t>
      </w:r>
      <w:r w:rsidR="00AB6E50">
        <w:t>and accounting professionals</w:t>
      </w:r>
      <w:r w:rsidR="00B108DD">
        <w:t xml:space="preserve">. </w:t>
      </w:r>
      <w:r w:rsidR="00AB6E50">
        <w:t xml:space="preserve"> </w:t>
      </w:r>
      <w:r w:rsidR="008971F6">
        <w:t xml:space="preserve">They said </w:t>
      </w:r>
      <w:r w:rsidR="00AB6E50">
        <w:t>accounting</w:t>
      </w:r>
      <w:r w:rsidR="00E726FB">
        <w:t xml:space="preserve"> -</w:t>
      </w:r>
      <w:r w:rsidR="00AB6E50">
        <w:t xml:space="preserve"> Budget</w:t>
      </w:r>
      <w:r w:rsidR="00E726FB">
        <w:t xml:space="preserve"> - factors</w:t>
      </w:r>
      <w:r w:rsidR="00AB6E50">
        <w:t xml:space="preserve"> </w:t>
      </w:r>
      <w:r w:rsidR="008971F6">
        <w:t xml:space="preserve">did not </w:t>
      </w:r>
      <w:r w:rsidR="00AB6E50">
        <w:t>dr</w:t>
      </w:r>
      <w:r w:rsidR="008971F6">
        <w:t>i</w:t>
      </w:r>
      <w:r w:rsidR="00AB6E50">
        <w:t>ve decisions to adopt the scheme</w:t>
      </w:r>
      <w:r>
        <w:t>.  R</w:t>
      </w:r>
      <w:r w:rsidR="008971F6">
        <w:t>ather it is m</w:t>
      </w:r>
      <w:r w:rsidR="00AB6E50">
        <w:t xml:space="preserve">otivated by microeconomic reform.  The accounting </w:t>
      </w:r>
      <w:r>
        <w:t>is a consequence, not cause, of</w:t>
      </w:r>
      <w:r w:rsidR="00AB6E50">
        <w:t xml:space="preserve"> the scheme.</w:t>
      </w:r>
    </w:p>
    <w:p w14:paraId="0999B476" w14:textId="77777777" w:rsidR="00B108DD" w:rsidRDefault="00B108DD" w:rsidP="00931787">
      <w:pPr>
        <w:spacing w:after="0"/>
      </w:pPr>
    </w:p>
    <w:p w14:paraId="62203886" w14:textId="05A001B3" w:rsidR="00617673" w:rsidRDefault="00AB6E50" w:rsidP="00931787">
      <w:pPr>
        <w:spacing w:after="0"/>
      </w:pPr>
      <w:r>
        <w:t>The</w:t>
      </w:r>
      <w:r w:rsidR="00B73C91">
        <w:t>ir</w:t>
      </w:r>
      <w:r>
        <w:t xml:space="preserve"> call for truth</w:t>
      </w:r>
      <w:r w:rsidR="00E726FB">
        <w:t xml:space="preserve">, and </w:t>
      </w:r>
      <w:r w:rsidR="00B73C91">
        <w:t>focus on</w:t>
      </w:r>
      <w:r w:rsidR="00E726FB">
        <w:t xml:space="preserve"> issues rather than scorning individuals, </w:t>
      </w:r>
      <w:r w:rsidR="00B73C91">
        <w:t>is</w:t>
      </w:r>
      <w:r w:rsidR="00E726FB">
        <w:t xml:space="preserve"> welcomed.  That also is the beagle’s bay.</w:t>
      </w:r>
      <w:r w:rsidR="00B73C91">
        <w:t xml:space="preserve">  </w:t>
      </w:r>
      <w:r w:rsidR="00983D56">
        <w:t>The</w:t>
      </w:r>
      <w:r w:rsidR="00E726FB">
        <w:t xml:space="preserve"> </w:t>
      </w:r>
      <w:r w:rsidR="00B73C91">
        <w:t xml:space="preserve">beagle </w:t>
      </w:r>
      <w:r w:rsidR="00983D56">
        <w:t>too</w:t>
      </w:r>
      <w:r w:rsidR="00B73C91">
        <w:t xml:space="preserve"> </w:t>
      </w:r>
      <w:r w:rsidR="00E726FB">
        <w:t xml:space="preserve">identified false narratives </w:t>
      </w:r>
      <w:r w:rsidR="00983D56">
        <w:t xml:space="preserve">- </w:t>
      </w:r>
      <w:r w:rsidR="009C6D19">
        <w:t>that</w:t>
      </w:r>
      <w:r w:rsidR="009A2661">
        <w:t xml:space="preserve"> </w:t>
      </w:r>
      <w:r w:rsidR="009C6D19">
        <w:t>underpin</w:t>
      </w:r>
      <w:r w:rsidR="007E407F">
        <w:t xml:space="preserve"> </w:t>
      </w:r>
      <w:r w:rsidR="009C6D19">
        <w:t xml:space="preserve">the scheme. </w:t>
      </w:r>
      <w:r w:rsidR="00983D56">
        <w:t xml:space="preserve"> O</w:t>
      </w:r>
      <w:r w:rsidR="009C6D19">
        <w:t>ne</w:t>
      </w:r>
      <w:r w:rsidR="00983D56">
        <w:t xml:space="preserve"> </w:t>
      </w:r>
      <w:r w:rsidR="00B73C91">
        <w:t>i</w:t>
      </w:r>
      <w:r w:rsidR="00983D56">
        <w:t>s</w:t>
      </w:r>
      <w:r w:rsidR="00B73C91">
        <w:t xml:space="preserve"> </w:t>
      </w:r>
      <w:r w:rsidR="009C6D19">
        <w:t>gross misrepresent</w:t>
      </w:r>
      <w:r w:rsidR="00983D56">
        <w:t xml:space="preserve">ation of </w:t>
      </w:r>
      <w:r w:rsidR="00931787">
        <w:t xml:space="preserve">Special </w:t>
      </w:r>
      <w:r w:rsidR="009C6D19">
        <w:t>Commissions</w:t>
      </w:r>
      <w:r w:rsidR="00AC15C0">
        <w:t xml:space="preserve"> </w:t>
      </w:r>
      <w:r w:rsidR="00931787">
        <w:t xml:space="preserve">of Inquiry </w:t>
      </w:r>
      <w:r w:rsidR="00AC15C0">
        <w:t>into rail crashes</w:t>
      </w:r>
      <w:r w:rsidR="009C6D19">
        <w:t>, claiming the scheme</w:t>
      </w:r>
      <w:r w:rsidR="007E407F">
        <w:t xml:space="preserve"> </w:t>
      </w:r>
      <w:r w:rsidR="009C6D19">
        <w:t xml:space="preserve">conformed with </w:t>
      </w:r>
      <w:r w:rsidR="007E407F">
        <w:t>Commission</w:t>
      </w:r>
      <w:r w:rsidR="00931787">
        <w:t>s’</w:t>
      </w:r>
      <w:r w:rsidR="009C6D19">
        <w:t xml:space="preserve"> recommendations.  </w:t>
      </w:r>
      <w:r w:rsidR="00B73C91">
        <w:t xml:space="preserve">  </w:t>
      </w:r>
      <w:r w:rsidR="007E407F">
        <w:t>That</w:t>
      </w:r>
      <w:r w:rsidR="009A2661">
        <w:t xml:space="preserve"> </w:t>
      </w:r>
      <w:r w:rsidR="007E407F">
        <w:t xml:space="preserve">is not the only misapprehension.  </w:t>
      </w:r>
    </w:p>
    <w:p w14:paraId="79F1C13D" w14:textId="77777777" w:rsidR="00617673" w:rsidRDefault="00617673" w:rsidP="00931787">
      <w:pPr>
        <w:spacing w:after="0"/>
      </w:pPr>
    </w:p>
    <w:p w14:paraId="61FF3D6E" w14:textId="79EBDA86" w:rsidR="00FA3256" w:rsidRDefault="008232DE" w:rsidP="00931787">
      <w:pPr>
        <w:spacing w:after="0"/>
      </w:pPr>
      <w:r>
        <w:t xml:space="preserve">The first update said a later </w:t>
      </w:r>
      <w:r w:rsidR="0085368B">
        <w:t>article</w:t>
      </w:r>
      <w:r w:rsidR="00E929E4">
        <w:t xml:space="preserve"> </w:t>
      </w:r>
      <w:r>
        <w:t xml:space="preserve">would provide </w:t>
      </w:r>
      <w:r w:rsidR="00A053B1">
        <w:t xml:space="preserve">some details </w:t>
      </w:r>
      <w:r w:rsidR="007D74FD">
        <w:t xml:space="preserve">about recent policy mistakes </w:t>
      </w:r>
      <w:r w:rsidR="00A053B1">
        <w:t xml:space="preserve">and </w:t>
      </w:r>
      <w:r w:rsidR="007D74FD">
        <w:t xml:space="preserve">offer </w:t>
      </w:r>
      <w:r>
        <w:t xml:space="preserve">suggestions </w:t>
      </w:r>
      <w:r w:rsidR="00A053B1">
        <w:t>on</w:t>
      </w:r>
      <w:r>
        <w:t xml:space="preserve"> how to advance</w:t>
      </w:r>
      <w:r w:rsidR="000C3B84">
        <w:t xml:space="preserve"> </w:t>
      </w:r>
      <w:r w:rsidR="007D74FD">
        <w:t>franchising</w:t>
      </w:r>
      <w:r>
        <w:t>.</w:t>
      </w:r>
      <w:r w:rsidR="007D74FD">
        <w:t xml:space="preserve">  </w:t>
      </w:r>
      <w:r w:rsidR="007B7417">
        <w:t>In this article:</w:t>
      </w:r>
    </w:p>
    <w:p w14:paraId="789DAE27" w14:textId="4A742E21" w:rsidR="00CC315C" w:rsidRDefault="00CC315C" w:rsidP="00931787">
      <w:pPr>
        <w:pStyle w:val="ListParagraph"/>
        <w:numPr>
          <w:ilvl w:val="0"/>
          <w:numId w:val="5"/>
        </w:numPr>
        <w:spacing w:after="0"/>
        <w:ind w:left="360"/>
      </w:pPr>
      <w:r>
        <w:t>Section 2 recaps the Inquiry process</w:t>
      </w:r>
      <w:r w:rsidR="007B7417">
        <w:t>;</w:t>
      </w:r>
    </w:p>
    <w:p w14:paraId="3E7C8CB2" w14:textId="1FBD2D2B" w:rsidR="00B73C91" w:rsidRDefault="00B73C91" w:rsidP="00931787">
      <w:pPr>
        <w:pStyle w:val="ListParagraph"/>
        <w:numPr>
          <w:ilvl w:val="0"/>
          <w:numId w:val="5"/>
        </w:numPr>
        <w:spacing w:after="0"/>
        <w:ind w:left="360"/>
      </w:pPr>
      <w:r>
        <w:t>Section 3 looks at the micr</w:t>
      </w:r>
      <w:r w:rsidR="007B7417">
        <w:t>o-economic reform claim;</w:t>
      </w:r>
    </w:p>
    <w:p w14:paraId="6071C1B7" w14:textId="76BC043D" w:rsidR="00CC315C" w:rsidRDefault="00CC315C" w:rsidP="00931787">
      <w:pPr>
        <w:pStyle w:val="ListParagraph"/>
        <w:numPr>
          <w:ilvl w:val="0"/>
          <w:numId w:val="5"/>
        </w:numPr>
        <w:spacing w:after="0"/>
        <w:ind w:left="360"/>
      </w:pPr>
      <w:r>
        <w:t xml:space="preserve">Section </w:t>
      </w:r>
      <w:r w:rsidR="007B7417">
        <w:t>4</w:t>
      </w:r>
      <w:r>
        <w:t xml:space="preserve"> </w:t>
      </w:r>
      <w:r w:rsidR="007B7417">
        <w:t>considers other misunderstandings particularly about the rail crash</w:t>
      </w:r>
      <w:r w:rsidR="00B73C91">
        <w:t xml:space="preserve"> Commissions</w:t>
      </w:r>
      <w:r w:rsidR="007B7417">
        <w:t>;</w:t>
      </w:r>
    </w:p>
    <w:p w14:paraId="129EE0A6" w14:textId="77777777" w:rsidR="00DF5228" w:rsidRDefault="00CC315C" w:rsidP="00931787">
      <w:pPr>
        <w:pStyle w:val="ListParagraph"/>
        <w:numPr>
          <w:ilvl w:val="0"/>
          <w:numId w:val="5"/>
        </w:numPr>
        <w:spacing w:after="0"/>
        <w:ind w:left="360"/>
      </w:pPr>
      <w:r>
        <w:t xml:space="preserve">Section </w:t>
      </w:r>
      <w:r w:rsidR="00FA3256">
        <w:t>5</w:t>
      </w:r>
      <w:r>
        <w:t xml:space="preserve"> looks at </w:t>
      </w:r>
      <w:r w:rsidR="00DF5228">
        <w:t>a submission by the Independent Pricing and Regulatory Tribunal</w:t>
      </w:r>
    </w:p>
    <w:p w14:paraId="66CFDCCF" w14:textId="165E7A5F" w:rsidR="00ED024F" w:rsidRDefault="00DF5228" w:rsidP="00931787">
      <w:pPr>
        <w:pStyle w:val="ListParagraph"/>
        <w:numPr>
          <w:ilvl w:val="0"/>
          <w:numId w:val="5"/>
        </w:numPr>
        <w:spacing w:after="0"/>
        <w:ind w:left="360"/>
      </w:pPr>
      <w:r>
        <w:t xml:space="preserve">Section 6 looks at </w:t>
      </w:r>
      <w:r w:rsidR="005616E2">
        <w:t>report</w:t>
      </w:r>
      <w:r w:rsidR="008232DE">
        <w:t>s</w:t>
      </w:r>
      <w:r w:rsidR="005616E2">
        <w:t xml:space="preserve"> by</w:t>
      </w:r>
      <w:r w:rsidR="00CC315C">
        <w:t xml:space="preserve"> </w:t>
      </w:r>
      <w:r w:rsidR="008232DE">
        <w:t xml:space="preserve">PwC and </w:t>
      </w:r>
      <w:r w:rsidR="00CC315C">
        <w:t>KPMG</w:t>
      </w:r>
      <w:r w:rsidR="00F13235">
        <w:t xml:space="preserve"> particularly as they relate to track access</w:t>
      </w:r>
      <w:r w:rsidR="00983D56">
        <w:t>;</w:t>
      </w:r>
      <w:r w:rsidR="005616E2">
        <w:t xml:space="preserve">  </w:t>
      </w:r>
    </w:p>
    <w:p w14:paraId="058B1D28" w14:textId="4CCEB4E3" w:rsidR="00FA3256" w:rsidRDefault="00ED024F" w:rsidP="00931787">
      <w:pPr>
        <w:pStyle w:val="ListParagraph"/>
        <w:numPr>
          <w:ilvl w:val="0"/>
          <w:numId w:val="5"/>
        </w:numPr>
        <w:spacing w:after="0"/>
        <w:ind w:left="360"/>
      </w:pPr>
      <w:r>
        <w:t xml:space="preserve">Section </w:t>
      </w:r>
      <w:r w:rsidR="00DF5228">
        <w:t>7</w:t>
      </w:r>
      <w:r>
        <w:t xml:space="preserve"> </w:t>
      </w:r>
      <w:r w:rsidR="00FA3256">
        <w:t xml:space="preserve">considers some </w:t>
      </w:r>
      <w:r w:rsidR="00983D56">
        <w:t xml:space="preserve">first-order </w:t>
      </w:r>
      <w:r w:rsidR="00FA3256">
        <w:t>issues around franchising</w:t>
      </w:r>
      <w:r w:rsidR="00983D56">
        <w:t>;</w:t>
      </w:r>
    </w:p>
    <w:p w14:paraId="06DBB493" w14:textId="2736A582" w:rsidR="00CC315C" w:rsidRDefault="00FA3256" w:rsidP="00931787">
      <w:pPr>
        <w:pStyle w:val="ListParagraph"/>
        <w:numPr>
          <w:ilvl w:val="0"/>
          <w:numId w:val="5"/>
        </w:numPr>
        <w:spacing w:after="0"/>
        <w:ind w:left="360"/>
      </w:pPr>
      <w:r>
        <w:t xml:space="preserve">Section </w:t>
      </w:r>
      <w:r w:rsidR="00DF5228">
        <w:t>8</w:t>
      </w:r>
      <w:r>
        <w:t xml:space="preserve"> </w:t>
      </w:r>
      <w:r w:rsidR="00ED024F">
        <w:t xml:space="preserve">draws some conclusions. </w:t>
      </w:r>
      <w:r w:rsidR="00CC315C">
        <w:t xml:space="preserve"> </w:t>
      </w:r>
    </w:p>
    <w:p w14:paraId="0FACE668" w14:textId="0CB31E29" w:rsidR="00B40CFF" w:rsidRDefault="00B40CFF" w:rsidP="00931787">
      <w:pPr>
        <w:spacing w:after="0"/>
      </w:pPr>
    </w:p>
    <w:p w14:paraId="6096499D" w14:textId="17A754A9" w:rsidR="005616E2" w:rsidRDefault="005616E2" w:rsidP="00931787">
      <w:pPr>
        <w:spacing w:after="0"/>
      </w:pPr>
      <w:r>
        <w:t xml:space="preserve">This </w:t>
      </w:r>
      <w:r w:rsidR="001416F0">
        <w:t>update</w:t>
      </w:r>
      <w:r>
        <w:t xml:space="preserve"> does not </w:t>
      </w:r>
      <w:r w:rsidR="00A053B1">
        <w:t>consider</w:t>
      </w:r>
      <w:r>
        <w:t xml:space="preserve"> whether the Entity contributes to a financial mirage. </w:t>
      </w:r>
      <w:r w:rsidR="003959D0">
        <w:t xml:space="preserve"> </w:t>
      </w:r>
      <w:r w:rsidR="0022024D">
        <w:t>I</w:t>
      </w:r>
      <w:r w:rsidR="000C3B84">
        <w:t>t</w:t>
      </w:r>
      <w:r w:rsidR="0022024D">
        <w:t xml:space="preserve"> leave</w:t>
      </w:r>
      <w:r w:rsidR="000C3B84">
        <w:t>s</w:t>
      </w:r>
      <w:r w:rsidR="0022024D">
        <w:t xml:space="preserve"> the accounting experts t</w:t>
      </w:r>
      <w:r w:rsidR="00E929E4">
        <w:t>o explain</w:t>
      </w:r>
      <w:r w:rsidR="0022024D">
        <w:t xml:space="preserve"> how it is possible for accounts to not fully reflect real-world controls and</w:t>
      </w:r>
      <w:r w:rsidR="00A95625">
        <w:t>,</w:t>
      </w:r>
      <w:r w:rsidR="0022024D">
        <w:t xml:space="preserve"> if it is possible</w:t>
      </w:r>
      <w:r w:rsidR="00A95625">
        <w:t>,</w:t>
      </w:r>
      <w:r w:rsidR="0022024D">
        <w:t xml:space="preserve"> the merit of such an approach. </w:t>
      </w:r>
    </w:p>
    <w:p w14:paraId="230BA8FE" w14:textId="2E573B49" w:rsidR="00E929E4" w:rsidRDefault="00E929E4" w:rsidP="00931787">
      <w:pPr>
        <w:spacing w:after="0"/>
      </w:pPr>
    </w:p>
    <w:p w14:paraId="457FF5DB" w14:textId="41890E76" w:rsidR="001416F0" w:rsidRDefault="001416F0" w:rsidP="00931787">
      <w:pPr>
        <w:spacing w:after="0"/>
      </w:pPr>
      <w:r>
        <w:t xml:space="preserve">This update does not address safety issues.  At this time, little more can be </w:t>
      </w:r>
      <w:r w:rsidR="00E12F7D">
        <w:t>concluded</w:t>
      </w:r>
      <w:r>
        <w:t xml:space="preserve"> </w:t>
      </w:r>
      <w:r w:rsidR="00CA7D42">
        <w:t xml:space="preserve">from the public evidence </w:t>
      </w:r>
      <w:r>
        <w:t xml:space="preserve">than the Government urgently needs </w:t>
      </w:r>
      <w:r w:rsidR="00094B51">
        <w:t xml:space="preserve">to draw on </w:t>
      </w:r>
      <w:r>
        <w:t xml:space="preserve">expertise, independent </w:t>
      </w:r>
      <w:r w:rsidR="007B7417">
        <w:t xml:space="preserve">of – and not filtered through - </w:t>
      </w:r>
      <w:r>
        <w:t xml:space="preserve">Transport for NSW, Treasury </w:t>
      </w:r>
      <w:r w:rsidR="007B7417">
        <w:t>or</w:t>
      </w:r>
      <w:r>
        <w:t xml:space="preserve"> the NSW </w:t>
      </w:r>
      <w:r w:rsidR="000C3B84">
        <w:t xml:space="preserve">transport </w:t>
      </w:r>
      <w:r>
        <w:t xml:space="preserve">accident investigator. </w:t>
      </w:r>
    </w:p>
    <w:p w14:paraId="638A237A" w14:textId="77777777" w:rsidR="001416F0" w:rsidRDefault="001416F0" w:rsidP="00931787">
      <w:pPr>
        <w:spacing w:after="0"/>
      </w:pPr>
    </w:p>
    <w:p w14:paraId="369EBF6F" w14:textId="77777777" w:rsidR="00DC7299" w:rsidRDefault="00DC7299" w:rsidP="00DC7299">
      <w:pPr>
        <w:spacing w:after="0"/>
      </w:pPr>
      <w:r>
        <w:t>TAHE is the Governments acronym for the Transport Asset Holding Entity.  This series of articles prefers to use ‘the Entity’.  The issues relate not merely to the Entity, but to the scheme surrounding it including relations between the Government, departments, Transport for NSW and Sydney Trains.</w:t>
      </w:r>
    </w:p>
    <w:p w14:paraId="0322D341" w14:textId="77777777" w:rsidR="00DC7299" w:rsidRDefault="00DC7299" w:rsidP="00DC7299">
      <w:pPr>
        <w:pStyle w:val="Heading3"/>
      </w:pPr>
    </w:p>
    <w:p w14:paraId="392BA956" w14:textId="073BFAA8" w:rsidR="00B40CFF" w:rsidRDefault="00B40CFF" w:rsidP="00931787">
      <w:pPr>
        <w:spacing w:after="0"/>
      </w:pPr>
      <w:r>
        <w:t>As ever, comments and corrections are welcome.</w:t>
      </w:r>
    </w:p>
    <w:p w14:paraId="6E9F6827" w14:textId="6E2DF400" w:rsidR="009A2661" w:rsidRDefault="009A2661" w:rsidP="00931787">
      <w:pPr>
        <w:spacing w:after="0"/>
        <w:rPr>
          <w:rFonts w:eastAsiaTheme="majorEastAsia" w:cstheme="majorBidi"/>
          <w:b/>
          <w:color w:val="2E74B5" w:themeColor="accent1" w:themeShade="BF"/>
          <w:sz w:val="26"/>
          <w:szCs w:val="26"/>
        </w:rPr>
      </w:pPr>
      <w:r>
        <w:lastRenderedPageBreak/>
        <w:br w:type="page"/>
      </w:r>
    </w:p>
    <w:p w14:paraId="73F69E21" w14:textId="77777777" w:rsidR="000631F0" w:rsidRDefault="000631F0" w:rsidP="00931787">
      <w:pPr>
        <w:pStyle w:val="Heading2"/>
        <w:spacing w:before="0"/>
      </w:pPr>
    </w:p>
    <w:p w14:paraId="7E93C821" w14:textId="2328C878" w:rsidR="0085368B" w:rsidRDefault="00A752BF" w:rsidP="00931787">
      <w:pPr>
        <w:pStyle w:val="Heading2"/>
        <w:spacing w:before="0"/>
      </w:pPr>
      <w:bookmarkStart w:id="3" w:name="_Toc93085751"/>
      <w:r>
        <w:t>2.</w:t>
      </w:r>
      <w:r>
        <w:tab/>
      </w:r>
      <w:r w:rsidR="0085368B">
        <w:t>The Inquiry</w:t>
      </w:r>
      <w:bookmarkEnd w:id="3"/>
    </w:p>
    <w:p w14:paraId="1410AC5A" w14:textId="74DE0CC0" w:rsidR="00381367" w:rsidRDefault="00DC3B83" w:rsidP="00931787">
      <w:pPr>
        <w:pStyle w:val="Heading3"/>
      </w:pPr>
      <w:bookmarkStart w:id="4" w:name="_Toc93085752"/>
      <w:r>
        <w:t>2.1</w:t>
      </w:r>
      <w:r>
        <w:tab/>
      </w:r>
      <w:r w:rsidR="00381367">
        <w:t>Hearings, documents</w:t>
      </w:r>
      <w:bookmarkEnd w:id="4"/>
    </w:p>
    <w:p w14:paraId="0671860B" w14:textId="3A9F807A" w:rsidR="0085368B" w:rsidRDefault="0085368B" w:rsidP="00931787">
      <w:pPr>
        <w:spacing w:after="0"/>
      </w:pPr>
      <w:r>
        <w:t>The Inquiry, established in June 2021</w:t>
      </w:r>
      <w:r w:rsidR="005D7A38">
        <w:t xml:space="preserve"> by the Public Accountability Committee</w:t>
      </w:r>
      <w:r>
        <w:t>, is look</w:t>
      </w:r>
      <w:r w:rsidR="0088058E">
        <w:t>ing</w:t>
      </w:r>
      <w:r>
        <w:t xml:space="preserve"> into the Transport Asset Holding Entity.</w:t>
      </w:r>
      <w:r w:rsidR="00510B9E">
        <w:t xml:space="preserve">  </w:t>
      </w:r>
    </w:p>
    <w:p w14:paraId="5287CCA0" w14:textId="77777777" w:rsidR="00AA7AED" w:rsidRDefault="00AA7AED" w:rsidP="00931787">
      <w:pPr>
        <w:spacing w:after="0"/>
      </w:pPr>
    </w:p>
    <w:p w14:paraId="66E3DDEC" w14:textId="7E350182" w:rsidR="00510B9E" w:rsidRDefault="005D7A38" w:rsidP="00931787">
      <w:pPr>
        <w:spacing w:after="0"/>
      </w:pPr>
      <w:r>
        <w:t xml:space="preserve">Submissions were due mid-September.  </w:t>
      </w:r>
      <w:r w:rsidR="00510B9E">
        <w:t>S</w:t>
      </w:r>
      <w:r>
        <w:t xml:space="preserve">ix </w:t>
      </w:r>
      <w:r w:rsidR="00510B9E">
        <w:t>were received</w:t>
      </w:r>
      <w:r>
        <w:t xml:space="preserve"> by the due date</w:t>
      </w:r>
      <w:r w:rsidR="000761E2">
        <w:t xml:space="preserve">.  One </w:t>
      </w:r>
      <w:r w:rsidR="00510B9E">
        <w:t>from this author.</w:t>
      </w:r>
      <w:r w:rsidR="00510B9E">
        <w:rPr>
          <w:rStyle w:val="FootnoteReference"/>
        </w:rPr>
        <w:footnoteReference w:id="2"/>
      </w:r>
    </w:p>
    <w:p w14:paraId="4EC5A656" w14:textId="77777777" w:rsidR="00510B9E" w:rsidRDefault="00510B9E" w:rsidP="00931787">
      <w:pPr>
        <w:spacing w:after="0"/>
      </w:pPr>
    </w:p>
    <w:p w14:paraId="0F8B17E6" w14:textId="6BC878D9" w:rsidR="00510B9E" w:rsidRDefault="0088058E" w:rsidP="00931787">
      <w:pPr>
        <w:spacing w:after="0"/>
        <w:rPr>
          <w:rStyle w:val="FootnoteReference"/>
        </w:rPr>
      </w:pPr>
      <w:r>
        <w:t>First h</w:t>
      </w:r>
      <w:r w:rsidR="00510B9E">
        <w:t xml:space="preserve">earings were held on 1 October.  </w:t>
      </w:r>
      <w:r w:rsidR="00C231EE">
        <w:t>O</w:t>
      </w:r>
      <w:r w:rsidR="00510B9E">
        <w:t>fficials from the Entity, Transport for NSW and Treasury</w:t>
      </w:r>
      <w:r w:rsidR="00C231EE">
        <w:t xml:space="preserve"> gave evidence</w:t>
      </w:r>
      <w:r w:rsidR="00510B9E">
        <w:t>.</w:t>
      </w:r>
      <w:r w:rsidR="00510B9E" w:rsidRPr="00510B9E">
        <w:rPr>
          <w:rStyle w:val="FootnoteReference"/>
        </w:rPr>
        <w:t xml:space="preserve"> </w:t>
      </w:r>
      <w:r w:rsidR="00510B9E">
        <w:rPr>
          <w:rStyle w:val="FootnoteReference"/>
        </w:rPr>
        <w:footnoteReference w:id="3"/>
      </w:r>
    </w:p>
    <w:p w14:paraId="78931E39" w14:textId="3EFB630C" w:rsidR="005D7A38" w:rsidRDefault="005D7A38" w:rsidP="00931787">
      <w:pPr>
        <w:spacing w:after="0"/>
      </w:pPr>
    </w:p>
    <w:p w14:paraId="4D13A464" w14:textId="45FB3901" w:rsidR="005D7A38" w:rsidRDefault="005D7A38" w:rsidP="00931787">
      <w:pPr>
        <w:spacing w:after="0"/>
      </w:pPr>
      <w:r>
        <w:t xml:space="preserve">Also on 1 October, Committee member the Hon. Mr Mookey MLC tabled a </w:t>
      </w:r>
      <w:r w:rsidR="00C231EE">
        <w:t>several</w:t>
      </w:r>
      <w:r>
        <w:t xml:space="preserve"> documents including</w:t>
      </w:r>
      <w:r w:rsidR="00B679B1">
        <w:t>:</w:t>
      </w:r>
      <w:r>
        <w:t xml:space="preserve"> </w:t>
      </w:r>
      <w:r w:rsidR="00AF1215">
        <w:t xml:space="preserve">what appears to be </w:t>
      </w:r>
      <w:r>
        <w:t xml:space="preserve">a </w:t>
      </w:r>
      <w:r w:rsidR="00B72CA3">
        <w:t xml:space="preserve">2016 </w:t>
      </w:r>
      <w:r>
        <w:t xml:space="preserve">Cabinet submission </w:t>
      </w:r>
      <w:r w:rsidR="007F77A6">
        <w:t>regarding establishment of the Entity</w:t>
      </w:r>
      <w:r w:rsidR="00B679B1">
        <w:t>;</w:t>
      </w:r>
      <w:r w:rsidR="00044525">
        <w:t xml:space="preserve"> a </w:t>
      </w:r>
      <w:r w:rsidR="00B72CA3">
        <w:t xml:space="preserve">2020 </w:t>
      </w:r>
      <w:r w:rsidR="00044525">
        <w:t xml:space="preserve">report </w:t>
      </w:r>
      <w:r w:rsidR="00DB76E6">
        <w:t xml:space="preserve">by </w:t>
      </w:r>
      <w:r w:rsidR="00044525">
        <w:t xml:space="preserve">KPMG </w:t>
      </w:r>
      <w:r w:rsidR="00DB76E6">
        <w:t xml:space="preserve">for Transport for NSW </w:t>
      </w:r>
      <w:r w:rsidR="00C231EE">
        <w:t>on the Entity’s oper</w:t>
      </w:r>
      <w:r w:rsidR="00044525">
        <w:t>ating model</w:t>
      </w:r>
      <w:r w:rsidR="00B679B1">
        <w:t>;</w:t>
      </w:r>
      <w:r>
        <w:t xml:space="preserve"> brief</w:t>
      </w:r>
      <w:r w:rsidR="007F77A6">
        <w:t>s</w:t>
      </w:r>
      <w:r>
        <w:t xml:space="preserve"> from Departments to Ministers.</w:t>
      </w:r>
      <w:r>
        <w:rPr>
          <w:rStyle w:val="FootnoteReference"/>
        </w:rPr>
        <w:footnoteReference w:id="4"/>
      </w:r>
    </w:p>
    <w:p w14:paraId="04C8B86F" w14:textId="23583CA3" w:rsidR="003F32C0" w:rsidRDefault="003F32C0" w:rsidP="00931787">
      <w:pPr>
        <w:spacing w:after="0"/>
      </w:pPr>
    </w:p>
    <w:p w14:paraId="0B1B098B" w14:textId="281FB8BD" w:rsidR="003F32C0" w:rsidRDefault="003F32C0" w:rsidP="00931787">
      <w:pPr>
        <w:spacing w:after="0"/>
        <w:rPr>
          <w:rStyle w:val="FootnoteReference"/>
        </w:rPr>
      </w:pPr>
      <w:r>
        <w:t xml:space="preserve">The </w:t>
      </w:r>
      <w:r w:rsidR="00FC1FED">
        <w:t xml:space="preserve">(presumed) </w:t>
      </w:r>
      <w:r>
        <w:t xml:space="preserve">Cabinet submission </w:t>
      </w:r>
      <w:r w:rsidR="00B72CA3">
        <w:t>was considered in the first update</w:t>
      </w:r>
      <w:r w:rsidR="00FC1FED">
        <w:t xml:space="preserve"> - its authenticity remains unchallenged.</w:t>
      </w:r>
      <w:r w:rsidR="00B72CA3">
        <w:rPr>
          <w:rStyle w:val="FootnoteReference"/>
        </w:rPr>
        <w:footnoteReference w:id="5"/>
      </w:r>
      <w:r w:rsidR="00B72CA3">
        <w:t xml:space="preserve"> </w:t>
      </w:r>
    </w:p>
    <w:p w14:paraId="2E5575C3" w14:textId="1F937FC0" w:rsidR="005D7A38" w:rsidRDefault="005D7A38" w:rsidP="00931787">
      <w:pPr>
        <w:spacing w:after="0"/>
      </w:pPr>
    </w:p>
    <w:p w14:paraId="7898AE48" w14:textId="08674E56" w:rsidR="005D7A38" w:rsidRDefault="007F77A6" w:rsidP="00931787">
      <w:pPr>
        <w:spacing w:after="0"/>
      </w:pPr>
      <w:r>
        <w:t>On 11 October</w:t>
      </w:r>
      <w:r w:rsidR="005D7A38">
        <w:t xml:space="preserve">, </w:t>
      </w:r>
      <w:r w:rsidR="00AA7AED">
        <w:t>t</w:t>
      </w:r>
      <w:r w:rsidR="005D7A38">
        <w:t>he Independent Pricing and Regulatory Tribunal</w:t>
      </w:r>
      <w:r w:rsidR="00AA7AED">
        <w:t xml:space="preserve"> provided a submission to the Inquiry</w:t>
      </w:r>
      <w:r w:rsidR="005D7A38">
        <w:t>.</w:t>
      </w:r>
      <w:r w:rsidR="00044525">
        <w:t xml:space="preserve">  </w:t>
      </w:r>
    </w:p>
    <w:p w14:paraId="6620802F" w14:textId="036D073D" w:rsidR="00510B9E" w:rsidRDefault="00510B9E" w:rsidP="00931787">
      <w:pPr>
        <w:spacing w:after="0"/>
      </w:pPr>
    </w:p>
    <w:p w14:paraId="15BC8BE4" w14:textId="2793834C" w:rsidR="005D7A38" w:rsidRDefault="005D7A38" w:rsidP="00931787">
      <w:pPr>
        <w:spacing w:after="0"/>
      </w:pPr>
      <w:r>
        <w:t>On 2 November, at a</w:t>
      </w:r>
      <w:r w:rsidR="007F77A6">
        <w:t xml:space="preserve"> different</w:t>
      </w:r>
      <w:r>
        <w:t xml:space="preserve"> Committee – Budget Estimates – Transport for NSW tabled a</w:t>
      </w:r>
      <w:r w:rsidR="007F77A6">
        <w:t>nother</w:t>
      </w:r>
      <w:r>
        <w:t xml:space="preserve"> document relevant to the inquiry</w:t>
      </w:r>
      <w:r w:rsidR="00044525">
        <w:t xml:space="preserve"> – about a safety review</w:t>
      </w:r>
      <w:r>
        <w:t>.  It had not been referred to earlier.</w:t>
      </w:r>
      <w:r w:rsidR="00D72199">
        <w:rPr>
          <w:rStyle w:val="FootnoteReference"/>
        </w:rPr>
        <w:footnoteReference w:id="6"/>
      </w:r>
    </w:p>
    <w:p w14:paraId="6CDA3B8B" w14:textId="77777777" w:rsidR="005D7A38" w:rsidRDefault="005D7A38" w:rsidP="00931787">
      <w:pPr>
        <w:spacing w:after="0"/>
      </w:pPr>
    </w:p>
    <w:p w14:paraId="07E27CAB" w14:textId="006F6CC3" w:rsidR="00510B9E" w:rsidRDefault="00510B9E" w:rsidP="00931787">
      <w:pPr>
        <w:spacing w:after="0"/>
      </w:pPr>
      <w:r>
        <w:t xml:space="preserve">In early November, further </w:t>
      </w:r>
      <w:r w:rsidR="005D7A38">
        <w:t xml:space="preserve">inquiry </w:t>
      </w:r>
      <w:r>
        <w:t xml:space="preserve">hearings were </w:t>
      </w:r>
      <w:r w:rsidR="0088058E">
        <w:t>held</w:t>
      </w:r>
      <w:r>
        <w:t>.</w:t>
      </w:r>
      <w:r w:rsidR="005D7A38">
        <w:t xml:space="preserve">  At the first of these, 8 November, a former KPMG partner gave evidence</w:t>
      </w:r>
      <w:r w:rsidR="00C231EE">
        <w:t>.</w:t>
      </w:r>
      <w:r w:rsidR="00044525">
        <w:t xml:space="preserve">  Th</w:t>
      </w:r>
      <w:r w:rsidR="00D72199">
        <w:t xml:space="preserve">e </w:t>
      </w:r>
      <w:r w:rsidR="00044525">
        <w:t xml:space="preserve">extensive coverage </w:t>
      </w:r>
      <w:r w:rsidR="00D72199">
        <w:t>received is not of interest to this article.</w:t>
      </w:r>
      <w:r w:rsidR="00D72199">
        <w:rPr>
          <w:rStyle w:val="FootnoteReference"/>
        </w:rPr>
        <w:footnoteReference w:id="7"/>
      </w:r>
      <w:r w:rsidR="00044525">
        <w:t xml:space="preserve"> </w:t>
      </w:r>
    </w:p>
    <w:p w14:paraId="29FDB2B3" w14:textId="04BD493C" w:rsidR="004441B7" w:rsidRDefault="004441B7" w:rsidP="00931787">
      <w:pPr>
        <w:spacing w:after="0"/>
      </w:pPr>
    </w:p>
    <w:p w14:paraId="6CAF2BDB" w14:textId="05FBD8C2" w:rsidR="004441B7" w:rsidRDefault="004441B7" w:rsidP="00931787">
      <w:pPr>
        <w:spacing w:after="0"/>
      </w:pPr>
      <w:r>
        <w:t xml:space="preserve">Also at those hearings, the Chair and one Director of the Entity gave evidence.  For the purposes of this article there were four relevant </w:t>
      </w:r>
      <w:r w:rsidR="00AA7AED">
        <w:t>claims</w:t>
      </w:r>
      <w:r>
        <w:t xml:space="preserve">: </w:t>
      </w:r>
      <w:r w:rsidR="00456424">
        <w:t xml:space="preserve">a NSW </w:t>
      </w:r>
      <w:r w:rsidR="00FB0846">
        <w:t>rail crash</w:t>
      </w:r>
      <w:r w:rsidR="00456424">
        <w:t xml:space="preserve"> </w:t>
      </w:r>
      <w:r w:rsidR="004F4EA7">
        <w:t>Commission</w:t>
      </w:r>
      <w:r w:rsidR="00456424">
        <w:t xml:space="preserve"> recommend</w:t>
      </w:r>
      <w:r w:rsidR="004F4EA7">
        <w:t>ed</w:t>
      </w:r>
      <w:r w:rsidR="00456424">
        <w:t xml:space="preserve"> </w:t>
      </w:r>
      <w:r w:rsidR="00FC4E0C">
        <w:t xml:space="preserve">asset </w:t>
      </w:r>
      <w:r w:rsidR="00456424">
        <w:t xml:space="preserve">ownership and </w:t>
      </w:r>
      <w:r w:rsidR="00FC4E0C">
        <w:t xml:space="preserve">rail </w:t>
      </w:r>
      <w:r w:rsidR="00456424">
        <w:t>operations be by a single organisation (</w:t>
      </w:r>
      <w:r w:rsidR="00AA7AED">
        <w:t>s</w:t>
      </w:r>
      <w:r w:rsidR="00456424">
        <w:t xml:space="preserve">ection </w:t>
      </w:r>
      <w:r w:rsidR="00FB0846">
        <w:t>4</w:t>
      </w:r>
      <w:r w:rsidR="00456424">
        <w:t xml:space="preserve"> below); about a Board s</w:t>
      </w:r>
      <w:r w:rsidR="00AA7AED">
        <w:t>ub-</w:t>
      </w:r>
      <w:r w:rsidR="00456424">
        <w:t xml:space="preserve">committee </w:t>
      </w:r>
      <w:r w:rsidR="00AA7AED">
        <w:t>dealing with safety</w:t>
      </w:r>
      <w:r w:rsidR="00456424">
        <w:t xml:space="preserve"> (</w:t>
      </w:r>
      <w:r w:rsidR="00AA7AED">
        <w:t>s</w:t>
      </w:r>
      <w:r w:rsidR="00456424">
        <w:t xml:space="preserve">ection </w:t>
      </w:r>
      <w:r w:rsidR="00FB0846">
        <w:t>4)</w:t>
      </w:r>
      <w:r w:rsidR="00456424">
        <w:t xml:space="preserve">; </w:t>
      </w:r>
      <w:r w:rsidR="003C3C15">
        <w:t xml:space="preserve">the Audit Office required assets to be valued on earnings potential (section </w:t>
      </w:r>
      <w:r w:rsidR="00DF5228">
        <w:t>6</w:t>
      </w:r>
      <w:r w:rsidR="003C3C15">
        <w:t xml:space="preserve">); a write-down of assets in the order of $20bn or 50% (section </w:t>
      </w:r>
      <w:r w:rsidR="00DF5228">
        <w:t>6</w:t>
      </w:r>
      <w:r w:rsidR="003C3C15">
        <w:t>).</w:t>
      </w:r>
      <w:r w:rsidR="00456424">
        <w:rPr>
          <w:rStyle w:val="FootnoteReference"/>
        </w:rPr>
        <w:footnoteReference w:id="8"/>
      </w:r>
      <w:r w:rsidR="003C3C15">
        <w:t xml:space="preserve"> </w:t>
      </w:r>
    </w:p>
    <w:p w14:paraId="72E275BD" w14:textId="74CBCAF2" w:rsidR="00957073" w:rsidRDefault="00957073" w:rsidP="00931787">
      <w:pPr>
        <w:spacing w:after="0"/>
      </w:pPr>
    </w:p>
    <w:p w14:paraId="49359D6D" w14:textId="54940AB6" w:rsidR="00957073" w:rsidRDefault="00957073" w:rsidP="00931787">
      <w:pPr>
        <w:spacing w:after="0"/>
      </w:pPr>
      <w:r>
        <w:lastRenderedPageBreak/>
        <w:t>On 15 November (2021), a</w:t>
      </w:r>
      <w:r w:rsidR="00B679B1">
        <w:t>n unsigned</w:t>
      </w:r>
      <w:r>
        <w:t xml:space="preserve"> submission by KPMG was tabled, just prior to more hearings.  It sought to refute comments by the former partner</w:t>
      </w:r>
      <w:r w:rsidR="00B679B1">
        <w:t xml:space="preserve"> about the firm</w:t>
      </w:r>
      <w:r>
        <w:t>.  It is not relevant to this article.</w:t>
      </w:r>
      <w:r>
        <w:rPr>
          <w:rStyle w:val="FootnoteReference"/>
        </w:rPr>
        <w:footnoteReference w:id="9"/>
      </w:r>
    </w:p>
    <w:p w14:paraId="45E58703" w14:textId="3119A73A" w:rsidR="0088058E" w:rsidRDefault="0088058E" w:rsidP="00931787">
      <w:pPr>
        <w:spacing w:after="0"/>
      </w:pPr>
    </w:p>
    <w:p w14:paraId="5B9E1A1E" w14:textId="76758BCA" w:rsidR="00BE2FDB" w:rsidRDefault="00957073" w:rsidP="00931787">
      <w:pPr>
        <w:spacing w:after="0"/>
      </w:pPr>
      <w:r>
        <w:t xml:space="preserve">At the </w:t>
      </w:r>
      <w:r w:rsidR="003C3C15">
        <w:t xml:space="preserve">15 November </w:t>
      </w:r>
      <w:r>
        <w:t>hearing</w:t>
      </w:r>
      <w:r w:rsidR="003C3C15">
        <w:t>s</w:t>
      </w:r>
      <w:r w:rsidR="0088058E">
        <w:t xml:space="preserve"> the </w:t>
      </w:r>
      <w:r w:rsidR="00FB0846">
        <w:t xml:space="preserve">former </w:t>
      </w:r>
      <w:r w:rsidR="0088058E">
        <w:t xml:space="preserve">Transport for NSW Secretary gave evidence.  </w:t>
      </w:r>
      <w:r w:rsidR="00B72CA3">
        <w:t>Ensuing</w:t>
      </w:r>
      <w:r w:rsidR="003F32C0">
        <w:t xml:space="preserve"> media reports speculated his unexplained sacking a year earlier was associated with his giving cautions about the </w:t>
      </w:r>
      <w:r w:rsidR="00FB0846">
        <w:t>scheme</w:t>
      </w:r>
      <w:r w:rsidR="003F32C0">
        <w:t xml:space="preserve">.  </w:t>
      </w:r>
      <w:r w:rsidR="00BE2FDB">
        <w:t xml:space="preserve">With one exception: the Australian Financial Review claimed the Secretary’s evidence </w:t>
      </w:r>
      <w:r w:rsidR="004441B7">
        <w:t>w</w:t>
      </w:r>
      <w:r w:rsidR="00BE2FDB">
        <w:t xml:space="preserve">as to the effect he was sacked because he did not ‘redact’ </w:t>
      </w:r>
      <w:r w:rsidR="00FC4E0C">
        <w:t xml:space="preserve">a </w:t>
      </w:r>
      <w:r w:rsidR="00BE2FDB">
        <w:t xml:space="preserve">KPMG report for his Department.  That suggests the Secretary did not dispute the contents of the </w:t>
      </w:r>
      <w:r w:rsidR="004441B7">
        <w:t xml:space="preserve">KPMG </w:t>
      </w:r>
      <w:r w:rsidR="00BE2FDB">
        <w:t>report.</w:t>
      </w:r>
      <w:r w:rsidR="00BE2FDB">
        <w:rPr>
          <w:rStyle w:val="FootnoteReference"/>
        </w:rPr>
        <w:footnoteReference w:id="10"/>
      </w:r>
    </w:p>
    <w:p w14:paraId="15E557C7" w14:textId="77777777" w:rsidR="00BE2FDB" w:rsidRDefault="00BE2FDB" w:rsidP="00931787">
      <w:pPr>
        <w:spacing w:after="0"/>
      </w:pPr>
    </w:p>
    <w:p w14:paraId="621B616B" w14:textId="27BCECB4" w:rsidR="00957073" w:rsidRDefault="00957073" w:rsidP="00931787">
      <w:pPr>
        <w:spacing w:after="0"/>
      </w:pPr>
      <w:r>
        <w:t xml:space="preserve">Evidence was also given by two </w:t>
      </w:r>
      <w:r w:rsidR="00DC3B83">
        <w:t xml:space="preserve">other </w:t>
      </w:r>
      <w:r>
        <w:t>KPMG partners.</w:t>
      </w:r>
      <w:r>
        <w:rPr>
          <w:rStyle w:val="FootnoteReference"/>
        </w:rPr>
        <w:footnoteReference w:id="11"/>
      </w:r>
    </w:p>
    <w:p w14:paraId="4F753969" w14:textId="77777777" w:rsidR="00957073" w:rsidRDefault="00957073" w:rsidP="00931787">
      <w:pPr>
        <w:spacing w:after="0"/>
      </w:pPr>
    </w:p>
    <w:p w14:paraId="5F284E6E" w14:textId="00DE3C46" w:rsidR="00957073" w:rsidRDefault="00FB0846" w:rsidP="00931787">
      <w:pPr>
        <w:spacing w:after="0"/>
      </w:pPr>
      <w:r>
        <w:t>O</w:t>
      </w:r>
      <w:r w:rsidR="00DC3B83">
        <w:t xml:space="preserve">ther </w:t>
      </w:r>
      <w:r w:rsidR="00957073">
        <w:t xml:space="preserve">evidence of 8 and 15 November hearings goes to the process of policy development and the administration of Departments and consulting firms.  Despite considerable media interest, these topics are largely not relevant to this article.  </w:t>
      </w:r>
    </w:p>
    <w:p w14:paraId="541AEFDE" w14:textId="28710C2A" w:rsidR="00D77174" w:rsidRDefault="00D77174" w:rsidP="00931787">
      <w:pPr>
        <w:spacing w:after="0"/>
      </w:pPr>
    </w:p>
    <w:p w14:paraId="6F74F3F3" w14:textId="77777777" w:rsidR="005D517F" w:rsidRDefault="005D517F" w:rsidP="00931787">
      <w:pPr>
        <w:spacing w:after="0"/>
      </w:pPr>
      <w:r>
        <w:t>Further documents were published by the Committee on 15 November.  These included reports by PwC (2019) and KPMG (2020, 2021).</w:t>
      </w:r>
    </w:p>
    <w:p w14:paraId="74BFAF87" w14:textId="77777777" w:rsidR="005D517F" w:rsidRDefault="005D517F" w:rsidP="00931787">
      <w:pPr>
        <w:spacing w:after="0"/>
      </w:pPr>
    </w:p>
    <w:p w14:paraId="78BDD0CA" w14:textId="20B358B8" w:rsidR="005D517F" w:rsidRDefault="005D517F" w:rsidP="00931787">
      <w:pPr>
        <w:spacing w:after="0"/>
      </w:pPr>
      <w:r>
        <w:t>On 30 November</w:t>
      </w:r>
      <w:r w:rsidR="00FB0846">
        <w:t>,</w:t>
      </w:r>
      <w:r>
        <w:t xml:space="preserve"> the Committee published a letter from the Treasury Secretary and two senior officers.  It commented on the former KPMG partner’s evidence of 8 November.  It also made claims about the decision-making process</w:t>
      </w:r>
      <w:r w:rsidR="00FB0846">
        <w:t xml:space="preserve"> that led to the scheme</w:t>
      </w:r>
      <w:r>
        <w:t>, including advice to Cabinet.</w:t>
      </w:r>
      <w:r>
        <w:rPr>
          <w:rStyle w:val="FootnoteReference"/>
        </w:rPr>
        <w:footnoteReference w:id="12"/>
      </w:r>
      <w:r>
        <w:t xml:space="preserve">  </w:t>
      </w:r>
    </w:p>
    <w:p w14:paraId="33945DC6" w14:textId="77777777" w:rsidR="005D517F" w:rsidRDefault="005D517F" w:rsidP="00931787">
      <w:pPr>
        <w:spacing w:after="0"/>
      </w:pPr>
    </w:p>
    <w:p w14:paraId="41B6AE10" w14:textId="568D19C2" w:rsidR="00131F7C" w:rsidRDefault="00131F7C" w:rsidP="00931787">
      <w:pPr>
        <w:spacing w:after="0"/>
      </w:pPr>
      <w:r>
        <w:t>On 8 December</w:t>
      </w:r>
      <w:r w:rsidR="00FB0846">
        <w:t xml:space="preserve">, </w:t>
      </w:r>
      <w:r>
        <w:t xml:space="preserve">Treasury and Transport provided another submission to the Inquiry.  This was in preparation for an appearance at hearings on </w:t>
      </w:r>
      <w:r w:rsidR="00D77174">
        <w:t>16 December</w:t>
      </w:r>
      <w:r>
        <w:t>.  At that appearance</w:t>
      </w:r>
      <w:r w:rsidR="00D77174">
        <w:t xml:space="preserve"> </w:t>
      </w:r>
      <w:r w:rsidR="00526592">
        <w:t xml:space="preserve">Treasury and Transport </w:t>
      </w:r>
      <w:r w:rsidR="00FB0846">
        <w:t xml:space="preserve">senior </w:t>
      </w:r>
      <w:r w:rsidR="00526592">
        <w:t xml:space="preserve">officials claimed ‘false narratives’ had been spread about the </w:t>
      </w:r>
      <w:r w:rsidR="00FB0846">
        <w:t>scheme</w:t>
      </w:r>
      <w:r w:rsidR="00526592">
        <w:t xml:space="preserve"> and </w:t>
      </w:r>
      <w:r w:rsidR="00AF1215">
        <w:t xml:space="preserve">that </w:t>
      </w:r>
      <w:r w:rsidR="00526592">
        <w:t xml:space="preserve">public servants had been denigrated.  </w:t>
      </w:r>
      <w:r>
        <w:t>The Treasury Secretary</w:t>
      </w:r>
      <w:r w:rsidR="005D517F">
        <w:t xml:space="preserve"> offered character assessments of some witnesses who doubted the </w:t>
      </w:r>
      <w:r w:rsidR="00FB0846">
        <w:t>scheme</w:t>
      </w:r>
      <w:r w:rsidR="00640045">
        <w:t xml:space="preserve"> – saying one had been ‘totally discredited’</w:t>
      </w:r>
      <w:r w:rsidR="005D517F">
        <w:t xml:space="preserve">.  </w:t>
      </w:r>
    </w:p>
    <w:p w14:paraId="7B1F62A6" w14:textId="77777777" w:rsidR="00131F7C" w:rsidRDefault="00131F7C" w:rsidP="00931787">
      <w:pPr>
        <w:spacing w:after="0"/>
      </w:pPr>
    </w:p>
    <w:p w14:paraId="13EC6C0C" w14:textId="00BCBD43" w:rsidR="00D77174" w:rsidRDefault="00526592" w:rsidP="00931787">
      <w:pPr>
        <w:spacing w:after="0"/>
      </w:pPr>
      <w:r>
        <w:t xml:space="preserve">The </w:t>
      </w:r>
      <w:r w:rsidR="00131F7C">
        <w:t xml:space="preserve">Treasury and Transport (December) </w:t>
      </w:r>
      <w:r>
        <w:t>claim</w:t>
      </w:r>
      <w:r w:rsidR="00131F7C">
        <w:t>s</w:t>
      </w:r>
      <w:r>
        <w:t xml:space="preserve"> of most interest here </w:t>
      </w:r>
      <w:r w:rsidR="00131F7C">
        <w:t>are</w:t>
      </w:r>
      <w:r>
        <w:t xml:space="preserve"> that the Entity arose out of pursuit of micro-economic reforms </w:t>
      </w:r>
      <w:r w:rsidR="00131F7C">
        <w:t xml:space="preserve">based on the Hilmer (1993) report and </w:t>
      </w:r>
      <w:r w:rsidR="00726FC5">
        <w:t xml:space="preserve">national </w:t>
      </w:r>
      <w:r w:rsidR="00131F7C">
        <w:t>competition policy.  R</w:t>
      </w:r>
      <w:r w:rsidR="005D517F">
        <w:t>ather than a conspiracy to cook the books</w:t>
      </w:r>
      <w:r>
        <w:t>.</w:t>
      </w:r>
      <w:r>
        <w:rPr>
          <w:rStyle w:val="FootnoteReference"/>
        </w:rPr>
        <w:footnoteReference w:id="13"/>
      </w:r>
    </w:p>
    <w:p w14:paraId="10433625" w14:textId="77777777" w:rsidR="00D77174" w:rsidRDefault="00D77174" w:rsidP="00931787">
      <w:pPr>
        <w:spacing w:after="0"/>
      </w:pPr>
    </w:p>
    <w:p w14:paraId="3BDD7C1A" w14:textId="73509A2A" w:rsidR="00DC3B83" w:rsidRDefault="00DC3B83" w:rsidP="00931787">
      <w:pPr>
        <w:spacing w:after="0"/>
      </w:pPr>
      <w:r>
        <w:t>Further hearing</w:t>
      </w:r>
      <w:r w:rsidR="00A9118A">
        <w:t>s</w:t>
      </w:r>
      <w:r>
        <w:t xml:space="preserve"> are scheduled for February 2022.</w:t>
      </w:r>
    </w:p>
    <w:p w14:paraId="76371FA3" w14:textId="3BC59D16" w:rsidR="0001095A" w:rsidRDefault="0001095A" w:rsidP="00931787">
      <w:pPr>
        <w:spacing w:after="0"/>
      </w:pPr>
    </w:p>
    <w:p w14:paraId="27282BFC" w14:textId="384319EE" w:rsidR="0001095A" w:rsidRDefault="0001095A" w:rsidP="00931787">
      <w:pPr>
        <w:spacing w:after="0"/>
      </w:pPr>
    </w:p>
    <w:p w14:paraId="63869147" w14:textId="016973B3" w:rsidR="00BE2FDB" w:rsidRDefault="00381367" w:rsidP="00931787">
      <w:pPr>
        <w:pStyle w:val="Heading3"/>
      </w:pPr>
      <w:bookmarkStart w:id="5" w:name="_Toc93085753"/>
      <w:r>
        <w:lastRenderedPageBreak/>
        <w:t>2.2</w:t>
      </w:r>
      <w:r>
        <w:tab/>
        <w:t>Challenge to documents</w:t>
      </w:r>
      <w:bookmarkEnd w:id="5"/>
    </w:p>
    <w:p w14:paraId="4F10B436" w14:textId="4FDBC3D3" w:rsidR="00B72CA3" w:rsidRDefault="00DC3B83" w:rsidP="00931787">
      <w:pPr>
        <w:spacing w:after="0"/>
      </w:pPr>
      <w:r>
        <w:t>O</w:t>
      </w:r>
      <w:r w:rsidR="007F77A6">
        <w:t xml:space="preserve">n 12 November, the Committee published correspondence between its Chair and the Department of Premier and Cabinet.  </w:t>
      </w:r>
    </w:p>
    <w:p w14:paraId="454D11FA" w14:textId="77777777" w:rsidR="00B72CA3" w:rsidRDefault="00B72CA3" w:rsidP="00931787">
      <w:pPr>
        <w:spacing w:after="0"/>
      </w:pPr>
    </w:p>
    <w:p w14:paraId="1F854494" w14:textId="4EDE681D" w:rsidR="00044525" w:rsidRDefault="007F77A6" w:rsidP="00931787">
      <w:pPr>
        <w:spacing w:after="0"/>
      </w:pPr>
      <w:r>
        <w:t>The Department</w:t>
      </w:r>
      <w:r w:rsidR="00044525">
        <w:t>,</w:t>
      </w:r>
      <w:r>
        <w:t xml:space="preserve"> on 22 October</w:t>
      </w:r>
      <w:r w:rsidR="00044525">
        <w:t>, had</w:t>
      </w:r>
      <w:r>
        <w:t xml:space="preserve"> requested withdrawal of </w:t>
      </w:r>
      <w:r w:rsidR="00C231EE">
        <w:t>some</w:t>
      </w:r>
      <w:r>
        <w:t xml:space="preserve"> documents published by the Committee, including the Cabinet submission and briefs (see above).  </w:t>
      </w:r>
      <w:r w:rsidR="00044525">
        <w:t>The Chair’s response, 10 November, included:</w:t>
      </w:r>
    </w:p>
    <w:p w14:paraId="34D88EC2" w14:textId="39CF5E7D" w:rsidR="007F77A6" w:rsidRDefault="00044525" w:rsidP="00931787">
      <w:pPr>
        <w:spacing w:after="0"/>
        <w:ind w:left="720"/>
        <w:rPr>
          <w:i/>
          <w:iCs/>
        </w:rPr>
      </w:pPr>
      <w:r w:rsidRPr="00044525">
        <w:rPr>
          <w:i/>
          <w:iCs/>
        </w:rPr>
        <w:t xml:space="preserve">‘The committee has </w:t>
      </w:r>
      <w:r w:rsidR="007F77A6" w:rsidRPr="00044525">
        <w:rPr>
          <w:i/>
          <w:iCs/>
        </w:rPr>
        <w:t>not resolved to remove the documents from the committee's public website. The committee has further resolved to prepare a Special Report on the matter to the House, recommending that the matter be referred to the Privileges Committee for inquiry and report, on the right or otherwise of the Legislative Council to examine, publish and use Cabinet documents as part of an inquiry.</w:t>
      </w:r>
      <w:r w:rsidRPr="00044525">
        <w:rPr>
          <w:i/>
          <w:iCs/>
        </w:rPr>
        <w:t>’</w:t>
      </w:r>
      <w:r>
        <w:rPr>
          <w:rStyle w:val="FootnoteReference"/>
          <w:i/>
          <w:iCs/>
        </w:rPr>
        <w:footnoteReference w:id="14"/>
      </w:r>
    </w:p>
    <w:p w14:paraId="6368B301" w14:textId="42A82626" w:rsidR="00731900" w:rsidRDefault="00731900" w:rsidP="00931787">
      <w:pPr>
        <w:spacing w:after="0"/>
        <w:rPr>
          <w:i/>
          <w:iCs/>
        </w:rPr>
      </w:pPr>
    </w:p>
    <w:p w14:paraId="6A3E57D6" w14:textId="6CB9C0DF" w:rsidR="008C28FD" w:rsidRDefault="00731900" w:rsidP="00931787">
      <w:pPr>
        <w:spacing w:after="0"/>
      </w:pPr>
      <w:r w:rsidRPr="008C28FD">
        <w:t xml:space="preserve">Articles at the jadebeagle are based almost exclusively on </w:t>
      </w:r>
      <w:r w:rsidR="0015421C">
        <w:t xml:space="preserve">– and referenced to - </w:t>
      </w:r>
      <w:r w:rsidRPr="008C28FD">
        <w:t xml:space="preserve">publicly available material.  </w:t>
      </w:r>
    </w:p>
    <w:p w14:paraId="0301CB96" w14:textId="77777777" w:rsidR="008C28FD" w:rsidRDefault="008C28FD" w:rsidP="00931787">
      <w:pPr>
        <w:spacing w:after="0"/>
      </w:pPr>
    </w:p>
    <w:p w14:paraId="37B7669F" w14:textId="518E68DA" w:rsidR="008C28FD" w:rsidRPr="008C28FD" w:rsidRDefault="00731900" w:rsidP="00931787">
      <w:pPr>
        <w:spacing w:after="0"/>
      </w:pPr>
      <w:r w:rsidRPr="008C28FD">
        <w:t xml:space="preserve">The Department of Premier and Cabinet suggested (to the Committee) that </w:t>
      </w:r>
      <w:r w:rsidR="00C01892" w:rsidRPr="008C28FD">
        <w:t>Cabinet documents</w:t>
      </w:r>
      <w:r w:rsidR="008C28FD">
        <w:t>,</w:t>
      </w:r>
      <w:r w:rsidR="008C28FD" w:rsidRPr="008C28FD">
        <w:t xml:space="preserve"> by convention,</w:t>
      </w:r>
      <w:r w:rsidR="00C01892" w:rsidRPr="008C28FD">
        <w:t xml:space="preserve"> </w:t>
      </w:r>
      <w:r w:rsidR="008C28FD">
        <w:t xml:space="preserve">are </w:t>
      </w:r>
      <w:r w:rsidR="008C28FD" w:rsidRPr="008C28FD">
        <w:t xml:space="preserve">not to be published.  </w:t>
      </w:r>
      <w:r w:rsidR="00C231EE">
        <w:t>It argued c</w:t>
      </w:r>
      <w:r w:rsidR="008C28FD" w:rsidRPr="008C28FD">
        <w:t xml:space="preserve">orrect procedure </w:t>
      </w:r>
      <w:r w:rsidR="002A4709">
        <w:t>is: the</w:t>
      </w:r>
      <w:r w:rsidR="008C28FD" w:rsidRPr="008C28FD">
        <w:t xml:space="preserve"> </w:t>
      </w:r>
      <w:r w:rsidR="00C231EE">
        <w:t xml:space="preserve">Committee </w:t>
      </w:r>
      <w:r w:rsidR="002A4709">
        <w:t xml:space="preserve">should </w:t>
      </w:r>
      <w:r w:rsidR="008C28FD" w:rsidRPr="008C28FD">
        <w:t>withdraw the information</w:t>
      </w:r>
      <w:r w:rsidR="008C28FD">
        <w:t xml:space="preserve"> and no</w:t>
      </w:r>
      <w:r w:rsidR="00C231EE">
        <w:t>t use it in deliberations</w:t>
      </w:r>
      <w:r w:rsidR="008C28FD" w:rsidRPr="008C28FD">
        <w:t xml:space="preserve">.  </w:t>
      </w:r>
      <w:r w:rsidR="00C231EE">
        <w:t>An implicit argument is</w:t>
      </w:r>
      <w:r w:rsidR="0015421C">
        <w:t xml:space="preserve"> the material, including the KPMG report, 20 November 2020, is not effectively public.</w:t>
      </w:r>
    </w:p>
    <w:p w14:paraId="51879371" w14:textId="77777777" w:rsidR="008C28FD" w:rsidRDefault="008C28FD" w:rsidP="00931787">
      <w:pPr>
        <w:spacing w:after="0"/>
      </w:pPr>
    </w:p>
    <w:p w14:paraId="353C38C3" w14:textId="6F784AD3" w:rsidR="009E59F6" w:rsidRDefault="008C28FD" w:rsidP="00931787">
      <w:pPr>
        <w:spacing w:after="0"/>
        <w:rPr>
          <w:sz w:val="16"/>
          <w:szCs w:val="16"/>
        </w:rPr>
      </w:pPr>
      <w:r>
        <w:t xml:space="preserve">Nonetheless, the Committee continued to publish </w:t>
      </w:r>
      <w:r w:rsidRPr="008C28FD">
        <w:t>th</w:t>
      </w:r>
      <w:r>
        <w:t>e material</w:t>
      </w:r>
      <w:r w:rsidR="0015421C">
        <w:t xml:space="preserve"> claimed to be Cabinet in confidence</w:t>
      </w:r>
      <w:r>
        <w:t xml:space="preserve">.  </w:t>
      </w:r>
      <w:r w:rsidR="00381367">
        <w:t>T</w:t>
      </w:r>
      <w:r w:rsidR="0015421C">
        <w:t>he material</w:t>
      </w:r>
      <w:r>
        <w:t xml:space="preserve"> has </w:t>
      </w:r>
      <w:r w:rsidR="00381367">
        <w:t>been quoted</w:t>
      </w:r>
      <w:r w:rsidR="00C231EE">
        <w:t xml:space="preserve"> and </w:t>
      </w:r>
      <w:r w:rsidR="00381367">
        <w:t xml:space="preserve">subject to </w:t>
      </w:r>
      <w:r>
        <w:t xml:space="preserve">extensive commentary since </w:t>
      </w:r>
      <w:r w:rsidR="0015421C">
        <w:t xml:space="preserve">at least June 2021.  </w:t>
      </w:r>
      <w:r w:rsidR="00C01892" w:rsidRPr="008C28FD">
        <w:t xml:space="preserve"> </w:t>
      </w:r>
      <w:r w:rsidR="0015421C">
        <w:t>For the purposes</w:t>
      </w:r>
      <w:r w:rsidR="00570750">
        <w:t xml:space="preserve"> </w:t>
      </w:r>
      <w:r w:rsidR="00C231EE">
        <w:t>of</w:t>
      </w:r>
      <w:r w:rsidR="00570750">
        <w:t xml:space="preserve"> this article</w:t>
      </w:r>
      <w:r w:rsidR="0015421C">
        <w:t xml:space="preserve">, </w:t>
      </w:r>
      <w:r w:rsidR="00C231EE">
        <w:t xml:space="preserve">such material </w:t>
      </w:r>
      <w:r w:rsidR="00570750">
        <w:t>that</w:t>
      </w:r>
      <w:r w:rsidR="0015421C">
        <w:t xml:space="preserve"> go</w:t>
      </w:r>
      <w:r w:rsidR="00C231EE">
        <w:t>es</w:t>
      </w:r>
      <w:r w:rsidR="0015421C">
        <w:t xml:space="preserve"> to the question of </w:t>
      </w:r>
      <w:r w:rsidR="00570750">
        <w:t xml:space="preserve">the real-world effects of governance </w:t>
      </w:r>
      <w:r w:rsidR="00C231EE">
        <w:t>is</w:t>
      </w:r>
      <w:r w:rsidR="0015421C">
        <w:t xml:space="preserve"> treated as public information.</w:t>
      </w:r>
      <w:r w:rsidR="003D1D8A" w:rsidRPr="00044525">
        <w:rPr>
          <w:sz w:val="16"/>
          <w:szCs w:val="16"/>
        </w:rPr>
        <w:t xml:space="preserve"> </w:t>
      </w:r>
    </w:p>
    <w:p w14:paraId="74DB6D5F" w14:textId="77777777" w:rsidR="009E59F6" w:rsidRDefault="009E59F6" w:rsidP="00931787">
      <w:pPr>
        <w:spacing w:after="0"/>
        <w:rPr>
          <w:sz w:val="16"/>
          <w:szCs w:val="16"/>
        </w:rPr>
      </w:pPr>
      <w:r>
        <w:rPr>
          <w:sz w:val="16"/>
          <w:szCs w:val="16"/>
        </w:rPr>
        <w:br w:type="page"/>
      </w:r>
    </w:p>
    <w:p w14:paraId="5ECD5ADC" w14:textId="0318D486" w:rsidR="005C2248" w:rsidRDefault="005C2248" w:rsidP="00931787">
      <w:pPr>
        <w:pStyle w:val="Heading2"/>
      </w:pPr>
      <w:bookmarkStart w:id="6" w:name="_Toc93085754"/>
      <w:r>
        <w:lastRenderedPageBreak/>
        <w:t>3.</w:t>
      </w:r>
      <w:r>
        <w:tab/>
        <w:t>Microeconomic reform</w:t>
      </w:r>
      <w:bookmarkEnd w:id="6"/>
    </w:p>
    <w:p w14:paraId="072385DD" w14:textId="43CA7F67" w:rsidR="005C2248" w:rsidRDefault="005C2248" w:rsidP="00931787">
      <w:pPr>
        <w:pStyle w:val="Heading3"/>
      </w:pPr>
      <w:bookmarkStart w:id="7" w:name="_Toc93085755"/>
      <w:r>
        <w:t>3.1</w:t>
      </w:r>
      <w:r>
        <w:tab/>
        <w:t>The claim</w:t>
      </w:r>
      <w:bookmarkEnd w:id="7"/>
    </w:p>
    <w:p w14:paraId="78D31DE3" w14:textId="77777777" w:rsidR="005C2248" w:rsidRDefault="005C2248" w:rsidP="00931787">
      <w:pPr>
        <w:spacing w:after="0"/>
      </w:pPr>
      <w:r>
        <w:t>At hearings on 16 December, the Treasury Secretary claimed:</w:t>
      </w:r>
    </w:p>
    <w:p w14:paraId="562E8CEB" w14:textId="295286F0" w:rsidR="005C2248" w:rsidRDefault="005C2248" w:rsidP="00931787">
      <w:pPr>
        <w:spacing w:after="0"/>
        <w:ind w:left="720"/>
        <w:rPr>
          <w:i/>
          <w:iCs/>
        </w:rPr>
      </w:pPr>
      <w:r w:rsidRPr="00A15B39">
        <w:rPr>
          <w:i/>
          <w:iCs/>
        </w:rPr>
        <w:t>‘There has been a false narrative that TAHE was created to perpetuate an accounting trickery. That is wrong. The truth is TAHE was created to pursue Government policy of micro-economic reform to bring about the most optimum structure for the management of Transport assets.</w:t>
      </w:r>
      <w:r>
        <w:rPr>
          <w:i/>
          <w:iCs/>
        </w:rPr>
        <w:t>’</w:t>
      </w:r>
      <w:r>
        <w:rPr>
          <w:rStyle w:val="FootnoteReference"/>
        </w:rPr>
        <w:footnoteReference w:id="15"/>
      </w:r>
    </w:p>
    <w:p w14:paraId="52E0EC29" w14:textId="681EFA84" w:rsidR="005C2248" w:rsidRDefault="00FC4E0C" w:rsidP="00931787">
      <w:pPr>
        <w:spacing w:after="0"/>
      </w:pPr>
      <w:r>
        <w:t xml:space="preserve"> </w:t>
      </w:r>
    </w:p>
    <w:p w14:paraId="19D0C41A" w14:textId="77777777" w:rsidR="005C2248" w:rsidRDefault="005C2248" w:rsidP="00931787">
      <w:pPr>
        <w:spacing w:after="0"/>
      </w:pPr>
      <w:r>
        <w:t xml:space="preserve">A technical hitch in broadcasting meant the Secretary was asked to repeat the statements.  The Hon. Mr Mookey, MP, then took issue with a supposed difference between the original and repeat statement – the former had officials implementing Government policy, the latter pursuing micro-economic reform.  </w:t>
      </w:r>
    </w:p>
    <w:p w14:paraId="78FFDFCD" w14:textId="77777777" w:rsidR="005C2248" w:rsidRDefault="005C2248" w:rsidP="00931787">
      <w:pPr>
        <w:spacing w:after="0"/>
      </w:pPr>
    </w:p>
    <w:p w14:paraId="0B39AAD2" w14:textId="32580710" w:rsidR="005C2248" w:rsidRDefault="002A4709" w:rsidP="00931787">
      <w:pPr>
        <w:spacing w:after="0"/>
      </w:pPr>
      <w:r>
        <w:t>What</w:t>
      </w:r>
      <w:r w:rsidR="005C2248">
        <w:t xml:space="preserve"> Mr Mookey had in mind is not clear.  What</w:t>
      </w:r>
      <w:r>
        <w:t>ever it was, he</w:t>
      </w:r>
      <w:r w:rsidR="005C2248">
        <w:t xml:space="preserve"> missed the real point.  That being: if the Entity is a result of micro-economic reform NSW faces bigger problems than if it was the product of accounting artifice.</w:t>
      </w:r>
    </w:p>
    <w:p w14:paraId="3E5AEAC5" w14:textId="77777777" w:rsidR="005C2248" w:rsidRDefault="005C2248" w:rsidP="00931787">
      <w:pPr>
        <w:spacing w:after="0"/>
      </w:pPr>
    </w:p>
    <w:p w14:paraId="40ED4F0C" w14:textId="398557C3" w:rsidR="005C2248" w:rsidRDefault="005C2248" w:rsidP="00931787">
      <w:pPr>
        <w:spacing w:after="0"/>
      </w:pPr>
      <w:r>
        <w:t xml:space="preserve"> A </w:t>
      </w:r>
      <w:r w:rsidR="00094B51">
        <w:t xml:space="preserve">late </w:t>
      </w:r>
      <w:r>
        <w:t>submission to the Inquiry from Treasury and Transport</w:t>
      </w:r>
      <w:r w:rsidR="00094B51">
        <w:t xml:space="preserve"> for NSW</w:t>
      </w:r>
      <w:r>
        <w:t>, published that day, gave more detail on the microeconomic reform claim:</w:t>
      </w:r>
    </w:p>
    <w:p w14:paraId="6AFE6423" w14:textId="3B4E9622" w:rsidR="005C2248" w:rsidRPr="0087281B" w:rsidRDefault="005C2248" w:rsidP="00931787">
      <w:pPr>
        <w:spacing w:after="0"/>
        <w:ind w:left="720"/>
        <w:rPr>
          <w:i/>
          <w:iCs/>
        </w:rPr>
      </w:pPr>
      <w:r>
        <w:t>‘</w:t>
      </w:r>
      <w:r w:rsidRPr="0087281B">
        <w:rPr>
          <w:i/>
          <w:iCs/>
        </w:rPr>
        <w:t xml:space="preserve">….the TAHE reforms are also consistent with micro-economic policies that have been progressively adopted by the NSW Government since the introduction of the National Competition Policy (NCP).  The NSW </w:t>
      </w:r>
      <w:r w:rsidR="00C37363" w:rsidRPr="00C37363">
        <w:t>(policy?)</w:t>
      </w:r>
      <w:r w:rsidR="00C37363">
        <w:rPr>
          <w:i/>
          <w:iCs/>
        </w:rPr>
        <w:t xml:space="preserve"> </w:t>
      </w:r>
      <w:r w:rsidRPr="0087281B">
        <w:rPr>
          <w:i/>
          <w:iCs/>
        </w:rPr>
        <w:t>reflects a view that improved marked design can achieve many of the benefits of competition while maintaining state ownership of natural monopolies.</w:t>
      </w:r>
    </w:p>
    <w:p w14:paraId="3C547851" w14:textId="77777777" w:rsidR="005C2248" w:rsidRDefault="005C2248" w:rsidP="00931787">
      <w:pPr>
        <w:spacing w:after="0"/>
        <w:ind w:left="720"/>
        <w:rPr>
          <w:noProof/>
        </w:rPr>
      </w:pPr>
      <w:r w:rsidRPr="0087281B">
        <w:rPr>
          <w:i/>
          <w:iCs/>
        </w:rPr>
        <w:t xml:space="preserve">The 1993 Hilmer Report on National Competition Policy recommended Governments examine the merits of structural separation of public authorities into natural monopoly and potentially contestable activities.  The report recommended there be access arrangements for strategic natural monopoly assets </w:t>
      </w:r>
      <w:r w:rsidRPr="0087281B">
        <w:rPr>
          <w:i/>
          <w:iCs/>
          <w:noProof/>
        </w:rPr>
        <w:t>or ‘essential facilities’  The reportexpressely identified rail track as an example of such a natura</w:t>
      </w:r>
      <w:r>
        <w:rPr>
          <w:i/>
          <w:iCs/>
          <w:noProof/>
        </w:rPr>
        <w:t>l</w:t>
      </w:r>
      <w:r w:rsidRPr="0087281B">
        <w:rPr>
          <w:i/>
          <w:iCs/>
          <w:noProof/>
        </w:rPr>
        <w:t xml:space="preserve"> monopoly, and a key driver for reform since the NCP has been a view that state-run monopoly railways tend to inefficiency due to a range of factors including poor incentives.</w:t>
      </w:r>
    </w:p>
    <w:p w14:paraId="0F98A0F5" w14:textId="77777777" w:rsidR="005C2248" w:rsidRDefault="005C2248" w:rsidP="00931787">
      <w:pPr>
        <w:spacing w:after="0"/>
        <w:ind w:left="720"/>
        <w:rPr>
          <w:i/>
          <w:iCs/>
          <w:noProof/>
        </w:rPr>
      </w:pPr>
      <w:r w:rsidRPr="0087281B">
        <w:rPr>
          <w:i/>
          <w:iCs/>
          <w:noProof/>
        </w:rPr>
        <w:t xml:space="preserve">As such, contrary to some media speculation, </w:t>
      </w:r>
      <w:r>
        <w:rPr>
          <w:i/>
          <w:iCs/>
          <w:noProof/>
        </w:rPr>
        <w:t>T</w:t>
      </w:r>
      <w:r w:rsidRPr="0087281B">
        <w:rPr>
          <w:i/>
          <w:iCs/>
          <w:noProof/>
        </w:rPr>
        <w:t>AHE was create as part of a comprehenive multi-year government policy to best optimise the use of state funds to invest in an improved transport network, as well as to implement micro-economic reform in line with the NCP and Hilmer Report.</w:t>
      </w:r>
      <w:r>
        <w:rPr>
          <w:i/>
          <w:iCs/>
          <w:noProof/>
        </w:rPr>
        <w:t>’</w:t>
      </w:r>
      <w:r>
        <w:rPr>
          <w:rStyle w:val="FootnoteReference"/>
          <w:noProof/>
        </w:rPr>
        <w:footnoteReference w:id="16"/>
      </w:r>
    </w:p>
    <w:p w14:paraId="6D638F33" w14:textId="77777777" w:rsidR="005C2248" w:rsidRDefault="005C2248" w:rsidP="00931787">
      <w:pPr>
        <w:spacing w:after="0"/>
        <w:rPr>
          <w:noProof/>
        </w:rPr>
      </w:pPr>
    </w:p>
    <w:p w14:paraId="192B9FBC" w14:textId="77777777" w:rsidR="009F4688" w:rsidRDefault="005C2248" w:rsidP="00931787">
      <w:pPr>
        <w:spacing w:after="0"/>
        <w:rPr>
          <w:noProof/>
        </w:rPr>
      </w:pPr>
      <w:r>
        <w:rPr>
          <w:noProof/>
        </w:rPr>
        <w:t xml:space="preserve">Such comments are: wrong in material respects; outdated by at least two decades; have largely been rejected by the ‘high-priests’ of micro-economic reform including the Productivity Commission.  </w:t>
      </w:r>
    </w:p>
    <w:p w14:paraId="747AA4A5" w14:textId="21AEF4C1" w:rsidR="005C2248" w:rsidRDefault="005C2248" w:rsidP="00931787">
      <w:pPr>
        <w:pStyle w:val="Heading3"/>
      </w:pPr>
      <w:bookmarkStart w:id="8" w:name="_Toc93085756"/>
      <w:r>
        <w:lastRenderedPageBreak/>
        <w:t>3.2</w:t>
      </w:r>
      <w:r>
        <w:tab/>
        <w:t>Micro-economic reform and competition policy - 1990s</w:t>
      </w:r>
      <w:bookmarkEnd w:id="8"/>
    </w:p>
    <w:p w14:paraId="3696ECA4" w14:textId="77777777" w:rsidR="0066649C" w:rsidRDefault="0066649C" w:rsidP="0066649C">
      <w:pPr>
        <w:pStyle w:val="Heading4"/>
      </w:pPr>
      <w:r>
        <w:t>3.2.1</w:t>
      </w:r>
      <w:r>
        <w:tab/>
        <w:t>Introduction</w:t>
      </w:r>
    </w:p>
    <w:p w14:paraId="200B4441" w14:textId="3D42612E" w:rsidR="005C2248" w:rsidRDefault="005C2248" w:rsidP="00931787">
      <w:pPr>
        <w:spacing w:after="0"/>
      </w:pPr>
      <w:r>
        <w:t xml:space="preserve">Apart from among some bureaucrats and lobby groups who grandstand over pale imitations of the Hawke-Keating glory days, ‘micro-economic reform’ has not been popular since the late-1990s.  Even pet shop resident galahs stopped squawking about it since the turn of the </w:t>
      </w:r>
      <w:r w:rsidR="00931787">
        <w:t>millennium</w:t>
      </w:r>
      <w:r>
        <w:t>.</w:t>
      </w:r>
      <w:r>
        <w:rPr>
          <w:rStyle w:val="FootnoteReference"/>
        </w:rPr>
        <w:footnoteReference w:id="17"/>
      </w:r>
    </w:p>
    <w:p w14:paraId="6B464442" w14:textId="77777777" w:rsidR="005C2248" w:rsidRDefault="005C2248" w:rsidP="00931787">
      <w:pPr>
        <w:spacing w:after="0"/>
      </w:pPr>
    </w:p>
    <w:p w14:paraId="01B57F3B" w14:textId="762DD043" w:rsidR="005C2248" w:rsidRDefault="005C2248" w:rsidP="00931787">
      <w:pPr>
        <w:spacing w:after="0"/>
      </w:pPr>
      <w:r>
        <w:t>The Treasury and Transport submission place</w:t>
      </w:r>
      <w:r w:rsidR="00495859">
        <w:t>d</w:t>
      </w:r>
      <w:r>
        <w:t xml:space="preserve"> competition policy, and Hilmer report, at the centre of micro-economic reform.  Yet the original national competition policy</w:t>
      </w:r>
      <w:r w:rsidR="00884BFC">
        <w:t xml:space="preserve"> (1995)</w:t>
      </w:r>
      <w:r>
        <w:t>, and Hilmer report</w:t>
      </w:r>
      <w:r w:rsidR="00884BFC">
        <w:t xml:space="preserve"> (1993)</w:t>
      </w:r>
      <w:r w:rsidR="00495859">
        <w:t>,</w:t>
      </w:r>
      <w:r>
        <w:t xml:space="preserve"> were but part of directions set during the Hawke-Keating period.</w:t>
      </w:r>
      <w:r>
        <w:rPr>
          <w:rStyle w:val="FootnoteReference"/>
        </w:rPr>
        <w:footnoteReference w:id="18"/>
      </w:r>
    </w:p>
    <w:p w14:paraId="2ADEB99A" w14:textId="77777777" w:rsidR="005C2248" w:rsidRDefault="005C2248" w:rsidP="00931787">
      <w:pPr>
        <w:spacing w:after="0"/>
      </w:pPr>
    </w:p>
    <w:p w14:paraId="3D830125" w14:textId="77777777" w:rsidR="005C2248" w:rsidRDefault="005C2248" w:rsidP="00931787">
      <w:pPr>
        <w:spacing w:after="0"/>
      </w:pPr>
      <w:r>
        <w:t xml:space="preserve">The micro-economic policies said to be relevant to railways - competitive neutrality, access to infrastructure, structural reform of public monopolies - were in the </w:t>
      </w:r>
      <w:r w:rsidRPr="00202347">
        <w:rPr>
          <w:i/>
          <w:iCs/>
        </w:rPr>
        <w:t>Competition Principles Agreement (1995)</w:t>
      </w:r>
      <w:r>
        <w:t>.</w:t>
      </w:r>
      <w:r>
        <w:rPr>
          <w:rStyle w:val="FootnoteReference"/>
        </w:rPr>
        <w:footnoteReference w:id="19"/>
      </w:r>
    </w:p>
    <w:p w14:paraId="65CFBBC2" w14:textId="77777777" w:rsidR="005C2248" w:rsidRDefault="005C2248" w:rsidP="00931787">
      <w:pPr>
        <w:spacing w:after="0"/>
      </w:pPr>
    </w:p>
    <w:p w14:paraId="6D630114" w14:textId="331A6E40" w:rsidR="005C2248" w:rsidRPr="0010564D" w:rsidRDefault="003B36A0" w:rsidP="00931787">
      <w:pPr>
        <w:pStyle w:val="Heading4"/>
      </w:pPr>
      <w:r>
        <w:t>3.2.</w:t>
      </w:r>
      <w:r w:rsidR="00003B02">
        <w:t>2</w:t>
      </w:r>
      <w:r>
        <w:tab/>
      </w:r>
      <w:r w:rsidR="005C2248" w:rsidRPr="0010564D">
        <w:t>Competitive neutrality</w:t>
      </w:r>
    </w:p>
    <w:p w14:paraId="0A2D42EC" w14:textId="4BA7A499" w:rsidR="005C2248" w:rsidRDefault="005C2248" w:rsidP="00931787">
      <w:pPr>
        <w:spacing w:after="0"/>
      </w:pPr>
      <w:r w:rsidRPr="00757AF1">
        <w:t>From the outset</w:t>
      </w:r>
      <w:r w:rsidRPr="0010564D">
        <w:t>, competitive neutrality</w:t>
      </w:r>
      <w:r>
        <w:t xml:space="preserve"> was seen as irrelevant for commuter railways</w:t>
      </w:r>
      <w:r w:rsidR="00C37363">
        <w:t xml:space="preserve"> because service provision required subsidies </w:t>
      </w:r>
      <w:r w:rsidR="00152F65">
        <w:t>i.e.,</w:t>
      </w:r>
      <w:r w:rsidR="00C37363">
        <w:t xml:space="preserve"> public ownership did not provide an organisation with competitive advantage</w:t>
      </w:r>
      <w:r w:rsidR="00A60F67">
        <w:t xml:space="preserve"> in the commuter market.</w:t>
      </w:r>
      <w:r w:rsidR="00C37363">
        <w:t xml:space="preserve"> </w:t>
      </w:r>
      <w:r w:rsidR="00495859">
        <w:t xml:space="preserve">  </w:t>
      </w:r>
      <w:r w:rsidR="00C37363">
        <w:t>Competitive neutrality</w:t>
      </w:r>
      <w:r w:rsidR="00495859">
        <w:t xml:space="preserve"> was seen as a</w:t>
      </w:r>
      <w:r w:rsidR="00C37363">
        <w:t>n issue in</w:t>
      </w:r>
      <w:r w:rsidR="00495859">
        <w:t xml:space="preserve"> </w:t>
      </w:r>
      <w:r w:rsidR="00A60F67">
        <w:t xml:space="preserve">and for </w:t>
      </w:r>
      <w:r w:rsidR="00495859">
        <w:t>freight.</w:t>
      </w:r>
      <w:r w:rsidR="00495859">
        <w:rPr>
          <w:rStyle w:val="FootnoteReference"/>
        </w:rPr>
        <w:footnoteReference w:id="20"/>
      </w:r>
    </w:p>
    <w:p w14:paraId="056D0585" w14:textId="77777777" w:rsidR="005C2248" w:rsidRDefault="005C2248" w:rsidP="00931787">
      <w:pPr>
        <w:spacing w:after="0"/>
      </w:pPr>
    </w:p>
    <w:p w14:paraId="4279721E" w14:textId="7CA02744" w:rsidR="005C2248" w:rsidRDefault="003B36A0" w:rsidP="00931787">
      <w:pPr>
        <w:pStyle w:val="Heading4"/>
      </w:pPr>
      <w:r>
        <w:t>3.2.</w:t>
      </w:r>
      <w:r w:rsidR="00003B02">
        <w:t>3</w:t>
      </w:r>
      <w:r>
        <w:tab/>
      </w:r>
      <w:r w:rsidR="005C2248" w:rsidRPr="00757AF1">
        <w:t xml:space="preserve">Access to infrastructure </w:t>
      </w:r>
    </w:p>
    <w:p w14:paraId="481BC895" w14:textId="10A5034B" w:rsidR="005C2248" w:rsidRDefault="005C2248" w:rsidP="00931787">
      <w:pPr>
        <w:spacing w:after="0"/>
      </w:pPr>
      <w:r w:rsidRPr="0010564D">
        <w:t>Access relate</w:t>
      </w:r>
      <w:r w:rsidR="00003B02">
        <w:t>s</w:t>
      </w:r>
      <w:r w:rsidRPr="0010564D">
        <w:t xml:space="preserve"> to a non-owner’s use of essential facilities of national significance necessary for </w:t>
      </w:r>
      <w:r>
        <w:t xml:space="preserve">competition in an up/downstream market.  </w:t>
      </w:r>
    </w:p>
    <w:p w14:paraId="6CEAD43E" w14:textId="77777777" w:rsidR="005C2248" w:rsidRDefault="005C2248" w:rsidP="00931787">
      <w:pPr>
        <w:spacing w:after="0"/>
      </w:pPr>
    </w:p>
    <w:p w14:paraId="07DD3FBE" w14:textId="1289D681" w:rsidR="005C2248" w:rsidRDefault="005C2248" w:rsidP="00931787">
      <w:pPr>
        <w:spacing w:after="0"/>
      </w:pPr>
      <w:r>
        <w:t xml:space="preserve">Rail track infrastructure was identified in the Hilmer report as an example of such a facility.  However, the report related this to freight markets, in particular coal.  The rail target of the Hilmer report was ‘economic rents’ of NSW and Queensland </w:t>
      </w:r>
      <w:r w:rsidR="00094B51">
        <w:t xml:space="preserve">Government owned </w:t>
      </w:r>
      <w:r>
        <w:t>coal rail monopolies</w:t>
      </w:r>
      <w:r w:rsidR="00884BFC">
        <w:t>.  A</w:t>
      </w:r>
      <w:r>
        <w:t xml:space="preserve">ccess of other </w:t>
      </w:r>
      <w:r w:rsidR="00884BFC">
        <w:t xml:space="preserve">rail </w:t>
      </w:r>
      <w:r>
        <w:t>freight operators to relevant lines would diminish</w:t>
      </w:r>
      <w:r w:rsidR="00884BFC">
        <w:t xml:space="preserve"> the monopolies</w:t>
      </w:r>
      <w:r>
        <w:t>.</w:t>
      </w:r>
      <w:r>
        <w:rPr>
          <w:rStyle w:val="FootnoteReference"/>
        </w:rPr>
        <w:footnoteReference w:id="21"/>
      </w:r>
    </w:p>
    <w:p w14:paraId="4DE3212F" w14:textId="77777777" w:rsidR="005C2248" w:rsidRDefault="005C2248" w:rsidP="00931787">
      <w:pPr>
        <w:spacing w:after="0"/>
      </w:pPr>
    </w:p>
    <w:p w14:paraId="1D7CD4A7" w14:textId="77777777" w:rsidR="005C2248" w:rsidRDefault="005C2248" w:rsidP="00931787">
      <w:pPr>
        <w:spacing w:after="0"/>
      </w:pPr>
      <w:r>
        <w:t>Hilmer’s report did not contemplate access to metropolitan track for the conduct of passenger operations – for the simple reason such traffic is unprofitable.</w:t>
      </w:r>
      <w:r>
        <w:rPr>
          <w:rStyle w:val="FootnoteReference"/>
        </w:rPr>
        <w:footnoteReference w:id="22"/>
      </w:r>
    </w:p>
    <w:p w14:paraId="58F6D692" w14:textId="77777777" w:rsidR="005C2248" w:rsidRDefault="005C2248" w:rsidP="00931787">
      <w:pPr>
        <w:spacing w:after="0"/>
      </w:pPr>
    </w:p>
    <w:p w14:paraId="3F99878D" w14:textId="77777777" w:rsidR="00884BFC" w:rsidRDefault="005C2248" w:rsidP="00931787">
      <w:pPr>
        <w:spacing w:after="0"/>
      </w:pPr>
      <w:r>
        <w:lastRenderedPageBreak/>
        <w:t xml:space="preserve">The </w:t>
      </w:r>
      <w:r w:rsidRPr="00202347">
        <w:rPr>
          <w:i/>
          <w:iCs/>
        </w:rPr>
        <w:t>Competition Principles</w:t>
      </w:r>
      <w:r>
        <w:t xml:space="preserve"> envisaged the access process to be governed by a regime/undertaking.</w:t>
      </w:r>
    </w:p>
    <w:p w14:paraId="109278F5" w14:textId="03F918D0" w:rsidR="005C2248" w:rsidRDefault="005C2248" w:rsidP="00931787">
      <w:pPr>
        <w:spacing w:after="0"/>
      </w:pPr>
      <w:r>
        <w:t xml:space="preserve">States could develop their own, with the Trade Practices Act – later </w:t>
      </w:r>
      <w:r w:rsidRPr="00AD320E">
        <w:rPr>
          <w:i/>
          <w:iCs/>
        </w:rPr>
        <w:t>Competition and Consumers Act (2010)</w:t>
      </w:r>
      <w:r>
        <w:rPr>
          <w:i/>
          <w:iCs/>
        </w:rPr>
        <w:t xml:space="preserve"> - </w:t>
      </w:r>
      <w:r>
        <w:t xml:space="preserve">providing a fallback.  The approach to access involved an over-reach and an under-reach, both of which came in for strong criticism in later years.  </w:t>
      </w:r>
    </w:p>
    <w:p w14:paraId="5E370147" w14:textId="77777777" w:rsidR="005C2248" w:rsidRDefault="005C2248" w:rsidP="00931787">
      <w:pPr>
        <w:spacing w:after="0"/>
      </w:pPr>
    </w:p>
    <w:p w14:paraId="687C9AB9" w14:textId="24046194" w:rsidR="005C2248" w:rsidRDefault="003B36A0" w:rsidP="00931787">
      <w:pPr>
        <w:pStyle w:val="Heading4"/>
      </w:pPr>
      <w:r>
        <w:t>3.2.</w:t>
      </w:r>
      <w:r w:rsidR="00003B02">
        <w:t>4</w:t>
      </w:r>
      <w:r>
        <w:tab/>
      </w:r>
      <w:r w:rsidR="005C2248">
        <w:t>Access over-reach and under-reach</w:t>
      </w:r>
    </w:p>
    <w:p w14:paraId="3B5D53AB" w14:textId="5548D7B4" w:rsidR="005C2248" w:rsidRDefault="005C2248" w:rsidP="00931787">
      <w:pPr>
        <w:spacing w:after="0"/>
      </w:pPr>
      <w:r>
        <w:t xml:space="preserve">Not least among the results of over/under reach were intractable access disputes subject to seemingly interminable litigation.  </w:t>
      </w:r>
    </w:p>
    <w:p w14:paraId="1E164A63" w14:textId="77777777" w:rsidR="005C2248" w:rsidRDefault="005C2248" w:rsidP="00931787">
      <w:pPr>
        <w:spacing w:after="0"/>
      </w:pPr>
    </w:p>
    <w:p w14:paraId="7F38FC6C" w14:textId="6EC358A5" w:rsidR="005C2248" w:rsidRDefault="005C2248" w:rsidP="00931787">
      <w:pPr>
        <w:spacing w:after="0"/>
      </w:pPr>
      <w:r>
        <w:t xml:space="preserve">The </w:t>
      </w:r>
      <w:r w:rsidR="00884BFC">
        <w:t xml:space="preserve">endless disputes can be sheeted home to the </w:t>
      </w:r>
      <w:r>
        <w:t>burgeoning, smug, (new) competition policy bureaucracies – known as the competition club of Australia</w:t>
      </w:r>
      <w:r w:rsidR="00884BFC">
        <w:t>.  The bureaucracies</w:t>
      </w:r>
      <w:r>
        <w:t xml:space="preserve"> offered no help to </w:t>
      </w:r>
      <w:r w:rsidR="00A22CBF">
        <w:t xml:space="preserve">State Governments </w:t>
      </w:r>
      <w:r w:rsidR="00A60F67">
        <w:t xml:space="preserve">wanting to </w:t>
      </w:r>
      <w:r w:rsidR="00A22CBF">
        <w:t xml:space="preserve">develop or modify </w:t>
      </w:r>
      <w:r>
        <w:t>transport policy.  At times, they ran interference against public policy and common sense for rail</w:t>
      </w:r>
      <w:r w:rsidR="009F4688">
        <w:t xml:space="preserve">, </w:t>
      </w:r>
      <w:r w:rsidR="00884BFC">
        <w:t xml:space="preserve">for example </w:t>
      </w:r>
      <w:r w:rsidR="009F4688">
        <w:t xml:space="preserve">stalling progress on </w:t>
      </w:r>
      <w:r w:rsidR="00884BFC">
        <w:t xml:space="preserve">access regulation under </w:t>
      </w:r>
      <w:r w:rsidR="009F4688">
        <w:t xml:space="preserve">the pre-text of waiting for the </w:t>
      </w:r>
      <w:r w:rsidR="000C399B">
        <w:t>G</w:t>
      </w:r>
      <w:r w:rsidR="009F4688">
        <w:t>odot of ‘national reform’</w:t>
      </w:r>
      <w:r>
        <w:t>.</w:t>
      </w:r>
      <w:r>
        <w:rPr>
          <w:rStyle w:val="FootnoteReference"/>
        </w:rPr>
        <w:footnoteReference w:id="23"/>
      </w:r>
      <w:r>
        <w:t xml:space="preserve">  </w:t>
      </w:r>
    </w:p>
    <w:p w14:paraId="4838B033" w14:textId="77777777" w:rsidR="005C2248" w:rsidRDefault="005C2248" w:rsidP="00931787">
      <w:pPr>
        <w:spacing w:after="0"/>
      </w:pPr>
    </w:p>
    <w:p w14:paraId="41CC5CD5" w14:textId="6D850B8A" w:rsidR="005C2248" w:rsidRDefault="005C2248" w:rsidP="00931787">
      <w:pPr>
        <w:spacing w:after="0"/>
      </w:pPr>
      <w:r>
        <w:t xml:space="preserve">The </w:t>
      </w:r>
      <w:r w:rsidR="009F4688">
        <w:t xml:space="preserve">access </w:t>
      </w:r>
      <w:r>
        <w:t>over-reach was application to infrastructure irrespective of origins or ownership.  In contrast, Hilmer’s report largely concerned public sector infrastructure</w:t>
      </w:r>
      <w:r w:rsidR="00A60F67">
        <w:t xml:space="preserve"> – for example the NSW and Queensland </w:t>
      </w:r>
      <w:r w:rsidR="00094B51">
        <w:t>G</w:t>
      </w:r>
      <w:r w:rsidR="00A60F67">
        <w:t xml:space="preserve">overnment </w:t>
      </w:r>
      <w:r w:rsidR="00094B51">
        <w:t xml:space="preserve">owned </w:t>
      </w:r>
      <w:r w:rsidR="00A60F67">
        <w:t>rail lines used for coal haulage rather than the private iron-ore lines in Western Australia’s Pilbara region</w:t>
      </w:r>
      <w:r>
        <w:t xml:space="preserve">.  </w:t>
      </w:r>
    </w:p>
    <w:p w14:paraId="58123C15" w14:textId="77777777" w:rsidR="005C2248" w:rsidRDefault="005C2248" w:rsidP="00931787">
      <w:pPr>
        <w:spacing w:after="0"/>
      </w:pPr>
    </w:p>
    <w:p w14:paraId="4E97D043" w14:textId="553A54D7" w:rsidR="005C2248" w:rsidRDefault="005C2248" w:rsidP="00931787">
      <w:pPr>
        <w:spacing w:after="0"/>
      </w:pPr>
      <w:r>
        <w:t>The under-reach was an economy wide ‘negotiate and arbitrate’ access model.  This quickly proved so vague as to be meaningless</w:t>
      </w:r>
      <w:r w:rsidR="00884BFC">
        <w:t>.  It</w:t>
      </w:r>
      <w:r>
        <w:t xml:space="preserve"> led to attempts to create industry specific access regimes – which were resisted by the club as intruding on their domain.  Some disputes over whether there should be an access right – not what that right should be - took nearly a decade to determine.</w:t>
      </w:r>
      <w:r>
        <w:rPr>
          <w:rStyle w:val="FootnoteReference"/>
        </w:rPr>
        <w:footnoteReference w:id="24"/>
      </w:r>
    </w:p>
    <w:p w14:paraId="311D83FD" w14:textId="77777777" w:rsidR="005C2248" w:rsidRDefault="005C2248" w:rsidP="00931787">
      <w:pPr>
        <w:spacing w:after="0"/>
      </w:pPr>
    </w:p>
    <w:p w14:paraId="545D5F18" w14:textId="3DEF7209" w:rsidR="005C2248" w:rsidRDefault="005C2248" w:rsidP="00931787">
      <w:pPr>
        <w:spacing w:after="0"/>
      </w:pPr>
      <w:r>
        <w:t xml:space="preserve">Interestingly, road transport and road authorities were also targets of the Hilmer report.  Roads – as well as railway lines - appear in the access provisions of the </w:t>
      </w:r>
      <w:r w:rsidRPr="00AD320E">
        <w:rPr>
          <w:i/>
          <w:iCs/>
        </w:rPr>
        <w:t>Competition and Consumers Act</w:t>
      </w:r>
      <w:r>
        <w:t>.</w:t>
      </w:r>
      <w:r w:rsidR="009F4688">
        <w:t xml:space="preserve">  Even more interestingly, this fact has subsequently been denied by the club and ‘reform’ proponents.</w:t>
      </w:r>
      <w:r>
        <w:rPr>
          <w:rStyle w:val="FootnoteReference"/>
        </w:rPr>
        <w:footnoteReference w:id="25"/>
      </w:r>
    </w:p>
    <w:p w14:paraId="1D1601EC" w14:textId="77777777" w:rsidR="005C2248" w:rsidRDefault="005C2248" w:rsidP="00931787">
      <w:pPr>
        <w:spacing w:after="0"/>
      </w:pPr>
    </w:p>
    <w:p w14:paraId="70548B48" w14:textId="1B4FFE42" w:rsidR="005C2248" w:rsidRPr="0010564D" w:rsidRDefault="003B36A0" w:rsidP="00931787">
      <w:pPr>
        <w:pStyle w:val="Heading4"/>
      </w:pPr>
      <w:r>
        <w:t>3.2.</w:t>
      </w:r>
      <w:r w:rsidR="0066649C">
        <w:t>6</w:t>
      </w:r>
      <w:r>
        <w:tab/>
      </w:r>
      <w:r w:rsidR="005C2248" w:rsidRPr="0010564D">
        <w:t>Structural reform</w:t>
      </w:r>
    </w:p>
    <w:p w14:paraId="20B2F87F" w14:textId="77777777" w:rsidR="00A74FA7" w:rsidRDefault="005C2248" w:rsidP="00931787">
      <w:pPr>
        <w:spacing w:after="0"/>
      </w:pPr>
      <w:r w:rsidRPr="0010564D">
        <w:t xml:space="preserve">The structural reform elements of the </w:t>
      </w:r>
      <w:r w:rsidRPr="0010564D">
        <w:rPr>
          <w:i/>
          <w:iCs/>
        </w:rPr>
        <w:t>Competition Principles</w:t>
      </w:r>
      <w:r w:rsidRPr="0010564D">
        <w:t xml:space="preserve"> did not require disaggregation of</w:t>
      </w:r>
      <w:r>
        <w:t xml:space="preserve"> Government businesses.  </w:t>
      </w:r>
    </w:p>
    <w:p w14:paraId="0343261B" w14:textId="77777777" w:rsidR="00A74FA7" w:rsidRDefault="00A74FA7" w:rsidP="00931787">
      <w:pPr>
        <w:spacing w:after="0"/>
      </w:pPr>
    </w:p>
    <w:p w14:paraId="76702D1C" w14:textId="59184774" w:rsidR="005C2248" w:rsidRDefault="005C2248" w:rsidP="00931787">
      <w:pPr>
        <w:spacing w:after="0"/>
      </w:pPr>
      <w:r>
        <w:t xml:space="preserve">Rather, </w:t>
      </w:r>
      <w:r w:rsidRPr="000355DE">
        <w:rPr>
          <w:u w:val="single"/>
        </w:rPr>
        <w:t>if</w:t>
      </w:r>
      <w:r>
        <w:t xml:space="preserve"> a </w:t>
      </w:r>
      <w:r w:rsidR="00152F65">
        <w:t>government</w:t>
      </w:r>
      <w:r>
        <w:t xml:space="preserve"> was to introduce competition to a market traditionally monopolised by a </w:t>
      </w:r>
      <w:r w:rsidR="00152F65">
        <w:t>government</w:t>
      </w:r>
      <w:r>
        <w:t xml:space="preserve"> organisation, it needed to remove regulatory responsibilities from that organisation.  </w:t>
      </w:r>
      <w:r w:rsidR="00DE0350">
        <w:t xml:space="preserve">In the event, this was effected in railways via rail safety and access regulation, independently of the introduction of </w:t>
      </w:r>
      <w:r w:rsidR="00E56E66">
        <w:t xml:space="preserve">contemporaneous </w:t>
      </w:r>
      <w:r w:rsidR="00DE0350">
        <w:t>competition.</w:t>
      </w:r>
    </w:p>
    <w:p w14:paraId="487F7100" w14:textId="77777777" w:rsidR="005C2248" w:rsidRDefault="005C2248" w:rsidP="00931787">
      <w:pPr>
        <w:spacing w:after="0"/>
      </w:pPr>
    </w:p>
    <w:p w14:paraId="01A62EC5" w14:textId="359B6E09" w:rsidR="00DE0350" w:rsidRDefault="00DE0350" w:rsidP="00931787">
      <w:pPr>
        <w:spacing w:after="0"/>
      </w:pPr>
      <w:r>
        <w:t xml:space="preserve">Further, </w:t>
      </w:r>
      <w:r w:rsidRPr="00DE0350">
        <w:rPr>
          <w:u w:val="single"/>
        </w:rPr>
        <w:t>if</w:t>
      </w:r>
      <w:r>
        <w:t xml:space="preserve"> a </w:t>
      </w:r>
      <w:r w:rsidR="00152F65">
        <w:t>government</w:t>
      </w:r>
      <w:r>
        <w:t xml:space="preserve"> wanted to introduce competition – reduce monopoly - </w:t>
      </w:r>
      <w:r w:rsidR="00A22CBF">
        <w:t xml:space="preserve">the relevant </w:t>
      </w:r>
      <w:r w:rsidR="005C2248">
        <w:t xml:space="preserve">Government was to organise a review of the objectives and functions of the organisation.  </w:t>
      </w:r>
    </w:p>
    <w:p w14:paraId="39E0C3A8" w14:textId="77777777" w:rsidR="00A60F67" w:rsidRDefault="00A60F67" w:rsidP="00931787">
      <w:pPr>
        <w:spacing w:after="0"/>
      </w:pPr>
    </w:p>
    <w:p w14:paraId="5C1EE125" w14:textId="3C411872" w:rsidR="005C2248" w:rsidRDefault="005C2248" w:rsidP="00931787">
      <w:pPr>
        <w:spacing w:after="0"/>
      </w:pPr>
      <w:r>
        <w:t xml:space="preserve">Such a review was to cover eight topics, only one of which related to </w:t>
      </w:r>
      <w:r w:rsidR="00E56E66">
        <w:t xml:space="preserve">organisational </w:t>
      </w:r>
      <w:r>
        <w:t>separation of monopoly from potentially competitive functions.  Governments were not required to commit to implementing review recommendations - let alone particular organisational structures.</w:t>
      </w:r>
      <w:r>
        <w:rPr>
          <w:rStyle w:val="FootnoteReference"/>
        </w:rPr>
        <w:footnoteReference w:id="26"/>
      </w:r>
      <w:r>
        <w:t xml:space="preserve">  </w:t>
      </w:r>
    </w:p>
    <w:p w14:paraId="27B0219C" w14:textId="77777777" w:rsidR="005C2248" w:rsidRDefault="005C2248" w:rsidP="00931787">
      <w:pPr>
        <w:pStyle w:val="Heading4"/>
      </w:pPr>
    </w:p>
    <w:p w14:paraId="2B0616FE" w14:textId="7D38B173" w:rsidR="005C2248" w:rsidRDefault="005C2248" w:rsidP="00931787">
      <w:pPr>
        <w:pStyle w:val="Heading3"/>
      </w:pPr>
      <w:bookmarkStart w:id="9" w:name="_Toc93085757"/>
      <w:r>
        <w:t>3.3</w:t>
      </w:r>
      <w:r>
        <w:tab/>
        <w:t>Microeconomic reform and the NSW 1996 rail changes</w:t>
      </w:r>
      <w:bookmarkEnd w:id="9"/>
    </w:p>
    <w:p w14:paraId="23ACE664" w14:textId="5A8688A0" w:rsidR="005C2248" w:rsidRDefault="005C2248" w:rsidP="00931787">
      <w:pPr>
        <w:spacing w:after="0"/>
      </w:pPr>
      <w:r>
        <w:t>An outline of the NSW 1996 rail structural changes</w:t>
      </w:r>
      <w:r w:rsidR="00E56E66">
        <w:t>, access</w:t>
      </w:r>
      <w:r>
        <w:t xml:space="preserve"> and their results in the earlier article.</w:t>
      </w:r>
      <w:r w:rsidR="00E56E66">
        <w:t xml:space="preserve">  That article noted the relevant Australian rail access concept stemmed from the European Union where the relevant Directives specifically excluded commuter rail, and required only a ‘book’ – accounting – rather than organisational separation of access function.</w:t>
      </w:r>
      <w:r>
        <w:rPr>
          <w:rStyle w:val="FootnoteReference"/>
        </w:rPr>
        <w:footnoteReference w:id="27"/>
      </w:r>
    </w:p>
    <w:p w14:paraId="3B0F552F" w14:textId="77777777" w:rsidR="005C2248" w:rsidRDefault="005C2248" w:rsidP="00931787">
      <w:pPr>
        <w:spacing w:after="0"/>
      </w:pPr>
    </w:p>
    <w:p w14:paraId="5643B128" w14:textId="7C639965" w:rsidR="005C2248" w:rsidRDefault="00DE0350" w:rsidP="00931787">
      <w:pPr>
        <w:spacing w:after="0"/>
      </w:pPr>
      <w:r>
        <w:t>At the time, t</w:t>
      </w:r>
      <w:r w:rsidR="005C2248">
        <w:t>he 1996 NSW rail cha</w:t>
      </w:r>
      <w:r w:rsidR="00A60F67">
        <w:t>n</w:t>
      </w:r>
      <w:r w:rsidR="005C2248">
        <w:t xml:space="preserve">ges were claimed to be in response to the </w:t>
      </w:r>
      <w:r w:rsidR="005C2248" w:rsidRPr="00C26393">
        <w:rPr>
          <w:i/>
          <w:iCs/>
        </w:rPr>
        <w:t>Competition Principles</w:t>
      </w:r>
      <w:r w:rsidR="005C2248">
        <w:t xml:space="preserve">.  </w:t>
      </w:r>
    </w:p>
    <w:p w14:paraId="7DF03780" w14:textId="77777777" w:rsidR="005C2248" w:rsidRDefault="005C2248" w:rsidP="00931787">
      <w:pPr>
        <w:spacing w:after="0"/>
      </w:pPr>
    </w:p>
    <w:p w14:paraId="5781792C" w14:textId="7CE0328F" w:rsidR="00A22CBF" w:rsidRDefault="005C2248" w:rsidP="00931787">
      <w:pPr>
        <w:spacing w:after="0"/>
      </w:pPr>
      <w:r>
        <w:t xml:space="preserve">The changes went further than </w:t>
      </w:r>
      <w:r w:rsidR="00A22CBF">
        <w:t xml:space="preserve">in </w:t>
      </w:r>
      <w:r>
        <w:t xml:space="preserve">any other Australian jurisdiction.  </w:t>
      </w:r>
      <w:r w:rsidR="00A74FA7">
        <w:t>Others, for example Queensland, considered changes only when benefits were proven to exceed costs – there was no a priori assumption ‘competition is good’.</w:t>
      </w:r>
      <w:r w:rsidR="00A74FA7">
        <w:rPr>
          <w:rStyle w:val="FootnoteReference"/>
        </w:rPr>
        <w:footnoteReference w:id="28"/>
      </w:r>
    </w:p>
    <w:p w14:paraId="68722221" w14:textId="77777777" w:rsidR="00A22CBF" w:rsidRDefault="00A22CBF" w:rsidP="00931787">
      <w:pPr>
        <w:spacing w:after="0"/>
      </w:pPr>
    </w:p>
    <w:p w14:paraId="038E1FE4" w14:textId="66C002F2" w:rsidR="005C2248" w:rsidRDefault="00DE0350" w:rsidP="00931787">
      <w:pPr>
        <w:spacing w:after="0"/>
      </w:pPr>
      <w:r>
        <w:t>NSW a</w:t>
      </w:r>
      <w:r w:rsidR="005C2248">
        <w:t xml:space="preserve">spects such as vertical separation of the commuter railway, contracting out maintenance and corporatisation of the infrastructure owner were not required by the </w:t>
      </w:r>
      <w:r w:rsidR="005C2248" w:rsidRPr="00C26393">
        <w:rPr>
          <w:i/>
          <w:iCs/>
        </w:rPr>
        <w:t>Principles</w:t>
      </w:r>
      <w:r w:rsidR="00A22CBF">
        <w:rPr>
          <w:i/>
          <w:iCs/>
        </w:rPr>
        <w:t xml:space="preserve">.  </w:t>
      </w:r>
      <w:r w:rsidR="005C2248" w:rsidRPr="00A22CBF">
        <w:t xml:space="preserve"> </w:t>
      </w:r>
      <w:r w:rsidR="00A22CBF" w:rsidRPr="00A22CBF">
        <w:t>Nor were they</w:t>
      </w:r>
      <w:r w:rsidR="005C2248" w:rsidRPr="00A22CBF">
        <w:t xml:space="preserve"> e</w:t>
      </w:r>
      <w:r w:rsidR="005C2248">
        <w:t>ven envisaged in the Hilmer report.</w:t>
      </w:r>
      <w:r>
        <w:rPr>
          <w:rStyle w:val="FootnoteReference"/>
        </w:rPr>
        <w:footnoteReference w:id="29"/>
      </w:r>
      <w:r w:rsidR="005C2248">
        <w:t xml:space="preserve">  </w:t>
      </w:r>
    </w:p>
    <w:p w14:paraId="3AC361ED" w14:textId="77777777" w:rsidR="00A22CBF" w:rsidRDefault="00A22CBF" w:rsidP="00931787">
      <w:pPr>
        <w:spacing w:after="0"/>
      </w:pPr>
    </w:p>
    <w:p w14:paraId="7E6A2100" w14:textId="3E738811" w:rsidR="005C2248" w:rsidRDefault="005C2248" w:rsidP="00931787">
      <w:pPr>
        <w:spacing w:after="0"/>
      </w:pPr>
      <w:r>
        <w:t xml:space="preserve">Moreover, there remains no evidence that the requirement of the </w:t>
      </w:r>
      <w:r w:rsidRPr="00C26393">
        <w:rPr>
          <w:i/>
          <w:iCs/>
        </w:rPr>
        <w:t>Principles</w:t>
      </w:r>
      <w:r>
        <w:t xml:space="preserve"> – a review prior to structural changes - had been conducted.  </w:t>
      </w:r>
    </w:p>
    <w:p w14:paraId="4880FF86" w14:textId="77777777" w:rsidR="005C2248" w:rsidRDefault="005C2248" w:rsidP="00931787">
      <w:pPr>
        <w:spacing w:after="0"/>
      </w:pPr>
    </w:p>
    <w:p w14:paraId="17D7A1B5" w14:textId="536CB799" w:rsidR="005C2248" w:rsidRDefault="00F45B4D" w:rsidP="00931787">
      <w:pPr>
        <w:spacing w:after="0"/>
      </w:pPr>
      <w:r>
        <w:t>In 1996, t</w:t>
      </w:r>
      <w:r w:rsidR="005C2248">
        <w:t xml:space="preserve">he NSW Opposition suggested the changes were </w:t>
      </w:r>
      <w:r w:rsidR="00367667">
        <w:t>sought</w:t>
      </w:r>
      <w:r w:rsidR="005C2248">
        <w:t xml:space="preserve"> by the Cabinet Office – which had carriage of competition policy - and Treasury. </w:t>
      </w:r>
      <w:r w:rsidR="00A22CBF">
        <w:t xml:space="preserve"> </w:t>
      </w:r>
      <w:r w:rsidR="005C2248">
        <w:t>The</w:t>
      </w:r>
      <w:r w:rsidR="00A22CBF">
        <w:t xml:space="preserve"> suggestion was they</w:t>
      </w:r>
      <w:r w:rsidR="005C2248">
        <w:t xml:space="preserve"> were resisted by the Transport portfolio as inconsistent with election commitments.  A previous article noted reports the Transport Minister had resigned over the changes but </w:t>
      </w:r>
      <w:r>
        <w:t>was</w:t>
      </w:r>
      <w:r w:rsidR="005C2248">
        <w:t xml:space="preserve"> coaxed back by the Premier.</w:t>
      </w:r>
      <w:r w:rsidR="005C2248">
        <w:rPr>
          <w:rStyle w:val="FootnoteReference"/>
        </w:rPr>
        <w:footnoteReference w:id="30"/>
      </w:r>
    </w:p>
    <w:p w14:paraId="4663510E" w14:textId="77777777" w:rsidR="005C2248" w:rsidRDefault="005C2248" w:rsidP="00931787">
      <w:pPr>
        <w:spacing w:after="0"/>
      </w:pPr>
    </w:p>
    <w:p w14:paraId="0110955D" w14:textId="77777777" w:rsidR="00521C9E" w:rsidRDefault="00521C9E" w:rsidP="00931787">
      <w:pPr>
        <w:spacing w:after="0"/>
      </w:pPr>
    </w:p>
    <w:p w14:paraId="28D93A8C" w14:textId="77777777" w:rsidR="00521C9E" w:rsidRDefault="00521C9E" w:rsidP="00931787">
      <w:pPr>
        <w:spacing w:after="0"/>
      </w:pPr>
    </w:p>
    <w:p w14:paraId="6B2957AE" w14:textId="743ED0B2" w:rsidR="005C2248" w:rsidRDefault="005C2248" w:rsidP="00931787">
      <w:pPr>
        <w:spacing w:after="0"/>
      </w:pPr>
      <w:r>
        <w:lastRenderedPageBreak/>
        <w:t>In the second reading speech for the legislation, the Minister said:</w:t>
      </w:r>
    </w:p>
    <w:p w14:paraId="52393879" w14:textId="77777777" w:rsidR="0066649C" w:rsidRDefault="005C2248" w:rsidP="00931787">
      <w:pPr>
        <w:spacing w:after="0"/>
        <w:ind w:left="720"/>
        <w:rPr>
          <w:i/>
          <w:iCs/>
          <w:shd w:val="clear" w:color="auto" w:fill="FFFFFF"/>
        </w:rPr>
      </w:pPr>
      <w:r>
        <w:t>‘</w:t>
      </w:r>
      <w:r w:rsidRPr="00A6109B">
        <w:rPr>
          <w:i/>
          <w:iCs/>
          <w:shd w:val="clear" w:color="auto" w:fill="FFFFFF"/>
        </w:rPr>
        <w:t xml:space="preserve">Our reforms are the fullest response yet by an Australian State government to the competition principles agreement between the Commonwealth and the States.  </w:t>
      </w:r>
    </w:p>
    <w:p w14:paraId="1724EC7B" w14:textId="66D9F281" w:rsidR="00367667" w:rsidRDefault="005C2248" w:rsidP="00931787">
      <w:pPr>
        <w:spacing w:after="0"/>
        <w:ind w:left="720"/>
        <w:rPr>
          <w:i/>
          <w:iCs/>
          <w:shd w:val="clear" w:color="auto" w:fill="FFFFFF"/>
        </w:rPr>
      </w:pPr>
      <w:r w:rsidRPr="00A6109B">
        <w:rPr>
          <w:i/>
          <w:iCs/>
          <w:shd w:val="clear" w:color="auto" w:fill="FFFFFF"/>
        </w:rPr>
        <w:t xml:space="preserve">They deal head-on with the issue of third-party access to services provided by significant, publicly owned infrastructure.  It is clear that customer service is an essential component of any modern business, and railways are no exception.  </w:t>
      </w:r>
    </w:p>
    <w:p w14:paraId="2C15A6FF" w14:textId="0CCC5D53" w:rsidR="005C2248" w:rsidRDefault="005C2248" w:rsidP="00931787">
      <w:pPr>
        <w:spacing w:after="0"/>
        <w:ind w:left="720"/>
        <w:rPr>
          <w:i/>
          <w:iCs/>
          <w:shd w:val="clear" w:color="auto" w:fill="FFFFFF"/>
        </w:rPr>
      </w:pPr>
      <w:r w:rsidRPr="00A6109B">
        <w:rPr>
          <w:i/>
          <w:iCs/>
          <w:shd w:val="clear" w:color="auto" w:fill="FFFFFF"/>
        </w:rPr>
        <w:t>Moreover, if the rail network is to make the contribution that is essential to the viability of our urban environment, we must encourage train operators to focus on serving travellers, without the complication and distraction of having to plan and execute major rail infrastructure projects.</w:t>
      </w:r>
      <w:r>
        <w:rPr>
          <w:i/>
          <w:iCs/>
          <w:shd w:val="clear" w:color="auto" w:fill="FFFFFF"/>
        </w:rPr>
        <w:t>’</w:t>
      </w:r>
      <w:r w:rsidRPr="00A6109B">
        <w:rPr>
          <w:rStyle w:val="FootnoteReference"/>
          <w:rFonts w:ascii="Arial" w:hAnsi="Arial" w:cs="Arial"/>
          <w:i/>
          <w:iCs/>
          <w:color w:val="555555"/>
          <w:shd w:val="clear" w:color="auto" w:fill="FFFFFF"/>
        </w:rPr>
        <w:footnoteReference w:id="31"/>
      </w:r>
    </w:p>
    <w:p w14:paraId="55B456FB" w14:textId="77777777" w:rsidR="005C2248" w:rsidRPr="00A6109B" w:rsidRDefault="005C2248" w:rsidP="00931787">
      <w:pPr>
        <w:spacing w:after="0"/>
        <w:ind w:left="720"/>
        <w:rPr>
          <w:i/>
          <w:iCs/>
          <w:shd w:val="clear" w:color="auto" w:fill="FFFFFF"/>
        </w:rPr>
      </w:pPr>
    </w:p>
    <w:p w14:paraId="5AEA8C4A" w14:textId="4C1FFE9C" w:rsidR="00A22CBF" w:rsidRDefault="005C2248" w:rsidP="00931787">
      <w:pPr>
        <w:spacing w:after="0"/>
        <w:rPr>
          <w:shd w:val="clear" w:color="auto" w:fill="FFFFFF"/>
        </w:rPr>
      </w:pPr>
      <w:r>
        <w:rPr>
          <w:shd w:val="clear" w:color="auto" w:fill="FFFFFF"/>
        </w:rPr>
        <w:t xml:space="preserve">If the review required by the </w:t>
      </w:r>
      <w:r w:rsidRPr="008A72FF">
        <w:rPr>
          <w:i/>
          <w:iCs/>
          <w:shd w:val="clear" w:color="auto" w:fill="FFFFFF"/>
        </w:rPr>
        <w:t>Competition Principles</w:t>
      </w:r>
      <w:r>
        <w:rPr>
          <w:shd w:val="clear" w:color="auto" w:fill="FFFFFF"/>
        </w:rPr>
        <w:t xml:space="preserve"> had been conducted, it was not public.  If the Transport Minister had seen it, he had disagreed.    One implication is that subject matter – railway or transport – experts had not had opportunity to appr</w:t>
      </w:r>
      <w:r w:rsidR="00B80659">
        <w:rPr>
          <w:shd w:val="clear" w:color="auto" w:fill="FFFFFF"/>
        </w:rPr>
        <w:t>a</w:t>
      </w:r>
      <w:r>
        <w:rPr>
          <w:shd w:val="clear" w:color="auto" w:fill="FFFFFF"/>
        </w:rPr>
        <w:t>ise the NSW c</w:t>
      </w:r>
      <w:r w:rsidR="00521C9E">
        <w:rPr>
          <w:shd w:val="clear" w:color="auto" w:fill="FFFFFF"/>
        </w:rPr>
        <w:t>oncept.</w:t>
      </w:r>
      <w:r>
        <w:rPr>
          <w:shd w:val="clear" w:color="auto" w:fill="FFFFFF"/>
        </w:rPr>
        <w:t xml:space="preserve">  A corollary is the Government had </w:t>
      </w:r>
      <w:r w:rsidR="00521C9E">
        <w:rPr>
          <w:shd w:val="clear" w:color="auto" w:fill="FFFFFF"/>
        </w:rPr>
        <w:t xml:space="preserve">basically </w:t>
      </w:r>
      <w:r>
        <w:rPr>
          <w:shd w:val="clear" w:color="auto" w:fill="FFFFFF"/>
        </w:rPr>
        <w:t xml:space="preserve">decided on the changes in ignorance of subject matter expertise.  </w:t>
      </w:r>
      <w:r w:rsidR="00521C9E">
        <w:rPr>
          <w:shd w:val="clear" w:color="auto" w:fill="FFFFFF"/>
        </w:rPr>
        <w:t>Subject matter experts would be limited to trying to make the concept work.</w:t>
      </w:r>
    </w:p>
    <w:p w14:paraId="041AB78D" w14:textId="77777777" w:rsidR="00A22CBF" w:rsidRDefault="00A22CBF" w:rsidP="00931787">
      <w:pPr>
        <w:spacing w:after="0"/>
        <w:rPr>
          <w:shd w:val="clear" w:color="auto" w:fill="FFFFFF"/>
        </w:rPr>
      </w:pPr>
    </w:p>
    <w:p w14:paraId="0279CCEE" w14:textId="0C737CC5" w:rsidR="005C2248" w:rsidRDefault="005C2248" w:rsidP="00931787">
      <w:pPr>
        <w:spacing w:after="0"/>
        <w:rPr>
          <w:shd w:val="clear" w:color="auto" w:fill="FFFFFF"/>
        </w:rPr>
      </w:pPr>
      <w:r>
        <w:rPr>
          <w:shd w:val="clear" w:color="auto" w:fill="FFFFFF"/>
        </w:rPr>
        <w:t xml:space="preserve">The second reading speech, therefore, is better characterised as an ex-post excuse – rather than </w:t>
      </w:r>
      <w:r w:rsidR="00A22CBF">
        <w:rPr>
          <w:shd w:val="clear" w:color="auto" w:fill="FFFFFF"/>
        </w:rPr>
        <w:t xml:space="preserve">exposition of </w:t>
      </w:r>
      <w:r>
        <w:rPr>
          <w:shd w:val="clear" w:color="auto" w:fill="FFFFFF"/>
        </w:rPr>
        <w:t>reasons - for the changes.</w:t>
      </w:r>
    </w:p>
    <w:p w14:paraId="15B76F99" w14:textId="77777777" w:rsidR="005C2248" w:rsidRDefault="005C2248" w:rsidP="00931787">
      <w:pPr>
        <w:spacing w:after="0"/>
        <w:rPr>
          <w:shd w:val="clear" w:color="auto" w:fill="FFFFFF"/>
        </w:rPr>
      </w:pPr>
    </w:p>
    <w:p w14:paraId="39410FB6" w14:textId="0CE7ACDB" w:rsidR="005C2248" w:rsidRDefault="005C2248" w:rsidP="00931787">
      <w:pPr>
        <w:pStyle w:val="Heading3"/>
        <w:rPr>
          <w:shd w:val="clear" w:color="auto" w:fill="FFFFFF"/>
        </w:rPr>
      </w:pPr>
      <w:bookmarkStart w:id="10" w:name="_Toc93085758"/>
      <w:r>
        <w:rPr>
          <w:shd w:val="clear" w:color="auto" w:fill="FFFFFF"/>
        </w:rPr>
        <w:t>3.4</w:t>
      </w:r>
      <w:r>
        <w:rPr>
          <w:shd w:val="clear" w:color="auto" w:fill="FFFFFF"/>
        </w:rPr>
        <w:tab/>
        <w:t>Productivity Commission – 1999</w:t>
      </w:r>
      <w:bookmarkEnd w:id="10"/>
    </w:p>
    <w:p w14:paraId="3992312C" w14:textId="77777777" w:rsidR="003B36A0" w:rsidRDefault="003B36A0" w:rsidP="00931787">
      <w:pPr>
        <w:pStyle w:val="Heading4"/>
        <w:rPr>
          <w:shd w:val="clear" w:color="auto" w:fill="FFFFFF"/>
        </w:rPr>
      </w:pPr>
      <w:r>
        <w:rPr>
          <w:shd w:val="clear" w:color="auto" w:fill="FFFFFF"/>
        </w:rPr>
        <w:t>3.4.1</w:t>
      </w:r>
      <w:r>
        <w:rPr>
          <w:shd w:val="clear" w:color="auto" w:fill="FFFFFF"/>
        </w:rPr>
        <w:tab/>
        <w:t>Damnation</w:t>
      </w:r>
    </w:p>
    <w:p w14:paraId="3CF53F68" w14:textId="1579CE7E" w:rsidR="00A22CBF" w:rsidRDefault="005C2248" w:rsidP="00931787">
      <w:pPr>
        <w:spacing w:after="0"/>
        <w:rPr>
          <w:shd w:val="clear" w:color="auto" w:fill="FFFFFF"/>
        </w:rPr>
      </w:pPr>
      <w:r>
        <w:rPr>
          <w:shd w:val="clear" w:color="auto" w:fill="FFFFFF"/>
        </w:rPr>
        <w:t xml:space="preserve">The Productivity Commission – the ‘high priest’ of microeconomic </w:t>
      </w:r>
      <w:r w:rsidR="00367667">
        <w:rPr>
          <w:shd w:val="clear" w:color="auto" w:fill="FFFFFF"/>
        </w:rPr>
        <w:t>policy</w:t>
      </w:r>
      <w:r>
        <w:rPr>
          <w:shd w:val="clear" w:color="auto" w:fill="FFFFFF"/>
        </w:rPr>
        <w:t xml:space="preserve"> – was the first independent authority to review the NSW changes.  It was far from impressed.  </w:t>
      </w:r>
    </w:p>
    <w:p w14:paraId="196EF629" w14:textId="77777777" w:rsidR="00A22CBF" w:rsidRDefault="00A22CBF" w:rsidP="00931787">
      <w:pPr>
        <w:spacing w:after="0"/>
        <w:rPr>
          <w:shd w:val="clear" w:color="auto" w:fill="FFFFFF"/>
        </w:rPr>
      </w:pPr>
    </w:p>
    <w:p w14:paraId="10047C68" w14:textId="43E5C74F" w:rsidR="005C2248" w:rsidRDefault="00A22CBF" w:rsidP="00931787">
      <w:pPr>
        <w:spacing w:after="0"/>
        <w:rPr>
          <w:shd w:val="clear" w:color="auto" w:fill="FFFFFF"/>
        </w:rPr>
      </w:pPr>
      <w:r>
        <w:rPr>
          <w:shd w:val="clear" w:color="auto" w:fill="FFFFFF"/>
        </w:rPr>
        <w:t>The Commission’s</w:t>
      </w:r>
      <w:r w:rsidR="005C2248">
        <w:rPr>
          <w:shd w:val="clear" w:color="auto" w:fill="FFFFFF"/>
        </w:rPr>
        <w:t xml:space="preserve"> 1999 report, </w:t>
      </w:r>
      <w:r w:rsidR="005C2248" w:rsidRPr="008A72FF">
        <w:rPr>
          <w:i/>
          <w:iCs/>
          <w:shd w:val="clear" w:color="auto" w:fill="FFFFFF"/>
        </w:rPr>
        <w:t>Progress in Rail Reform</w:t>
      </w:r>
      <w:r w:rsidR="005C2248">
        <w:rPr>
          <w:shd w:val="clear" w:color="auto" w:fill="FFFFFF"/>
        </w:rPr>
        <w:t xml:space="preserve">, went out of its way to criticise the disaggregation of the commuter railway.  The </w:t>
      </w:r>
      <w:r w:rsidR="00F45B4D">
        <w:rPr>
          <w:shd w:val="clear" w:color="auto" w:fill="FFFFFF"/>
        </w:rPr>
        <w:t xml:space="preserve">report’s </w:t>
      </w:r>
      <w:r w:rsidR="005C2248">
        <w:rPr>
          <w:shd w:val="clear" w:color="auto" w:fill="FFFFFF"/>
        </w:rPr>
        <w:t>first recommendation damned the changes:</w:t>
      </w:r>
    </w:p>
    <w:p w14:paraId="1725599B" w14:textId="77777777" w:rsidR="005C2248" w:rsidRPr="008847F5" w:rsidRDefault="005C2248" w:rsidP="00931787">
      <w:pPr>
        <w:spacing w:after="0"/>
        <w:ind w:left="720"/>
        <w:rPr>
          <w:i/>
          <w:iCs/>
          <w:shd w:val="clear" w:color="auto" w:fill="FFFFFF"/>
        </w:rPr>
      </w:pPr>
      <w:r>
        <w:rPr>
          <w:i/>
          <w:iCs/>
        </w:rPr>
        <w:t>‘</w:t>
      </w:r>
      <w:r w:rsidRPr="008847F5">
        <w:rPr>
          <w:i/>
          <w:iCs/>
        </w:rPr>
        <w:t>Urban rail networks should be vertically integrated and horizontally separated from other rail networks.</w:t>
      </w:r>
      <w:r>
        <w:rPr>
          <w:i/>
          <w:iCs/>
        </w:rPr>
        <w:t>’</w:t>
      </w:r>
      <w:r>
        <w:rPr>
          <w:rStyle w:val="FootnoteReference"/>
          <w:i/>
          <w:iCs/>
        </w:rPr>
        <w:footnoteReference w:id="32"/>
      </w:r>
    </w:p>
    <w:p w14:paraId="0EEB4F27" w14:textId="77777777" w:rsidR="005C2248" w:rsidRDefault="005C2248" w:rsidP="00931787">
      <w:pPr>
        <w:spacing w:after="0"/>
        <w:rPr>
          <w:shd w:val="clear" w:color="auto" w:fill="FFFFFF"/>
        </w:rPr>
      </w:pPr>
    </w:p>
    <w:p w14:paraId="7448355A" w14:textId="77777777" w:rsidR="005C2248" w:rsidRDefault="005C2248" w:rsidP="00931787">
      <w:pPr>
        <w:spacing w:after="0"/>
        <w:rPr>
          <w:shd w:val="clear" w:color="auto" w:fill="FFFFFF"/>
        </w:rPr>
      </w:pPr>
      <w:r>
        <w:rPr>
          <w:shd w:val="clear" w:color="auto" w:fill="FFFFFF"/>
        </w:rPr>
        <w:t>The underlying reason of the Commission was: competition policy is not an end in itself.  Elements of policy are relevant in some circumstances, but not others – such as where there is no potential for contemporaneous competition, or there are high co-ordination costs.</w:t>
      </w:r>
      <w:r>
        <w:rPr>
          <w:rStyle w:val="FootnoteReference"/>
          <w:shd w:val="clear" w:color="auto" w:fill="FFFFFF"/>
        </w:rPr>
        <w:footnoteReference w:id="33"/>
      </w:r>
    </w:p>
    <w:p w14:paraId="1133A1A7" w14:textId="77777777" w:rsidR="005C2248" w:rsidRDefault="005C2248" w:rsidP="00931787">
      <w:pPr>
        <w:spacing w:after="0"/>
        <w:rPr>
          <w:shd w:val="clear" w:color="auto" w:fill="FFFFFF"/>
        </w:rPr>
      </w:pPr>
      <w:r>
        <w:rPr>
          <w:shd w:val="clear" w:color="auto" w:fill="FFFFFF"/>
        </w:rPr>
        <w:t xml:space="preserve">  </w:t>
      </w:r>
    </w:p>
    <w:p w14:paraId="04CD4323" w14:textId="6F6030BB" w:rsidR="005C2248" w:rsidRDefault="005C2248" w:rsidP="00931787">
      <w:pPr>
        <w:spacing w:after="0"/>
        <w:rPr>
          <w:shd w:val="clear" w:color="auto" w:fill="FFFFFF"/>
        </w:rPr>
      </w:pPr>
      <w:r>
        <w:rPr>
          <w:shd w:val="clear" w:color="auto" w:fill="FFFFFF"/>
        </w:rPr>
        <w:t xml:space="preserve">The Commission argued a ‘more commercial approach’ to railways was needed, but corporatisation to that time had failed.  It argued for privatisation.  For passenger tasks – </w:t>
      </w:r>
      <w:r w:rsidR="00152F65">
        <w:rPr>
          <w:shd w:val="clear" w:color="auto" w:fill="FFFFFF"/>
        </w:rPr>
        <w:t>e.g.,</w:t>
      </w:r>
      <w:r>
        <w:rPr>
          <w:shd w:val="clear" w:color="auto" w:fill="FFFFFF"/>
        </w:rPr>
        <w:t xml:space="preserve"> commuter rail - it argued for franchising and contracting-out.</w:t>
      </w:r>
    </w:p>
    <w:p w14:paraId="5195436C" w14:textId="77777777" w:rsidR="005C2248" w:rsidRDefault="005C2248" w:rsidP="00931787">
      <w:pPr>
        <w:spacing w:after="0"/>
        <w:rPr>
          <w:shd w:val="clear" w:color="auto" w:fill="FFFFFF"/>
        </w:rPr>
      </w:pPr>
      <w:r>
        <w:rPr>
          <w:shd w:val="clear" w:color="auto" w:fill="FFFFFF"/>
        </w:rPr>
        <w:t xml:space="preserve"> </w:t>
      </w:r>
    </w:p>
    <w:p w14:paraId="6648586E" w14:textId="01DD1C30" w:rsidR="005C2248" w:rsidRDefault="005C2248" w:rsidP="00931787">
      <w:pPr>
        <w:spacing w:after="0"/>
        <w:rPr>
          <w:shd w:val="clear" w:color="auto" w:fill="FFFFFF"/>
        </w:rPr>
      </w:pPr>
      <w:r>
        <w:rPr>
          <w:shd w:val="clear" w:color="auto" w:fill="FFFFFF"/>
        </w:rPr>
        <w:t xml:space="preserve">However, those arguments were soon exposed as simplistic.  </w:t>
      </w:r>
      <w:r w:rsidR="00201087">
        <w:rPr>
          <w:shd w:val="clear" w:color="auto" w:fill="FFFFFF"/>
        </w:rPr>
        <w:t>Three</w:t>
      </w:r>
      <w:r>
        <w:rPr>
          <w:shd w:val="clear" w:color="auto" w:fill="FFFFFF"/>
        </w:rPr>
        <w:t xml:space="preserve"> factors discredited the Commission’s views on commercialisation of commuter rail: naivety; crashes; the nature of commercial activity.</w:t>
      </w:r>
    </w:p>
    <w:p w14:paraId="007557C5" w14:textId="77777777" w:rsidR="005C2248" w:rsidRDefault="005C2248" w:rsidP="00931787">
      <w:pPr>
        <w:spacing w:after="0"/>
        <w:rPr>
          <w:shd w:val="clear" w:color="auto" w:fill="FFFFFF"/>
        </w:rPr>
      </w:pPr>
    </w:p>
    <w:p w14:paraId="30B4D1F2" w14:textId="410342C6" w:rsidR="005C2248" w:rsidRPr="002B569B" w:rsidRDefault="003B36A0" w:rsidP="00931787">
      <w:pPr>
        <w:pStyle w:val="Heading4"/>
        <w:rPr>
          <w:shd w:val="clear" w:color="auto" w:fill="FFFFFF"/>
        </w:rPr>
      </w:pPr>
      <w:r>
        <w:rPr>
          <w:shd w:val="clear" w:color="auto" w:fill="FFFFFF"/>
        </w:rPr>
        <w:lastRenderedPageBreak/>
        <w:t>3.4.2</w:t>
      </w:r>
      <w:r>
        <w:rPr>
          <w:shd w:val="clear" w:color="auto" w:fill="FFFFFF"/>
        </w:rPr>
        <w:tab/>
      </w:r>
      <w:r w:rsidR="005C2248" w:rsidRPr="002B569B">
        <w:rPr>
          <w:shd w:val="clear" w:color="auto" w:fill="FFFFFF"/>
        </w:rPr>
        <w:t>Naiv</w:t>
      </w:r>
      <w:r w:rsidR="005C2248">
        <w:rPr>
          <w:shd w:val="clear" w:color="auto" w:fill="FFFFFF"/>
        </w:rPr>
        <w:t>e</w:t>
      </w:r>
      <w:r w:rsidR="005C2248" w:rsidRPr="002B569B">
        <w:rPr>
          <w:shd w:val="clear" w:color="auto" w:fill="FFFFFF"/>
        </w:rPr>
        <w:t>ty</w:t>
      </w:r>
    </w:p>
    <w:p w14:paraId="7C4CE718" w14:textId="77777777" w:rsidR="003B36A0" w:rsidRDefault="005C2248" w:rsidP="00931787">
      <w:pPr>
        <w:spacing w:after="0"/>
        <w:rPr>
          <w:shd w:val="clear" w:color="auto" w:fill="FFFFFF"/>
        </w:rPr>
      </w:pPr>
      <w:r>
        <w:rPr>
          <w:shd w:val="clear" w:color="auto" w:fill="FFFFFF"/>
        </w:rPr>
        <w:t xml:space="preserve">The Commission’s views on franchising were not properly informed.  </w:t>
      </w:r>
    </w:p>
    <w:p w14:paraId="1F380089" w14:textId="77777777" w:rsidR="003B36A0" w:rsidRDefault="003B36A0" w:rsidP="00931787">
      <w:pPr>
        <w:spacing w:after="0"/>
        <w:rPr>
          <w:shd w:val="clear" w:color="auto" w:fill="FFFFFF"/>
        </w:rPr>
      </w:pPr>
    </w:p>
    <w:p w14:paraId="1B5570A2" w14:textId="77777777" w:rsidR="00BD4268" w:rsidRDefault="005C2248" w:rsidP="00931787">
      <w:pPr>
        <w:spacing w:after="0"/>
        <w:rPr>
          <w:shd w:val="clear" w:color="auto" w:fill="FFFFFF"/>
        </w:rPr>
      </w:pPr>
      <w:r>
        <w:rPr>
          <w:shd w:val="clear" w:color="auto" w:fill="FFFFFF"/>
        </w:rPr>
        <w:t xml:space="preserve">Among other things, franchising in commuter rail differs from elsewhere </w:t>
      </w:r>
      <w:r w:rsidR="00201087">
        <w:rPr>
          <w:shd w:val="clear" w:color="auto" w:fill="FFFFFF"/>
        </w:rPr>
        <w:t>by</w:t>
      </w:r>
      <w:r>
        <w:rPr>
          <w:shd w:val="clear" w:color="auto" w:fill="FFFFFF"/>
        </w:rPr>
        <w:t xml:space="preserve"> involving </w:t>
      </w:r>
      <w:r w:rsidR="00201087">
        <w:rPr>
          <w:shd w:val="clear" w:color="auto" w:fill="FFFFFF"/>
        </w:rPr>
        <w:t xml:space="preserve">network effects and </w:t>
      </w:r>
      <w:r>
        <w:rPr>
          <w:shd w:val="clear" w:color="auto" w:fill="FFFFFF"/>
        </w:rPr>
        <w:t>stewardship of infrastructure.  Economic and financial gains are generally one-off</w:t>
      </w:r>
      <w:r w:rsidR="00201087">
        <w:rPr>
          <w:shd w:val="clear" w:color="auto" w:fill="FFFFFF"/>
        </w:rPr>
        <w:t>.</w:t>
      </w:r>
    </w:p>
    <w:p w14:paraId="2FEFD1AE" w14:textId="77777777" w:rsidR="00B50A5D" w:rsidRDefault="00B50A5D" w:rsidP="00931787">
      <w:pPr>
        <w:spacing w:after="0"/>
        <w:rPr>
          <w:shd w:val="clear" w:color="auto" w:fill="FFFFFF"/>
        </w:rPr>
      </w:pPr>
    </w:p>
    <w:p w14:paraId="23E6FF4B" w14:textId="127E1A44" w:rsidR="005C2248" w:rsidRDefault="00BD4268" w:rsidP="00931787">
      <w:pPr>
        <w:spacing w:after="0"/>
        <w:rPr>
          <w:shd w:val="clear" w:color="auto" w:fill="FFFFFF"/>
        </w:rPr>
      </w:pPr>
      <w:r>
        <w:rPr>
          <w:shd w:val="clear" w:color="auto" w:fill="FFFFFF"/>
        </w:rPr>
        <w:t>Contrary to what the Commission claimed to be usual practice for franchising, commuter rail r</w:t>
      </w:r>
      <w:r w:rsidR="00201087">
        <w:rPr>
          <w:shd w:val="clear" w:color="auto" w:fill="FFFFFF"/>
        </w:rPr>
        <w:t>evenue risk can’t be t</w:t>
      </w:r>
      <w:r w:rsidR="005C2248">
        <w:rPr>
          <w:shd w:val="clear" w:color="auto" w:fill="FFFFFF"/>
        </w:rPr>
        <w:t>ransfer</w:t>
      </w:r>
      <w:r w:rsidR="00201087">
        <w:rPr>
          <w:shd w:val="clear" w:color="auto" w:fill="FFFFFF"/>
        </w:rPr>
        <w:t>red</w:t>
      </w:r>
      <w:r w:rsidR="005C2248">
        <w:rPr>
          <w:shd w:val="clear" w:color="auto" w:fill="FFFFFF"/>
        </w:rPr>
        <w:t xml:space="preserve">.  Ridership </w:t>
      </w:r>
      <w:r w:rsidR="00201087">
        <w:rPr>
          <w:shd w:val="clear" w:color="auto" w:fill="FFFFFF"/>
        </w:rPr>
        <w:t>depends on</w:t>
      </w:r>
      <w:r w:rsidR="005C2248">
        <w:rPr>
          <w:shd w:val="clear" w:color="auto" w:fill="FFFFFF"/>
        </w:rPr>
        <w:t xml:space="preserve"> economic conditions – e.g., CBD employment – and expectations of relative to road travel times</w:t>
      </w:r>
      <w:r w:rsidR="00201087">
        <w:rPr>
          <w:shd w:val="clear" w:color="auto" w:fill="FFFFFF"/>
        </w:rPr>
        <w:t xml:space="preserve"> - </w:t>
      </w:r>
      <w:r w:rsidR="005C2248">
        <w:rPr>
          <w:shd w:val="clear" w:color="auto" w:fill="FFFFFF"/>
        </w:rPr>
        <w:t>outside franchisee control.</w:t>
      </w:r>
      <w:r w:rsidR="00521C9E">
        <w:rPr>
          <w:shd w:val="clear" w:color="auto" w:fill="FFFFFF"/>
        </w:rPr>
        <w:t xml:space="preserve">  Attempts to transfer such risk, create conditions for financial failure of franchisees which lead to disruption of services, changes in industry structure and relations with Government, and greater cost to the public – as experienced in Victoria and the UK.</w:t>
      </w:r>
      <w:r w:rsidR="00B50A5D">
        <w:rPr>
          <w:rStyle w:val="FootnoteReference"/>
          <w:shd w:val="clear" w:color="auto" w:fill="FFFFFF"/>
        </w:rPr>
        <w:footnoteReference w:id="34"/>
      </w:r>
      <w:r w:rsidR="005C2248">
        <w:rPr>
          <w:shd w:val="clear" w:color="auto" w:fill="FFFFFF"/>
        </w:rPr>
        <w:t xml:space="preserve"> </w:t>
      </w:r>
    </w:p>
    <w:p w14:paraId="3F03BC95" w14:textId="77777777" w:rsidR="00B80659" w:rsidRDefault="00B80659" w:rsidP="00931787">
      <w:pPr>
        <w:spacing w:after="0"/>
        <w:rPr>
          <w:shd w:val="clear" w:color="auto" w:fill="FFFFFF"/>
        </w:rPr>
      </w:pPr>
    </w:p>
    <w:p w14:paraId="2F45320F" w14:textId="5DFC3248" w:rsidR="00B80659" w:rsidRDefault="005C2248" w:rsidP="00931787">
      <w:pPr>
        <w:spacing w:after="0"/>
        <w:rPr>
          <w:shd w:val="clear" w:color="auto" w:fill="FFFFFF"/>
        </w:rPr>
      </w:pPr>
      <w:r>
        <w:rPr>
          <w:shd w:val="clear" w:color="auto" w:fill="FFFFFF"/>
        </w:rPr>
        <w:t>There is a literature on how special characteristics of commuter rail affect franchising.</w:t>
      </w:r>
      <w:r w:rsidR="00B50A5D">
        <w:rPr>
          <w:rStyle w:val="FootnoteReference"/>
          <w:shd w:val="clear" w:color="auto" w:fill="FFFFFF"/>
        </w:rPr>
        <w:footnoteReference w:id="35"/>
      </w:r>
      <w:r w:rsidR="00B50A5D">
        <w:rPr>
          <w:shd w:val="clear" w:color="auto" w:fill="FFFFFF"/>
        </w:rPr>
        <w:t xml:space="preserve"> </w:t>
      </w:r>
      <w:r>
        <w:rPr>
          <w:shd w:val="clear" w:color="auto" w:fill="FFFFFF"/>
        </w:rPr>
        <w:t xml:space="preserve">  </w:t>
      </w:r>
    </w:p>
    <w:p w14:paraId="2F4FF1E9" w14:textId="77777777" w:rsidR="00B50A5D" w:rsidRDefault="00B50A5D" w:rsidP="00931787">
      <w:pPr>
        <w:spacing w:after="0"/>
        <w:rPr>
          <w:shd w:val="clear" w:color="auto" w:fill="FFFFFF"/>
        </w:rPr>
      </w:pPr>
    </w:p>
    <w:p w14:paraId="7DCF6E48" w14:textId="287392D7" w:rsidR="005C2248" w:rsidRDefault="005C2248" w:rsidP="00931787">
      <w:pPr>
        <w:spacing w:after="0"/>
        <w:rPr>
          <w:shd w:val="clear" w:color="auto" w:fill="FFFFFF"/>
        </w:rPr>
      </w:pPr>
      <w:r>
        <w:rPr>
          <w:shd w:val="clear" w:color="auto" w:fill="FFFFFF"/>
        </w:rPr>
        <w:t xml:space="preserve">While the </w:t>
      </w:r>
      <w:r w:rsidR="009A1CF2">
        <w:rPr>
          <w:shd w:val="clear" w:color="auto" w:fill="FFFFFF"/>
        </w:rPr>
        <w:t xml:space="preserve">Productivity </w:t>
      </w:r>
      <w:r>
        <w:rPr>
          <w:shd w:val="clear" w:color="auto" w:fill="FFFFFF"/>
        </w:rPr>
        <w:t xml:space="preserve">Commission - and others – recognised </w:t>
      </w:r>
      <w:r w:rsidR="00201087">
        <w:rPr>
          <w:shd w:val="clear" w:color="auto" w:fill="FFFFFF"/>
        </w:rPr>
        <w:t>(</w:t>
      </w:r>
      <w:r>
        <w:rPr>
          <w:shd w:val="clear" w:color="auto" w:fill="FFFFFF"/>
        </w:rPr>
        <w:t>then</w:t>
      </w:r>
      <w:r w:rsidR="00201087">
        <w:rPr>
          <w:shd w:val="clear" w:color="auto" w:fill="FFFFFF"/>
        </w:rPr>
        <w:t>)</w:t>
      </w:r>
      <w:r>
        <w:rPr>
          <w:shd w:val="clear" w:color="auto" w:fill="FFFFFF"/>
        </w:rPr>
        <w:t xml:space="preserve"> recent commuter rail franchising in Victoria and the UK had been difficult to introduce, it did not appreciate the causes were permanent rather than ‘implementation’ related.  The relevant difficulties have not entirely resolved several decades later</w:t>
      </w:r>
      <w:r w:rsidR="00201087">
        <w:rPr>
          <w:shd w:val="clear" w:color="auto" w:fill="FFFFFF"/>
        </w:rPr>
        <w:t>.  C</w:t>
      </w:r>
      <w:r>
        <w:rPr>
          <w:shd w:val="clear" w:color="auto" w:fill="FFFFFF"/>
        </w:rPr>
        <w:t xml:space="preserve">laims franchising </w:t>
      </w:r>
      <w:r w:rsidR="00201087">
        <w:rPr>
          <w:shd w:val="clear" w:color="auto" w:fill="FFFFFF"/>
        </w:rPr>
        <w:t>have</w:t>
      </w:r>
      <w:r>
        <w:rPr>
          <w:shd w:val="clear" w:color="auto" w:fill="FFFFFF"/>
        </w:rPr>
        <w:t xml:space="preserve"> led to economic gains are hotly contested if not outright wrong.</w:t>
      </w:r>
      <w:r>
        <w:rPr>
          <w:rStyle w:val="FootnoteReference"/>
          <w:shd w:val="clear" w:color="auto" w:fill="FFFFFF"/>
        </w:rPr>
        <w:footnoteReference w:id="36"/>
      </w:r>
    </w:p>
    <w:p w14:paraId="19C6C89A" w14:textId="77777777" w:rsidR="005C2248" w:rsidRDefault="005C2248" w:rsidP="00931787">
      <w:pPr>
        <w:spacing w:after="0"/>
        <w:rPr>
          <w:shd w:val="clear" w:color="auto" w:fill="FFFFFF"/>
        </w:rPr>
      </w:pPr>
    </w:p>
    <w:p w14:paraId="7A0A8CF1" w14:textId="2EFDEBC1" w:rsidR="005C2248" w:rsidRPr="002B569B" w:rsidRDefault="003B36A0" w:rsidP="00931787">
      <w:pPr>
        <w:pStyle w:val="Heading4"/>
        <w:rPr>
          <w:shd w:val="clear" w:color="auto" w:fill="FFFFFF"/>
        </w:rPr>
      </w:pPr>
      <w:r>
        <w:rPr>
          <w:shd w:val="clear" w:color="auto" w:fill="FFFFFF"/>
        </w:rPr>
        <w:t>3.4.3</w:t>
      </w:r>
      <w:r>
        <w:rPr>
          <w:shd w:val="clear" w:color="auto" w:fill="FFFFFF"/>
        </w:rPr>
        <w:tab/>
      </w:r>
      <w:r w:rsidR="005C2248" w:rsidRPr="002B569B">
        <w:rPr>
          <w:shd w:val="clear" w:color="auto" w:fill="FFFFFF"/>
        </w:rPr>
        <w:t>Crashes</w:t>
      </w:r>
    </w:p>
    <w:p w14:paraId="42463AE9" w14:textId="0AD4D432" w:rsidR="002125F3" w:rsidRDefault="005C2248" w:rsidP="00931787">
      <w:pPr>
        <w:spacing w:after="0"/>
        <w:rPr>
          <w:shd w:val="clear" w:color="auto" w:fill="FFFFFF"/>
        </w:rPr>
      </w:pPr>
      <w:r>
        <w:rPr>
          <w:shd w:val="clear" w:color="auto" w:fill="FFFFFF"/>
        </w:rPr>
        <w:t>The timing of the Commission’s report, August 1999, could not have been worse.  A month later came the first of the four high-profile UK fatal rail crashes which had privatisation/</w:t>
      </w:r>
      <w:r w:rsidR="00564945">
        <w:rPr>
          <w:shd w:val="clear" w:color="auto" w:fill="FFFFFF"/>
        </w:rPr>
        <w:t xml:space="preserve">franchising/ </w:t>
      </w:r>
      <w:r>
        <w:rPr>
          <w:shd w:val="clear" w:color="auto" w:fill="FFFFFF"/>
        </w:rPr>
        <w:t>structure among contributing factors.</w:t>
      </w:r>
      <w:r w:rsidR="002125F3">
        <w:rPr>
          <w:rStyle w:val="FootnoteReference"/>
          <w:shd w:val="clear" w:color="auto" w:fill="FFFFFF"/>
        </w:rPr>
        <w:footnoteReference w:id="37"/>
      </w:r>
      <w:r>
        <w:rPr>
          <w:shd w:val="clear" w:color="auto" w:fill="FFFFFF"/>
        </w:rPr>
        <w:t xml:space="preserve">  </w:t>
      </w:r>
    </w:p>
    <w:p w14:paraId="38313F9F" w14:textId="77777777" w:rsidR="002125F3" w:rsidRDefault="002125F3" w:rsidP="00931787">
      <w:pPr>
        <w:spacing w:after="0"/>
        <w:rPr>
          <w:shd w:val="clear" w:color="auto" w:fill="FFFFFF"/>
        </w:rPr>
      </w:pPr>
    </w:p>
    <w:p w14:paraId="01CDE0F5" w14:textId="18219C63" w:rsidR="005C2248" w:rsidRDefault="005C2248" w:rsidP="00931787">
      <w:pPr>
        <w:spacing w:after="0"/>
        <w:rPr>
          <w:shd w:val="clear" w:color="auto" w:fill="FFFFFF"/>
        </w:rPr>
      </w:pPr>
      <w:r>
        <w:rPr>
          <w:shd w:val="clear" w:color="auto" w:fill="FFFFFF"/>
        </w:rPr>
        <w:t xml:space="preserve">The Glenbrook crash, with similar </w:t>
      </w:r>
      <w:r w:rsidR="00564945">
        <w:rPr>
          <w:shd w:val="clear" w:color="auto" w:fill="FFFFFF"/>
        </w:rPr>
        <w:t>structural</w:t>
      </w:r>
      <w:r>
        <w:rPr>
          <w:shd w:val="clear" w:color="auto" w:fill="FFFFFF"/>
        </w:rPr>
        <w:t xml:space="preserve"> factors, was in December 1999.</w:t>
      </w:r>
      <w:r>
        <w:rPr>
          <w:rStyle w:val="FootnoteReference"/>
          <w:shd w:val="clear" w:color="auto" w:fill="FFFFFF"/>
        </w:rPr>
        <w:footnoteReference w:id="38"/>
      </w:r>
    </w:p>
    <w:p w14:paraId="797E8C08" w14:textId="77777777" w:rsidR="00F20D9C" w:rsidRDefault="00F20D9C" w:rsidP="00931787">
      <w:pPr>
        <w:spacing w:after="0"/>
        <w:rPr>
          <w:shd w:val="clear" w:color="auto" w:fill="FFFFFF"/>
        </w:rPr>
      </w:pPr>
    </w:p>
    <w:p w14:paraId="7380D2FA" w14:textId="77777777" w:rsidR="00113DB9" w:rsidRDefault="005C2248" w:rsidP="00931787">
      <w:pPr>
        <w:spacing w:after="0"/>
        <w:rPr>
          <w:shd w:val="clear" w:color="auto" w:fill="FFFFFF"/>
        </w:rPr>
      </w:pPr>
      <w:r>
        <w:rPr>
          <w:shd w:val="clear" w:color="auto" w:fill="FFFFFF"/>
        </w:rPr>
        <w:t>While vertical separation – track from trains - was seen among the contribut</w:t>
      </w:r>
      <w:r w:rsidR="00564945">
        <w:rPr>
          <w:shd w:val="clear" w:color="auto" w:fill="FFFFFF"/>
        </w:rPr>
        <w:t>ors</w:t>
      </w:r>
      <w:r>
        <w:rPr>
          <w:shd w:val="clear" w:color="auto" w:fill="FFFFFF"/>
        </w:rPr>
        <w:t xml:space="preserve"> to those crashes, the separation of infrastructure maintenance from ownership became the matter of highest concern. </w:t>
      </w:r>
      <w:r w:rsidR="00FF1C2A">
        <w:rPr>
          <w:shd w:val="clear" w:color="auto" w:fill="FFFFFF"/>
        </w:rPr>
        <w:t xml:space="preserve"> </w:t>
      </w:r>
    </w:p>
    <w:p w14:paraId="71C345CA" w14:textId="77777777" w:rsidR="00113DB9" w:rsidRDefault="00113DB9" w:rsidP="00931787">
      <w:pPr>
        <w:spacing w:after="0"/>
        <w:rPr>
          <w:shd w:val="clear" w:color="auto" w:fill="FFFFFF"/>
        </w:rPr>
      </w:pPr>
    </w:p>
    <w:p w14:paraId="2C39A022" w14:textId="77777777" w:rsidR="009A1CF2" w:rsidRDefault="00FF1C2A" w:rsidP="00931787">
      <w:pPr>
        <w:spacing w:after="0"/>
        <w:rPr>
          <w:shd w:val="clear" w:color="auto" w:fill="FFFFFF"/>
        </w:rPr>
      </w:pPr>
      <w:r>
        <w:rPr>
          <w:shd w:val="clear" w:color="auto" w:fill="FFFFFF"/>
        </w:rPr>
        <w:t xml:space="preserve">In the UK the galvanising event </w:t>
      </w:r>
      <w:r w:rsidR="0016632E">
        <w:rPr>
          <w:shd w:val="clear" w:color="auto" w:fill="FFFFFF"/>
        </w:rPr>
        <w:t>for</w:t>
      </w:r>
      <w:r>
        <w:rPr>
          <w:shd w:val="clear" w:color="auto" w:fill="FFFFFF"/>
        </w:rPr>
        <w:t xml:space="preserve"> </w:t>
      </w:r>
      <w:r w:rsidR="00C6307D">
        <w:rPr>
          <w:shd w:val="clear" w:color="auto" w:fill="FFFFFF"/>
        </w:rPr>
        <w:t xml:space="preserve">rapid and </w:t>
      </w:r>
      <w:r>
        <w:rPr>
          <w:shd w:val="clear" w:color="auto" w:fill="FFFFFF"/>
        </w:rPr>
        <w:t>dramatic changes in policy was a crash caused by a broken rail at Hatfield – prior disasters due to SPADs</w:t>
      </w:r>
      <w:r w:rsidR="00C6307D">
        <w:rPr>
          <w:shd w:val="clear" w:color="auto" w:fill="FFFFFF"/>
        </w:rPr>
        <w:t>,</w:t>
      </w:r>
      <w:r>
        <w:rPr>
          <w:shd w:val="clear" w:color="auto" w:fill="FFFFFF"/>
        </w:rPr>
        <w:t xml:space="preserve"> </w:t>
      </w:r>
      <w:r w:rsidR="00C6307D">
        <w:rPr>
          <w:shd w:val="clear" w:color="auto" w:fill="FFFFFF"/>
        </w:rPr>
        <w:t>with far greater casualties</w:t>
      </w:r>
      <w:r w:rsidR="0016632E">
        <w:rPr>
          <w:shd w:val="clear" w:color="auto" w:fill="FFFFFF"/>
        </w:rPr>
        <w:t>,</w:t>
      </w:r>
      <w:r w:rsidR="00C6307D">
        <w:rPr>
          <w:shd w:val="clear" w:color="auto" w:fill="FFFFFF"/>
        </w:rPr>
        <w:t xml:space="preserve"> </w:t>
      </w:r>
      <w:r>
        <w:rPr>
          <w:shd w:val="clear" w:color="auto" w:fill="FFFFFF"/>
        </w:rPr>
        <w:t xml:space="preserve">resulted in much more considered responses.  </w:t>
      </w:r>
    </w:p>
    <w:p w14:paraId="05FC088C" w14:textId="74D50BFB" w:rsidR="00BE1E50" w:rsidRDefault="00FF1C2A" w:rsidP="00931787">
      <w:pPr>
        <w:spacing w:after="0"/>
        <w:rPr>
          <w:shd w:val="clear" w:color="auto" w:fill="FFFFFF"/>
        </w:rPr>
      </w:pPr>
      <w:r>
        <w:rPr>
          <w:shd w:val="clear" w:color="auto" w:fill="FFFFFF"/>
        </w:rPr>
        <w:lastRenderedPageBreak/>
        <w:t xml:space="preserve">In NSW, </w:t>
      </w:r>
      <w:r w:rsidR="0016632E">
        <w:rPr>
          <w:shd w:val="clear" w:color="auto" w:fill="FFFFFF"/>
        </w:rPr>
        <w:t xml:space="preserve">a track-defect caused </w:t>
      </w:r>
      <w:r>
        <w:rPr>
          <w:shd w:val="clear" w:color="auto" w:fill="FFFFFF"/>
        </w:rPr>
        <w:t xml:space="preserve">derailment </w:t>
      </w:r>
      <w:r w:rsidR="0016632E">
        <w:rPr>
          <w:shd w:val="clear" w:color="auto" w:fill="FFFFFF"/>
        </w:rPr>
        <w:t xml:space="preserve">Kingsgrove - four days before (resumption of the) Glenbrook Commission hearings into railway structure - may </w:t>
      </w:r>
      <w:r>
        <w:rPr>
          <w:shd w:val="clear" w:color="auto" w:fill="FFFFFF"/>
        </w:rPr>
        <w:t>ha</w:t>
      </w:r>
      <w:r w:rsidR="0016632E">
        <w:rPr>
          <w:shd w:val="clear" w:color="auto" w:fill="FFFFFF"/>
        </w:rPr>
        <w:t>ve ha</w:t>
      </w:r>
      <w:r>
        <w:rPr>
          <w:shd w:val="clear" w:color="auto" w:fill="FFFFFF"/>
        </w:rPr>
        <w:t>d a similar galvanising effect.</w:t>
      </w:r>
      <w:r>
        <w:rPr>
          <w:rStyle w:val="FootnoteReference"/>
          <w:shd w:val="clear" w:color="auto" w:fill="FFFFFF"/>
        </w:rPr>
        <w:footnoteReference w:id="39"/>
      </w:r>
      <w:r>
        <w:rPr>
          <w:shd w:val="clear" w:color="auto" w:fill="FFFFFF"/>
        </w:rPr>
        <w:t xml:space="preserve"> </w:t>
      </w:r>
    </w:p>
    <w:p w14:paraId="3053912D" w14:textId="77777777" w:rsidR="00BE1E50" w:rsidRDefault="00BE1E50" w:rsidP="00931787">
      <w:pPr>
        <w:spacing w:after="0"/>
        <w:rPr>
          <w:shd w:val="clear" w:color="auto" w:fill="FFFFFF"/>
        </w:rPr>
      </w:pPr>
    </w:p>
    <w:p w14:paraId="58E5389A" w14:textId="0EC3A72A" w:rsidR="005C2248" w:rsidRDefault="005C2248" w:rsidP="00931787">
      <w:pPr>
        <w:spacing w:after="0"/>
        <w:rPr>
          <w:shd w:val="clear" w:color="auto" w:fill="FFFFFF"/>
        </w:rPr>
      </w:pPr>
      <w:r>
        <w:rPr>
          <w:shd w:val="clear" w:color="auto" w:fill="FFFFFF"/>
        </w:rPr>
        <w:t xml:space="preserve">Both in the UK and NSW, it was </w:t>
      </w:r>
      <w:r w:rsidR="00564945">
        <w:rPr>
          <w:shd w:val="clear" w:color="auto" w:fill="FFFFFF"/>
        </w:rPr>
        <w:t>held</w:t>
      </w:r>
      <w:r>
        <w:rPr>
          <w:shd w:val="clear" w:color="auto" w:fill="FFFFFF"/>
        </w:rPr>
        <w:t xml:space="preserve"> separation </w:t>
      </w:r>
      <w:r w:rsidR="00C6307D">
        <w:rPr>
          <w:shd w:val="clear" w:color="auto" w:fill="FFFFFF"/>
        </w:rPr>
        <w:t xml:space="preserve">of infrastructure ownership from maintenance (responsibility) </w:t>
      </w:r>
      <w:r>
        <w:rPr>
          <w:shd w:val="clear" w:color="auto" w:fill="FFFFFF"/>
        </w:rPr>
        <w:t>led to the owner being incapable of responsibly contracting-out maintenance</w:t>
      </w:r>
      <w:r w:rsidR="00564945">
        <w:rPr>
          <w:shd w:val="clear" w:color="auto" w:fill="FFFFFF"/>
        </w:rPr>
        <w:t>.  Moreover,</w:t>
      </w:r>
      <w:r>
        <w:rPr>
          <w:shd w:val="clear" w:color="auto" w:fill="FFFFFF"/>
        </w:rPr>
        <w:t xml:space="preserve"> there was </w:t>
      </w:r>
      <w:r w:rsidR="00B80659">
        <w:rPr>
          <w:shd w:val="clear" w:color="auto" w:fill="FFFFFF"/>
        </w:rPr>
        <w:t>u</w:t>
      </w:r>
      <w:r>
        <w:rPr>
          <w:shd w:val="clear" w:color="auto" w:fill="FFFFFF"/>
        </w:rPr>
        <w:t xml:space="preserve">nacceptable </w:t>
      </w:r>
      <w:r w:rsidR="00B80659">
        <w:rPr>
          <w:shd w:val="clear" w:color="auto" w:fill="FFFFFF"/>
        </w:rPr>
        <w:t>shortfall of skills</w:t>
      </w:r>
      <w:r>
        <w:rPr>
          <w:shd w:val="clear" w:color="auto" w:fill="FFFFFF"/>
        </w:rPr>
        <w:t xml:space="preserve"> </w:t>
      </w:r>
      <w:r w:rsidR="00B80659">
        <w:rPr>
          <w:shd w:val="clear" w:color="auto" w:fill="FFFFFF"/>
        </w:rPr>
        <w:t>in</w:t>
      </w:r>
      <w:r>
        <w:rPr>
          <w:shd w:val="clear" w:color="auto" w:fill="FFFFFF"/>
        </w:rPr>
        <w:t xml:space="preserve"> the workforce.  Reports about deterioration in Victoria</w:t>
      </w:r>
      <w:r w:rsidR="00B80659">
        <w:rPr>
          <w:shd w:val="clear" w:color="auto" w:fill="FFFFFF"/>
        </w:rPr>
        <w:t>’s</w:t>
      </w:r>
      <w:r>
        <w:rPr>
          <w:shd w:val="clear" w:color="auto" w:fill="FFFFFF"/>
        </w:rPr>
        <w:t xml:space="preserve"> infrastructure are consistent with this.</w:t>
      </w:r>
      <w:r>
        <w:rPr>
          <w:rStyle w:val="FootnoteReference"/>
          <w:shd w:val="clear" w:color="auto" w:fill="FFFFFF"/>
        </w:rPr>
        <w:footnoteReference w:id="40"/>
      </w:r>
    </w:p>
    <w:p w14:paraId="5AE6C890" w14:textId="62A92283" w:rsidR="00BE1E50" w:rsidRDefault="00BE1E50" w:rsidP="00931787">
      <w:pPr>
        <w:spacing w:after="0"/>
        <w:rPr>
          <w:shd w:val="clear" w:color="auto" w:fill="FFFFFF"/>
        </w:rPr>
      </w:pPr>
    </w:p>
    <w:p w14:paraId="2B1D3480" w14:textId="235058F3" w:rsidR="00BE1E50" w:rsidRDefault="00BE1E50" w:rsidP="00931787">
      <w:pPr>
        <w:spacing w:after="0"/>
        <w:rPr>
          <w:shd w:val="clear" w:color="auto" w:fill="FFFFFF"/>
        </w:rPr>
      </w:pPr>
      <w:r>
        <w:rPr>
          <w:shd w:val="clear" w:color="auto" w:fill="FFFFFF"/>
        </w:rPr>
        <w:t>An assumption made in the Competition Principles – explicit with respect to access – was that</w:t>
      </w:r>
      <w:r w:rsidR="00564945">
        <w:rPr>
          <w:shd w:val="clear" w:color="auto" w:fill="FFFFFF"/>
        </w:rPr>
        <w:t xml:space="preserve"> (any</w:t>
      </w:r>
      <w:r w:rsidR="000C399B">
        <w:rPr>
          <w:shd w:val="clear" w:color="auto" w:fill="FFFFFF"/>
        </w:rPr>
        <w:t xml:space="preserve"> and all</w:t>
      </w:r>
      <w:r w:rsidR="00564945">
        <w:rPr>
          <w:shd w:val="clear" w:color="auto" w:fill="FFFFFF"/>
        </w:rPr>
        <w:t>)</w:t>
      </w:r>
      <w:r>
        <w:rPr>
          <w:shd w:val="clear" w:color="auto" w:fill="FFFFFF"/>
        </w:rPr>
        <w:t xml:space="preserve"> structural and other changes could be made safely.  At the time, 1995, </w:t>
      </w:r>
      <w:r w:rsidR="00564945">
        <w:rPr>
          <w:shd w:val="clear" w:color="auto" w:fill="FFFFFF"/>
        </w:rPr>
        <w:t xml:space="preserve">it might </w:t>
      </w:r>
      <w:r>
        <w:rPr>
          <w:shd w:val="clear" w:color="auto" w:fill="FFFFFF"/>
        </w:rPr>
        <w:t xml:space="preserve">have been reasonable </w:t>
      </w:r>
      <w:r w:rsidR="00564945">
        <w:rPr>
          <w:shd w:val="clear" w:color="auto" w:fill="FFFFFF"/>
        </w:rPr>
        <w:t>to assume</w:t>
      </w:r>
      <w:r>
        <w:rPr>
          <w:shd w:val="clear" w:color="auto" w:fill="FFFFFF"/>
        </w:rPr>
        <w:t xml:space="preserve"> </w:t>
      </w:r>
      <w:r w:rsidR="00564945">
        <w:rPr>
          <w:shd w:val="clear" w:color="auto" w:fill="FFFFFF"/>
        </w:rPr>
        <w:t xml:space="preserve">public safety risks could be held to acceptable levels under </w:t>
      </w:r>
      <w:r>
        <w:rPr>
          <w:shd w:val="clear" w:color="auto" w:fill="FFFFFF"/>
        </w:rPr>
        <w:t xml:space="preserve">any structure of an </w:t>
      </w:r>
      <w:r w:rsidR="00564945">
        <w:rPr>
          <w:shd w:val="clear" w:color="auto" w:fill="FFFFFF"/>
        </w:rPr>
        <w:t xml:space="preserve">infrastructure-based </w:t>
      </w:r>
      <w:r>
        <w:rPr>
          <w:shd w:val="clear" w:color="auto" w:fill="FFFFFF"/>
        </w:rPr>
        <w:t xml:space="preserve">industry.   </w:t>
      </w:r>
      <w:r w:rsidR="00564945">
        <w:rPr>
          <w:shd w:val="clear" w:color="auto" w:fill="FFFFFF"/>
        </w:rPr>
        <w:t>A</w:t>
      </w:r>
      <w:r>
        <w:rPr>
          <w:shd w:val="clear" w:color="auto" w:fill="FFFFFF"/>
        </w:rPr>
        <w:t xml:space="preserve">rguments for national rail safety regulation to be ‘permission’ rather than prescriptive </w:t>
      </w:r>
      <w:r w:rsidR="00FD4AEA">
        <w:rPr>
          <w:shd w:val="clear" w:color="auto" w:fill="FFFFFF"/>
        </w:rPr>
        <w:t xml:space="preserve">based </w:t>
      </w:r>
      <w:r>
        <w:rPr>
          <w:shd w:val="clear" w:color="auto" w:fill="FFFFFF"/>
        </w:rPr>
        <w:t>reflected this view.</w:t>
      </w:r>
      <w:r w:rsidR="00EA7ECF">
        <w:rPr>
          <w:rStyle w:val="FootnoteReference"/>
          <w:shd w:val="clear" w:color="auto" w:fill="FFFFFF"/>
        </w:rPr>
        <w:footnoteReference w:id="41"/>
      </w:r>
      <w:r w:rsidR="00FD4AEA">
        <w:rPr>
          <w:shd w:val="clear" w:color="auto" w:fill="FFFFFF"/>
        </w:rPr>
        <w:t xml:space="preserve">  </w:t>
      </w:r>
    </w:p>
    <w:p w14:paraId="38B25992" w14:textId="77777777" w:rsidR="00BE1E50" w:rsidRDefault="00BE1E50" w:rsidP="00931787">
      <w:pPr>
        <w:spacing w:after="0"/>
        <w:rPr>
          <w:shd w:val="clear" w:color="auto" w:fill="FFFFFF"/>
        </w:rPr>
      </w:pPr>
    </w:p>
    <w:p w14:paraId="63DF8BCF" w14:textId="0B316409" w:rsidR="00B2105E" w:rsidRDefault="00BE1E50" w:rsidP="00931787">
      <w:pPr>
        <w:spacing w:after="0"/>
        <w:rPr>
          <w:shd w:val="clear" w:color="auto" w:fill="FFFFFF"/>
        </w:rPr>
      </w:pPr>
      <w:r>
        <w:rPr>
          <w:shd w:val="clear" w:color="auto" w:fill="FFFFFF"/>
        </w:rPr>
        <w:t>However, by the time of the Productivity Commission’s report, 1999, it was evident that assumption was wrong</w:t>
      </w:r>
      <w:r w:rsidR="00FD4AEA">
        <w:rPr>
          <w:shd w:val="clear" w:color="auto" w:fill="FFFFFF"/>
        </w:rPr>
        <w:t xml:space="preserve">.  </w:t>
      </w:r>
      <w:r w:rsidR="00564945">
        <w:rPr>
          <w:shd w:val="clear" w:color="auto" w:fill="FFFFFF"/>
        </w:rPr>
        <w:t>As</w:t>
      </w:r>
      <w:r w:rsidR="00B2105E">
        <w:rPr>
          <w:shd w:val="clear" w:color="auto" w:fill="FFFFFF"/>
        </w:rPr>
        <w:t xml:space="preserve"> was spectacularly </w:t>
      </w:r>
      <w:r w:rsidR="00564945">
        <w:rPr>
          <w:shd w:val="clear" w:color="auto" w:fill="FFFFFF"/>
        </w:rPr>
        <w:t>shown</w:t>
      </w:r>
      <w:r w:rsidR="00B2105E">
        <w:rPr>
          <w:shd w:val="clear" w:color="auto" w:fill="FFFFFF"/>
        </w:rPr>
        <w:t xml:space="preserve"> in the next few years.</w:t>
      </w:r>
    </w:p>
    <w:p w14:paraId="2ADEA1E5" w14:textId="77777777" w:rsidR="00B2105E" w:rsidRDefault="00B2105E" w:rsidP="00931787">
      <w:pPr>
        <w:spacing w:after="0"/>
        <w:rPr>
          <w:shd w:val="clear" w:color="auto" w:fill="FFFFFF"/>
        </w:rPr>
      </w:pPr>
    </w:p>
    <w:p w14:paraId="67525943" w14:textId="02AA364E" w:rsidR="00FD4AEA" w:rsidRDefault="005F7CE0" w:rsidP="00931787">
      <w:pPr>
        <w:spacing w:after="0"/>
        <w:rPr>
          <w:shd w:val="clear" w:color="auto" w:fill="FFFFFF"/>
        </w:rPr>
      </w:pPr>
      <w:r>
        <w:rPr>
          <w:shd w:val="clear" w:color="auto" w:fill="FFFFFF"/>
        </w:rPr>
        <w:t>A</w:t>
      </w:r>
      <w:r w:rsidR="00FD4AEA">
        <w:rPr>
          <w:shd w:val="clear" w:color="auto" w:fill="FFFFFF"/>
        </w:rPr>
        <w:t xml:space="preserve">lso evident </w:t>
      </w:r>
      <w:r>
        <w:rPr>
          <w:shd w:val="clear" w:color="auto" w:fill="FFFFFF"/>
        </w:rPr>
        <w:t xml:space="preserve">was </w:t>
      </w:r>
      <w:r w:rsidR="00FD4AEA">
        <w:rPr>
          <w:shd w:val="clear" w:color="auto" w:fill="FFFFFF"/>
        </w:rPr>
        <w:t>a dichotomy regarding the purpose of rail safety regulation</w:t>
      </w:r>
      <w:r w:rsidR="00BE1E50">
        <w:rPr>
          <w:shd w:val="clear" w:color="auto" w:fill="FFFFFF"/>
        </w:rPr>
        <w:t>.</w:t>
      </w:r>
      <w:r w:rsidR="00FD4AEA">
        <w:rPr>
          <w:shd w:val="clear" w:color="auto" w:fill="FFFFFF"/>
        </w:rPr>
        <w:t xml:space="preserve">  Some viewed regulation as needed to mitigate risk of damage to life and property.  Others viewed </w:t>
      </w:r>
      <w:r w:rsidR="00EB522D">
        <w:rPr>
          <w:shd w:val="clear" w:color="auto" w:fill="FFFFFF"/>
        </w:rPr>
        <w:t xml:space="preserve">such </w:t>
      </w:r>
      <w:r w:rsidR="00FD4AEA">
        <w:rPr>
          <w:shd w:val="clear" w:color="auto" w:fill="FFFFFF"/>
        </w:rPr>
        <w:t xml:space="preserve">regulation as needed to diminish </w:t>
      </w:r>
      <w:r w:rsidR="009A1CF2">
        <w:rPr>
          <w:shd w:val="clear" w:color="auto" w:fill="FFFFFF"/>
        </w:rPr>
        <w:t xml:space="preserve">hidden </w:t>
      </w:r>
      <w:r w:rsidR="00FD4AEA">
        <w:rPr>
          <w:shd w:val="clear" w:color="auto" w:fill="FFFFFF"/>
        </w:rPr>
        <w:t>‘barriers to entry’</w:t>
      </w:r>
      <w:r w:rsidR="00EB522D">
        <w:rPr>
          <w:shd w:val="clear" w:color="auto" w:fill="FFFFFF"/>
        </w:rPr>
        <w:t>.</w:t>
      </w:r>
      <w:r w:rsidR="00B80659">
        <w:rPr>
          <w:shd w:val="clear" w:color="auto" w:fill="FFFFFF"/>
        </w:rPr>
        <w:t xml:space="preserve">  </w:t>
      </w:r>
      <w:r w:rsidR="00BC0D59">
        <w:rPr>
          <w:shd w:val="clear" w:color="auto" w:fill="FFFFFF"/>
        </w:rPr>
        <w:t>Part of the</w:t>
      </w:r>
      <w:r w:rsidR="00EB522D">
        <w:rPr>
          <w:shd w:val="clear" w:color="auto" w:fill="FFFFFF"/>
        </w:rPr>
        <w:t xml:space="preserve"> latter </w:t>
      </w:r>
      <w:r w:rsidR="00BC0D59">
        <w:rPr>
          <w:shd w:val="clear" w:color="auto" w:fill="FFFFFF"/>
        </w:rPr>
        <w:t>group saw</w:t>
      </w:r>
      <w:r w:rsidR="00EB522D">
        <w:rPr>
          <w:shd w:val="clear" w:color="auto" w:fill="FFFFFF"/>
        </w:rPr>
        <w:t xml:space="preserve"> </w:t>
      </w:r>
      <w:r w:rsidR="00FD4AEA">
        <w:rPr>
          <w:shd w:val="clear" w:color="auto" w:fill="FFFFFF"/>
        </w:rPr>
        <w:t xml:space="preserve">State </w:t>
      </w:r>
      <w:r w:rsidR="00EB522D">
        <w:rPr>
          <w:shd w:val="clear" w:color="auto" w:fill="FFFFFF"/>
        </w:rPr>
        <w:t xml:space="preserve">rail safety </w:t>
      </w:r>
      <w:r w:rsidR="00FD4AEA">
        <w:rPr>
          <w:shd w:val="clear" w:color="auto" w:fill="FFFFFF"/>
        </w:rPr>
        <w:t>regulation as a</w:t>
      </w:r>
      <w:r w:rsidR="009A1CF2">
        <w:rPr>
          <w:shd w:val="clear" w:color="auto" w:fill="FFFFFF"/>
        </w:rPr>
        <w:t>n illegitimate</w:t>
      </w:r>
      <w:r w:rsidR="00FD4AEA">
        <w:rPr>
          <w:shd w:val="clear" w:color="auto" w:fill="FFFFFF"/>
        </w:rPr>
        <w:t xml:space="preserve"> way of protecting State railways from competition.</w:t>
      </w:r>
      <w:r w:rsidR="00FD4AEA">
        <w:rPr>
          <w:rStyle w:val="FootnoteReference"/>
          <w:shd w:val="clear" w:color="auto" w:fill="FFFFFF"/>
        </w:rPr>
        <w:footnoteReference w:id="42"/>
      </w:r>
    </w:p>
    <w:p w14:paraId="65CEE16A" w14:textId="77777777" w:rsidR="00C6307D" w:rsidRDefault="00C6307D" w:rsidP="00931787">
      <w:pPr>
        <w:spacing w:after="0"/>
        <w:rPr>
          <w:shd w:val="clear" w:color="auto" w:fill="FFFFFF"/>
        </w:rPr>
      </w:pPr>
    </w:p>
    <w:p w14:paraId="1B15DD6D" w14:textId="7927ACEB" w:rsidR="005C2248" w:rsidRPr="003464E7" w:rsidRDefault="00B2105E" w:rsidP="00931787">
      <w:pPr>
        <w:pStyle w:val="Heading4"/>
        <w:rPr>
          <w:shd w:val="clear" w:color="auto" w:fill="FFFFFF"/>
        </w:rPr>
      </w:pPr>
      <w:r>
        <w:rPr>
          <w:shd w:val="clear" w:color="auto" w:fill="FFFFFF"/>
        </w:rPr>
        <w:t>3.4.4</w:t>
      </w:r>
      <w:r>
        <w:rPr>
          <w:shd w:val="clear" w:color="auto" w:fill="FFFFFF"/>
        </w:rPr>
        <w:tab/>
      </w:r>
      <w:r w:rsidR="005C2248" w:rsidRPr="003464E7">
        <w:rPr>
          <w:shd w:val="clear" w:color="auto" w:fill="FFFFFF"/>
        </w:rPr>
        <w:t>Commercial behaviour</w:t>
      </w:r>
    </w:p>
    <w:p w14:paraId="30DC6329" w14:textId="2142FE6E" w:rsidR="005C2248" w:rsidRDefault="005C2248" w:rsidP="00931787">
      <w:pPr>
        <w:spacing w:after="0"/>
        <w:rPr>
          <w:shd w:val="clear" w:color="auto" w:fill="FFFFFF"/>
        </w:rPr>
      </w:pPr>
      <w:r>
        <w:rPr>
          <w:shd w:val="clear" w:color="auto" w:fill="FFFFFF"/>
        </w:rPr>
        <w:t xml:space="preserve">The Commission’s analysis missed the key point about the ‘commercial approach’ – it cannot </w:t>
      </w:r>
      <w:r w:rsidR="009A1CF2">
        <w:rPr>
          <w:shd w:val="clear" w:color="auto" w:fill="FFFFFF"/>
        </w:rPr>
        <w:t>occur in</w:t>
      </w:r>
      <w:r>
        <w:rPr>
          <w:shd w:val="clear" w:color="auto" w:fill="FFFFFF"/>
        </w:rPr>
        <w:t xml:space="preserve"> dealings among Government agencies.</w:t>
      </w:r>
      <w:r>
        <w:rPr>
          <w:rStyle w:val="FootnoteReference"/>
          <w:shd w:val="clear" w:color="auto" w:fill="FFFFFF"/>
        </w:rPr>
        <w:footnoteReference w:id="43"/>
      </w:r>
    </w:p>
    <w:p w14:paraId="11D4D717" w14:textId="77777777" w:rsidR="005C2248" w:rsidRDefault="005C2248" w:rsidP="00931787">
      <w:pPr>
        <w:spacing w:after="0"/>
        <w:rPr>
          <w:shd w:val="clear" w:color="auto" w:fill="FFFFFF"/>
        </w:rPr>
      </w:pPr>
    </w:p>
    <w:p w14:paraId="2D4C53DD" w14:textId="71EE0C2D" w:rsidR="005C2248" w:rsidRDefault="005C2248" w:rsidP="00931787">
      <w:pPr>
        <w:spacing w:after="0"/>
        <w:rPr>
          <w:shd w:val="clear" w:color="auto" w:fill="FFFFFF"/>
        </w:rPr>
      </w:pPr>
      <w:r>
        <w:rPr>
          <w:shd w:val="clear" w:color="auto" w:fill="FFFFFF"/>
        </w:rPr>
        <w:t>Government entities that deal with each other do so primarily via political and bureaucratic manoeuvring rather than common law, court enforceable, contracts.</w:t>
      </w:r>
    </w:p>
    <w:p w14:paraId="545605DE" w14:textId="77777777" w:rsidR="00B2105E" w:rsidRDefault="00B2105E" w:rsidP="00931787">
      <w:pPr>
        <w:spacing w:after="0"/>
        <w:rPr>
          <w:shd w:val="clear" w:color="auto" w:fill="FFFFFF"/>
        </w:rPr>
      </w:pPr>
    </w:p>
    <w:p w14:paraId="643A1C33" w14:textId="02F0BC36" w:rsidR="005C2248" w:rsidRDefault="005C2248" w:rsidP="00931787">
      <w:pPr>
        <w:spacing w:after="0"/>
        <w:rPr>
          <w:shd w:val="clear" w:color="auto" w:fill="FFFFFF"/>
        </w:rPr>
      </w:pPr>
      <w:r>
        <w:rPr>
          <w:shd w:val="clear" w:color="auto" w:fill="FFFFFF"/>
        </w:rPr>
        <w:t xml:space="preserve">While the Commission’s competition/market analysis may </w:t>
      </w:r>
      <w:r w:rsidR="00A25356">
        <w:rPr>
          <w:shd w:val="clear" w:color="auto" w:fill="FFFFFF"/>
        </w:rPr>
        <w:t>underpin</w:t>
      </w:r>
      <w:r>
        <w:rPr>
          <w:shd w:val="clear" w:color="auto" w:fill="FFFFFF"/>
        </w:rPr>
        <w:t xml:space="preserve"> views about sector structure, such analysis is valid only for private firms.  </w:t>
      </w:r>
    </w:p>
    <w:p w14:paraId="2458C558" w14:textId="77777777" w:rsidR="005C2248" w:rsidRDefault="005C2248" w:rsidP="00931787">
      <w:pPr>
        <w:spacing w:after="0"/>
        <w:rPr>
          <w:shd w:val="clear" w:color="auto" w:fill="FFFFFF"/>
        </w:rPr>
      </w:pPr>
    </w:p>
    <w:p w14:paraId="608EA750" w14:textId="368D920E" w:rsidR="009A1CF2" w:rsidRDefault="005C2248" w:rsidP="00931787">
      <w:pPr>
        <w:spacing w:after="0"/>
        <w:rPr>
          <w:shd w:val="clear" w:color="auto" w:fill="FFFFFF"/>
        </w:rPr>
      </w:pPr>
      <w:r>
        <w:rPr>
          <w:shd w:val="clear" w:color="auto" w:fill="FFFFFF"/>
        </w:rPr>
        <w:t xml:space="preserve">The </w:t>
      </w:r>
      <w:r w:rsidR="009A1CF2">
        <w:rPr>
          <w:shd w:val="clear" w:color="auto" w:fill="FFFFFF"/>
        </w:rPr>
        <w:t xml:space="preserve">Productivity </w:t>
      </w:r>
      <w:r>
        <w:rPr>
          <w:shd w:val="clear" w:color="auto" w:fill="FFFFFF"/>
        </w:rPr>
        <w:t xml:space="preserve">Commission claimed the commercial approach had not been properly applied.  That </w:t>
      </w:r>
      <w:r w:rsidR="00257237">
        <w:rPr>
          <w:shd w:val="clear" w:color="auto" w:fill="FFFFFF"/>
        </w:rPr>
        <w:t>was misleading</w:t>
      </w:r>
      <w:r>
        <w:rPr>
          <w:shd w:val="clear" w:color="auto" w:fill="FFFFFF"/>
        </w:rPr>
        <w:t xml:space="preserve">.  With separate Government organisations it could not be properly applied.  </w:t>
      </w:r>
    </w:p>
    <w:p w14:paraId="7C977B42" w14:textId="2227810D" w:rsidR="005C2248" w:rsidRDefault="00257237" w:rsidP="00931787">
      <w:pPr>
        <w:spacing w:after="0"/>
        <w:rPr>
          <w:shd w:val="clear" w:color="auto" w:fill="FFFFFF"/>
        </w:rPr>
      </w:pPr>
      <w:r>
        <w:rPr>
          <w:shd w:val="clear" w:color="auto" w:fill="FFFFFF"/>
        </w:rPr>
        <w:lastRenderedPageBreak/>
        <w:t>The Commission also failed to appreciate that the fully commercial approach and corporatisation would have seen large increases in Budget outlays for commuter rail to provide for a return on capital.</w:t>
      </w:r>
      <w:r>
        <w:rPr>
          <w:rStyle w:val="FootnoteReference"/>
          <w:shd w:val="clear" w:color="auto" w:fill="FFFFFF"/>
        </w:rPr>
        <w:footnoteReference w:id="44"/>
      </w:r>
    </w:p>
    <w:p w14:paraId="5A609F51" w14:textId="77777777" w:rsidR="005C2248" w:rsidRDefault="005C2248" w:rsidP="00931787">
      <w:pPr>
        <w:spacing w:after="0"/>
        <w:rPr>
          <w:shd w:val="clear" w:color="auto" w:fill="FFFFFF"/>
        </w:rPr>
      </w:pPr>
    </w:p>
    <w:p w14:paraId="47CCC882" w14:textId="598744B9" w:rsidR="005C2248" w:rsidRPr="00A256A6" w:rsidRDefault="00B2105E" w:rsidP="00931787">
      <w:pPr>
        <w:pStyle w:val="Heading4"/>
        <w:rPr>
          <w:shd w:val="clear" w:color="auto" w:fill="FFFFFF"/>
        </w:rPr>
      </w:pPr>
      <w:r>
        <w:rPr>
          <w:shd w:val="clear" w:color="auto" w:fill="FFFFFF"/>
        </w:rPr>
        <w:t>3.4.5</w:t>
      </w:r>
      <w:r>
        <w:rPr>
          <w:shd w:val="clear" w:color="auto" w:fill="FFFFFF"/>
        </w:rPr>
        <w:tab/>
      </w:r>
      <w:r w:rsidR="005C2248" w:rsidRPr="00A256A6">
        <w:rPr>
          <w:shd w:val="clear" w:color="auto" w:fill="FFFFFF"/>
        </w:rPr>
        <w:t>Combination of deficiencies</w:t>
      </w:r>
    </w:p>
    <w:p w14:paraId="1634F427" w14:textId="33FF1D74" w:rsidR="005C2248" w:rsidRDefault="005C2248" w:rsidP="00931787">
      <w:pPr>
        <w:spacing w:after="0"/>
        <w:rPr>
          <w:shd w:val="clear" w:color="auto" w:fill="FFFFFF"/>
        </w:rPr>
      </w:pPr>
      <w:r>
        <w:rPr>
          <w:shd w:val="clear" w:color="auto" w:fill="FFFFFF"/>
        </w:rPr>
        <w:t xml:space="preserve">Combining the above, the Commission’s faith in commercial behaviour </w:t>
      </w:r>
      <w:r w:rsidR="00257237">
        <w:rPr>
          <w:shd w:val="clear" w:color="auto" w:fill="FFFFFF"/>
        </w:rPr>
        <w:t>was</w:t>
      </w:r>
      <w:r>
        <w:rPr>
          <w:shd w:val="clear" w:color="auto" w:fill="FFFFFF"/>
        </w:rPr>
        <w:t xml:space="preserve"> dangerously naive. </w:t>
      </w:r>
    </w:p>
    <w:p w14:paraId="0887363E" w14:textId="77777777" w:rsidR="005C2248" w:rsidRDefault="005C2248" w:rsidP="00931787">
      <w:pPr>
        <w:spacing w:after="0"/>
        <w:rPr>
          <w:shd w:val="clear" w:color="auto" w:fill="FFFFFF"/>
        </w:rPr>
      </w:pPr>
    </w:p>
    <w:p w14:paraId="4638933C" w14:textId="527A9CD2" w:rsidR="005C2248" w:rsidRDefault="005C2248" w:rsidP="00931787">
      <w:pPr>
        <w:spacing w:after="0"/>
        <w:rPr>
          <w:shd w:val="clear" w:color="auto" w:fill="FFFFFF"/>
        </w:rPr>
      </w:pPr>
      <w:r>
        <w:rPr>
          <w:shd w:val="clear" w:color="auto" w:fill="FFFFFF"/>
        </w:rPr>
        <w:t xml:space="preserve">The commercial approach in a publicly funded railway </w:t>
      </w:r>
      <w:r w:rsidR="00E33A77">
        <w:rPr>
          <w:shd w:val="clear" w:color="auto" w:fill="FFFFFF"/>
        </w:rPr>
        <w:t>has</w:t>
      </w:r>
      <w:r>
        <w:rPr>
          <w:shd w:val="clear" w:color="auto" w:fill="FFFFFF"/>
        </w:rPr>
        <w:t xml:space="preserve"> incentive</w:t>
      </w:r>
      <w:r w:rsidR="00B51AB0">
        <w:rPr>
          <w:shd w:val="clear" w:color="auto" w:fill="FFFFFF"/>
        </w:rPr>
        <w:t>s</w:t>
      </w:r>
      <w:r>
        <w:rPr>
          <w:shd w:val="clear" w:color="auto" w:fill="FFFFFF"/>
        </w:rPr>
        <w:t xml:space="preserve"> for asset stripping – degradation, via under-maintenance, of long-life infrastructure assets wh</w:t>
      </w:r>
      <w:r w:rsidR="00B51AB0">
        <w:rPr>
          <w:shd w:val="clear" w:color="auto" w:fill="FFFFFF"/>
        </w:rPr>
        <w:t>ich</w:t>
      </w:r>
      <w:r>
        <w:rPr>
          <w:shd w:val="clear" w:color="auto" w:fill="FFFFFF"/>
        </w:rPr>
        <w:t xml:space="preserve"> can be hidden (for some time) from ‘commercial’ monitoring.  Franchising and vertical separation exacerbates the effect.</w:t>
      </w:r>
      <w:r w:rsidR="00257237">
        <w:rPr>
          <w:rStyle w:val="FootnoteReference"/>
          <w:shd w:val="clear" w:color="auto" w:fill="FFFFFF"/>
        </w:rPr>
        <w:footnoteReference w:id="45"/>
      </w:r>
    </w:p>
    <w:p w14:paraId="03752CCF" w14:textId="77777777" w:rsidR="005C2248" w:rsidRDefault="005C2248" w:rsidP="00931787">
      <w:pPr>
        <w:spacing w:after="0"/>
        <w:rPr>
          <w:shd w:val="clear" w:color="auto" w:fill="FFFFFF"/>
        </w:rPr>
      </w:pPr>
    </w:p>
    <w:p w14:paraId="4144A3AB" w14:textId="1A536CE8" w:rsidR="005C2248" w:rsidRDefault="005C2248" w:rsidP="00931787">
      <w:pPr>
        <w:spacing w:after="0"/>
        <w:rPr>
          <w:shd w:val="clear" w:color="auto" w:fill="FFFFFF"/>
        </w:rPr>
      </w:pPr>
      <w:r>
        <w:rPr>
          <w:shd w:val="clear" w:color="auto" w:fill="FFFFFF"/>
        </w:rPr>
        <w:t>Th</w:t>
      </w:r>
      <w:r w:rsidR="005231BE">
        <w:rPr>
          <w:shd w:val="clear" w:color="auto" w:fill="FFFFFF"/>
        </w:rPr>
        <w:t>at</w:t>
      </w:r>
      <w:r>
        <w:rPr>
          <w:shd w:val="clear" w:color="auto" w:fill="FFFFFF"/>
        </w:rPr>
        <w:t xml:space="preserve"> was appreciated in the UK</w:t>
      </w:r>
      <w:r w:rsidR="00B2105E">
        <w:rPr>
          <w:shd w:val="clear" w:color="auto" w:fill="FFFFFF"/>
        </w:rPr>
        <w:t xml:space="preserve"> structural changes.  The</w:t>
      </w:r>
      <w:r>
        <w:rPr>
          <w:shd w:val="clear" w:color="auto" w:fill="FFFFFF"/>
        </w:rPr>
        <w:t xml:space="preserve">re privatisation involved a specialist regulator for the level and use of aggregate infrastructure (access) charges.  </w:t>
      </w:r>
      <w:r w:rsidR="0028727C">
        <w:rPr>
          <w:shd w:val="clear" w:color="auto" w:fill="FFFFFF"/>
        </w:rPr>
        <w:t>UK rail p</w:t>
      </w:r>
      <w:r>
        <w:rPr>
          <w:shd w:val="clear" w:color="auto" w:fill="FFFFFF"/>
        </w:rPr>
        <w:t xml:space="preserve">rivatisation also involved ‘grossing-up’ subsidies - and access charges - such that deterioration in the condition of infrastructure assets would appear in published accounts as reduced asset values and losses.  The hope was this would encourage action by shareholders of infrastructure stock.   </w:t>
      </w:r>
    </w:p>
    <w:p w14:paraId="01479FE1" w14:textId="77777777" w:rsidR="005C2248" w:rsidRDefault="005C2248" w:rsidP="00931787">
      <w:pPr>
        <w:spacing w:after="0"/>
        <w:rPr>
          <w:shd w:val="clear" w:color="auto" w:fill="FFFFFF"/>
        </w:rPr>
      </w:pPr>
    </w:p>
    <w:p w14:paraId="15018701" w14:textId="1F911EA8" w:rsidR="009B57C2" w:rsidRDefault="005C2248" w:rsidP="00931787">
      <w:pPr>
        <w:spacing w:after="0"/>
        <w:rPr>
          <w:shd w:val="clear" w:color="auto" w:fill="FFFFFF"/>
        </w:rPr>
      </w:pPr>
      <w:r>
        <w:rPr>
          <w:shd w:val="clear" w:color="auto" w:fill="FFFFFF"/>
        </w:rPr>
        <w:t xml:space="preserve">However, even with these </w:t>
      </w:r>
      <w:r w:rsidR="008F4934">
        <w:rPr>
          <w:shd w:val="clear" w:color="auto" w:fill="FFFFFF"/>
        </w:rPr>
        <w:t xml:space="preserve">hopes and </w:t>
      </w:r>
      <w:r>
        <w:rPr>
          <w:shd w:val="clear" w:color="auto" w:fill="FFFFFF"/>
        </w:rPr>
        <w:t xml:space="preserve">protections – which did not and do not exist in NSW - within two years of the </w:t>
      </w:r>
      <w:r w:rsidR="00B2105E">
        <w:rPr>
          <w:shd w:val="clear" w:color="auto" w:fill="FFFFFF"/>
        </w:rPr>
        <w:t xml:space="preserve">Productivity </w:t>
      </w:r>
      <w:r>
        <w:rPr>
          <w:shd w:val="clear" w:color="auto" w:fill="FFFFFF"/>
        </w:rPr>
        <w:t xml:space="preserve">Commission’s report, the UK’s track owner </w:t>
      </w:r>
      <w:r w:rsidR="00257237">
        <w:rPr>
          <w:shd w:val="clear" w:color="auto" w:fill="FFFFFF"/>
        </w:rPr>
        <w:t xml:space="preserve">RailTrack </w:t>
      </w:r>
      <w:r>
        <w:rPr>
          <w:shd w:val="clear" w:color="auto" w:fill="FFFFFF"/>
        </w:rPr>
        <w:t xml:space="preserve">had been found to have </w:t>
      </w:r>
      <w:r w:rsidR="00113DB9">
        <w:rPr>
          <w:shd w:val="clear" w:color="auto" w:fill="FFFFFF"/>
        </w:rPr>
        <w:t xml:space="preserve">some </w:t>
      </w:r>
      <w:r>
        <w:rPr>
          <w:shd w:val="clear" w:color="auto" w:fill="FFFFFF"/>
        </w:rPr>
        <w:t xml:space="preserve">responsibility for major </w:t>
      </w:r>
      <w:r w:rsidR="00B443CC">
        <w:rPr>
          <w:shd w:val="clear" w:color="auto" w:fill="FFFFFF"/>
        </w:rPr>
        <w:t>crashes</w:t>
      </w:r>
      <w:r w:rsidR="00257237">
        <w:rPr>
          <w:shd w:val="clear" w:color="auto" w:fill="FFFFFF"/>
        </w:rPr>
        <w:t xml:space="preserve">.  </w:t>
      </w:r>
    </w:p>
    <w:p w14:paraId="2E3C85AB" w14:textId="77777777" w:rsidR="009B57C2" w:rsidRDefault="009B57C2" w:rsidP="00931787">
      <w:pPr>
        <w:spacing w:after="0"/>
        <w:rPr>
          <w:shd w:val="clear" w:color="auto" w:fill="FFFFFF"/>
        </w:rPr>
      </w:pPr>
    </w:p>
    <w:p w14:paraId="33CD3C87" w14:textId="42788630" w:rsidR="005C2248" w:rsidRDefault="00B443CC" w:rsidP="00931787">
      <w:pPr>
        <w:spacing w:after="0"/>
        <w:rPr>
          <w:shd w:val="clear" w:color="auto" w:fill="FFFFFF"/>
        </w:rPr>
      </w:pPr>
      <w:r>
        <w:rPr>
          <w:shd w:val="clear" w:color="auto" w:fill="FFFFFF"/>
        </w:rPr>
        <w:t xml:space="preserve">An interesting </w:t>
      </w:r>
      <w:r w:rsidR="00E33A77">
        <w:rPr>
          <w:shd w:val="clear" w:color="auto" w:fill="FFFFFF"/>
        </w:rPr>
        <w:t>fact</w:t>
      </w:r>
      <w:r>
        <w:rPr>
          <w:shd w:val="clear" w:color="auto" w:fill="FFFFFF"/>
        </w:rPr>
        <w:t xml:space="preserve"> </w:t>
      </w:r>
      <w:r w:rsidR="00E33A77">
        <w:rPr>
          <w:shd w:val="clear" w:color="auto" w:fill="FFFFFF"/>
        </w:rPr>
        <w:t xml:space="preserve">about the ‘commercial approach’ </w:t>
      </w:r>
      <w:r w:rsidR="008F4934">
        <w:rPr>
          <w:shd w:val="clear" w:color="auto" w:fill="FFFFFF"/>
        </w:rPr>
        <w:t>noted in the Policy SPAD article was</w:t>
      </w:r>
      <w:r>
        <w:rPr>
          <w:shd w:val="clear" w:color="auto" w:fill="FFFFFF"/>
        </w:rPr>
        <w:t xml:space="preserve"> </w:t>
      </w:r>
      <w:r w:rsidR="009B57C2">
        <w:rPr>
          <w:shd w:val="clear" w:color="auto" w:fill="FFFFFF"/>
        </w:rPr>
        <w:t>RailTrack</w:t>
      </w:r>
      <w:r w:rsidR="009B57C2">
        <w:t xml:space="preserve"> behaved more ‘commercially’ than </w:t>
      </w:r>
      <w:r w:rsidR="008F4934">
        <w:t>many</w:t>
      </w:r>
      <w:r w:rsidR="009B57C2">
        <w:t xml:space="preserve"> expected</w:t>
      </w:r>
      <w:r w:rsidR="008F4934">
        <w:t xml:space="preserve">.  In the year after the Hatfield crash, when it made a loss of $980m, it </w:t>
      </w:r>
      <w:r w:rsidR="009B57C2">
        <w:t>issu</w:t>
      </w:r>
      <w:r w:rsidR="008F4934">
        <w:t>ed</w:t>
      </w:r>
      <w:r w:rsidR="009B57C2">
        <w:t xml:space="preserve"> a $250m dividend to shareholders</w:t>
      </w:r>
      <w:r w:rsidR="008F4934">
        <w:t>.  This was</w:t>
      </w:r>
      <w:r w:rsidR="009B57C2">
        <w:t xml:space="preserve"> just </w:t>
      </w:r>
      <w:r w:rsidR="009B57C2" w:rsidRPr="00872962">
        <w:rPr>
          <w:i/>
          <w:iCs/>
        </w:rPr>
        <w:t>after</w:t>
      </w:r>
      <w:r w:rsidR="009B57C2">
        <w:t xml:space="preserve"> it had gained an early advance of $2,750m from the Government and when it was seeking $3,660m more from the same source.</w:t>
      </w:r>
      <w:r w:rsidR="009A1CF2">
        <w:t xml:space="preserve">  This is consistent with the point made in the Special Commission of Inquiry </w:t>
      </w:r>
      <w:r w:rsidR="00C073C4">
        <w:t xml:space="preserve">into Sydney Ferries </w:t>
      </w:r>
      <w:r w:rsidR="009A1CF2">
        <w:t xml:space="preserve">that organisations providing essential services via the Government </w:t>
      </w:r>
      <w:r w:rsidR="00C073C4">
        <w:t>take more notice of their shareholders than customers – if the customers can’t or won’t sue.</w:t>
      </w:r>
      <w:r w:rsidR="008F4934">
        <w:rPr>
          <w:rStyle w:val="FootnoteReference"/>
        </w:rPr>
        <w:footnoteReference w:id="46"/>
      </w:r>
      <w:r w:rsidR="009B57C2">
        <w:t xml:space="preserve">  </w:t>
      </w:r>
    </w:p>
    <w:p w14:paraId="6397CCF3" w14:textId="77777777" w:rsidR="005C2248" w:rsidRDefault="005C2248" w:rsidP="00931787">
      <w:pPr>
        <w:spacing w:after="0"/>
        <w:rPr>
          <w:shd w:val="clear" w:color="auto" w:fill="FFFFFF"/>
        </w:rPr>
      </w:pPr>
    </w:p>
    <w:p w14:paraId="519E7DAD" w14:textId="77777777" w:rsidR="005C2248" w:rsidRDefault="005C2248" w:rsidP="00931787">
      <w:pPr>
        <w:spacing w:after="0"/>
        <w:rPr>
          <w:shd w:val="clear" w:color="auto" w:fill="FFFFFF"/>
        </w:rPr>
      </w:pPr>
      <w:r>
        <w:rPr>
          <w:shd w:val="clear" w:color="auto" w:fill="FFFFFF"/>
        </w:rPr>
        <w:t>Indications are Rail Access would have financially failed in the same timeframe - if it had been subject to properly commercial access contracts - without major injection of Government funds to restore the metropolitan and regional rail networks.  The Glenbrook Commission’s sector structure recommendations helped to avert this situation.</w:t>
      </w:r>
      <w:r>
        <w:rPr>
          <w:rStyle w:val="FootnoteReference"/>
          <w:shd w:val="clear" w:color="auto" w:fill="FFFFFF"/>
        </w:rPr>
        <w:footnoteReference w:id="47"/>
      </w:r>
    </w:p>
    <w:p w14:paraId="48482D83" w14:textId="77777777" w:rsidR="005C2248" w:rsidRDefault="005C2248" w:rsidP="00931787">
      <w:pPr>
        <w:spacing w:after="0"/>
        <w:rPr>
          <w:shd w:val="clear" w:color="auto" w:fill="FFFFFF"/>
        </w:rPr>
      </w:pPr>
    </w:p>
    <w:p w14:paraId="1406E85D" w14:textId="5802B505" w:rsidR="005C2248" w:rsidRDefault="005C2248" w:rsidP="00931787">
      <w:pPr>
        <w:pStyle w:val="Heading3"/>
        <w:rPr>
          <w:shd w:val="clear" w:color="auto" w:fill="FFFFFF"/>
        </w:rPr>
      </w:pPr>
      <w:bookmarkStart w:id="11" w:name="_Toc93085759"/>
      <w:r>
        <w:rPr>
          <w:shd w:val="clear" w:color="auto" w:fill="FFFFFF"/>
        </w:rPr>
        <w:t>3.5</w:t>
      </w:r>
      <w:r>
        <w:rPr>
          <w:shd w:val="clear" w:color="auto" w:fill="FFFFFF"/>
        </w:rPr>
        <w:tab/>
        <w:t xml:space="preserve">Post </w:t>
      </w:r>
      <w:r w:rsidR="00DB3675">
        <w:rPr>
          <w:i/>
          <w:iCs/>
          <w:shd w:val="clear" w:color="auto" w:fill="FFFFFF"/>
        </w:rPr>
        <w:t>P</w:t>
      </w:r>
      <w:r w:rsidRPr="00DB3675">
        <w:rPr>
          <w:i/>
          <w:iCs/>
          <w:shd w:val="clear" w:color="auto" w:fill="FFFFFF"/>
        </w:rPr>
        <w:t xml:space="preserve">rogress in </w:t>
      </w:r>
      <w:r w:rsidR="00DB3675">
        <w:rPr>
          <w:i/>
          <w:iCs/>
          <w:shd w:val="clear" w:color="auto" w:fill="FFFFFF"/>
        </w:rPr>
        <w:t>R</w:t>
      </w:r>
      <w:r w:rsidRPr="00DB3675">
        <w:rPr>
          <w:i/>
          <w:iCs/>
          <w:shd w:val="clear" w:color="auto" w:fill="FFFFFF"/>
        </w:rPr>
        <w:t xml:space="preserve">ail </w:t>
      </w:r>
      <w:r w:rsidR="00DB3675">
        <w:rPr>
          <w:i/>
          <w:iCs/>
          <w:shd w:val="clear" w:color="auto" w:fill="FFFFFF"/>
        </w:rPr>
        <w:t>R</w:t>
      </w:r>
      <w:r w:rsidRPr="00DB3675">
        <w:rPr>
          <w:i/>
          <w:iCs/>
          <w:shd w:val="clear" w:color="auto" w:fill="FFFFFF"/>
        </w:rPr>
        <w:t>eform</w:t>
      </w:r>
      <w:r>
        <w:rPr>
          <w:shd w:val="clear" w:color="auto" w:fill="FFFFFF"/>
        </w:rPr>
        <w:t xml:space="preserve"> to road reform</w:t>
      </w:r>
      <w:bookmarkEnd w:id="11"/>
    </w:p>
    <w:p w14:paraId="1E2E1D69" w14:textId="0D14EB84" w:rsidR="00B06092" w:rsidRDefault="00B06092" w:rsidP="00931787">
      <w:pPr>
        <w:pStyle w:val="Heading4"/>
        <w:rPr>
          <w:shd w:val="clear" w:color="auto" w:fill="FFFFFF"/>
        </w:rPr>
      </w:pPr>
      <w:r>
        <w:rPr>
          <w:shd w:val="clear" w:color="auto" w:fill="FFFFFF"/>
        </w:rPr>
        <w:t>3.5.1</w:t>
      </w:r>
      <w:r>
        <w:rPr>
          <w:shd w:val="clear" w:color="auto" w:fill="FFFFFF"/>
        </w:rPr>
        <w:tab/>
        <w:t>Glenbrook Commission</w:t>
      </w:r>
    </w:p>
    <w:p w14:paraId="107F6B3E" w14:textId="77777777" w:rsidR="00C073C4" w:rsidRDefault="005C2248" w:rsidP="00931787">
      <w:pPr>
        <w:spacing w:after="0"/>
        <w:rPr>
          <w:shd w:val="clear" w:color="auto" w:fill="FFFFFF"/>
        </w:rPr>
      </w:pPr>
      <w:r>
        <w:rPr>
          <w:shd w:val="clear" w:color="auto" w:fill="FFFFFF"/>
        </w:rPr>
        <w:t>The Glenbrook Commission 2</w:t>
      </w:r>
      <w:r w:rsidRPr="00690DC5">
        <w:rPr>
          <w:shd w:val="clear" w:color="auto" w:fill="FFFFFF"/>
          <w:vertAlign w:val="superscript"/>
        </w:rPr>
        <w:t>nd</w:t>
      </w:r>
      <w:r>
        <w:rPr>
          <w:shd w:val="clear" w:color="auto" w:fill="FFFFFF"/>
        </w:rPr>
        <w:t xml:space="preserve"> interim report </w:t>
      </w:r>
      <w:r w:rsidR="00B06092">
        <w:rPr>
          <w:shd w:val="clear" w:color="auto" w:fill="FFFFFF"/>
        </w:rPr>
        <w:t xml:space="preserve">(2000) </w:t>
      </w:r>
      <w:r>
        <w:rPr>
          <w:shd w:val="clear" w:color="auto" w:fill="FFFFFF"/>
        </w:rPr>
        <w:t xml:space="preserve">noted the Productivity Commission’s recommendation of </w:t>
      </w:r>
      <w:r w:rsidR="00B2105E">
        <w:rPr>
          <w:shd w:val="clear" w:color="auto" w:fill="FFFFFF"/>
        </w:rPr>
        <w:t>vertical integration for commuter railways</w:t>
      </w:r>
      <w:r>
        <w:rPr>
          <w:shd w:val="clear" w:color="auto" w:fill="FFFFFF"/>
        </w:rPr>
        <w:t xml:space="preserve">.  </w:t>
      </w:r>
    </w:p>
    <w:p w14:paraId="680CEF3B" w14:textId="1FF32604" w:rsidR="005C2248" w:rsidRDefault="00B2105E" w:rsidP="00931787">
      <w:pPr>
        <w:spacing w:after="0"/>
        <w:rPr>
          <w:shd w:val="clear" w:color="auto" w:fill="FFFFFF"/>
        </w:rPr>
      </w:pPr>
      <w:r>
        <w:rPr>
          <w:shd w:val="clear" w:color="auto" w:fill="FFFFFF"/>
        </w:rPr>
        <w:lastRenderedPageBreak/>
        <w:t>While</w:t>
      </w:r>
      <w:r w:rsidR="005C2248">
        <w:rPr>
          <w:shd w:val="clear" w:color="auto" w:fill="FFFFFF"/>
        </w:rPr>
        <w:t xml:space="preserve">, </w:t>
      </w:r>
      <w:r w:rsidR="00C073C4">
        <w:rPr>
          <w:shd w:val="clear" w:color="auto" w:fill="FFFFFF"/>
        </w:rPr>
        <w:t xml:space="preserve">the Glenbrook Commission </w:t>
      </w:r>
      <w:r w:rsidR="005C2248">
        <w:rPr>
          <w:shd w:val="clear" w:color="auto" w:fill="FFFFFF"/>
        </w:rPr>
        <w:t xml:space="preserve">it did not endorse </w:t>
      </w:r>
      <w:r>
        <w:rPr>
          <w:shd w:val="clear" w:color="auto" w:fill="FFFFFF"/>
        </w:rPr>
        <w:t xml:space="preserve">the recommendation, </w:t>
      </w:r>
      <w:r w:rsidR="00B06092">
        <w:rPr>
          <w:shd w:val="clear" w:color="auto" w:fill="FFFFFF"/>
        </w:rPr>
        <w:t>i</w:t>
      </w:r>
      <w:r w:rsidR="005C2248">
        <w:rPr>
          <w:shd w:val="clear" w:color="auto" w:fill="FFFFFF"/>
        </w:rPr>
        <w:t>t observed other States had not disaggregate</w:t>
      </w:r>
      <w:r w:rsidR="00334E75">
        <w:rPr>
          <w:shd w:val="clear" w:color="auto" w:fill="FFFFFF"/>
        </w:rPr>
        <w:t>d</w:t>
      </w:r>
      <w:r w:rsidR="005C2248">
        <w:rPr>
          <w:shd w:val="clear" w:color="auto" w:fill="FFFFFF"/>
        </w:rPr>
        <w:t xml:space="preserve"> their railways to the extent of NSW.  It comment</w:t>
      </w:r>
      <w:r w:rsidR="00F41EF4">
        <w:rPr>
          <w:shd w:val="clear" w:color="auto" w:fill="FFFFFF"/>
        </w:rPr>
        <w:t>ed</w:t>
      </w:r>
      <w:r w:rsidR="005C2248">
        <w:rPr>
          <w:shd w:val="clear" w:color="auto" w:fill="FFFFFF"/>
        </w:rPr>
        <w:t xml:space="preserve"> the NSW rail changes were the product of ideology.</w:t>
      </w:r>
      <w:r w:rsidR="005C2248">
        <w:rPr>
          <w:rStyle w:val="FootnoteReference"/>
          <w:shd w:val="clear" w:color="auto" w:fill="FFFFFF"/>
        </w:rPr>
        <w:footnoteReference w:id="48"/>
      </w:r>
    </w:p>
    <w:p w14:paraId="53429428" w14:textId="77777777" w:rsidR="005C2248" w:rsidRDefault="005C2248" w:rsidP="00931787">
      <w:pPr>
        <w:spacing w:after="0"/>
        <w:rPr>
          <w:shd w:val="clear" w:color="auto" w:fill="FFFFFF"/>
        </w:rPr>
      </w:pPr>
    </w:p>
    <w:p w14:paraId="4F58ABC4" w14:textId="77777777" w:rsidR="00B06092" w:rsidRDefault="00B06092" w:rsidP="00931787">
      <w:pPr>
        <w:pStyle w:val="Heading4"/>
        <w:rPr>
          <w:shd w:val="clear" w:color="auto" w:fill="FFFFFF"/>
        </w:rPr>
      </w:pPr>
      <w:r>
        <w:rPr>
          <w:shd w:val="clear" w:color="auto" w:fill="FFFFFF"/>
        </w:rPr>
        <w:t>3.5.2</w:t>
      </w:r>
      <w:r>
        <w:rPr>
          <w:shd w:val="clear" w:color="auto" w:fill="FFFFFF"/>
        </w:rPr>
        <w:tab/>
        <w:t>Productivity Commission review of competition policy</w:t>
      </w:r>
    </w:p>
    <w:p w14:paraId="3C3AA7AF" w14:textId="5C7136B8" w:rsidR="005C2248" w:rsidRDefault="005C2248" w:rsidP="00931787">
      <w:pPr>
        <w:spacing w:after="0"/>
        <w:rPr>
          <w:shd w:val="clear" w:color="auto" w:fill="FFFFFF"/>
        </w:rPr>
      </w:pPr>
      <w:r>
        <w:rPr>
          <w:shd w:val="clear" w:color="auto" w:fill="FFFFFF"/>
        </w:rPr>
        <w:t>In February 2005, the Productivity Commission published a review of the national competition policy.  It found national economic gains had been made and further gains were in prospect if ‘reform’ continued.</w:t>
      </w:r>
      <w:r w:rsidR="00334E75">
        <w:rPr>
          <w:rStyle w:val="FootnoteReference"/>
          <w:shd w:val="clear" w:color="auto" w:fill="FFFFFF"/>
        </w:rPr>
        <w:footnoteReference w:id="49"/>
      </w:r>
    </w:p>
    <w:p w14:paraId="313FC6A8" w14:textId="77777777" w:rsidR="005C2248" w:rsidRDefault="005C2248" w:rsidP="00931787">
      <w:pPr>
        <w:spacing w:after="0"/>
        <w:rPr>
          <w:shd w:val="clear" w:color="auto" w:fill="FFFFFF"/>
        </w:rPr>
      </w:pPr>
    </w:p>
    <w:p w14:paraId="76B4EBF3" w14:textId="1F4D9176" w:rsidR="005C2248" w:rsidRDefault="005C2248" w:rsidP="00931787">
      <w:pPr>
        <w:spacing w:after="0"/>
        <w:rPr>
          <w:shd w:val="clear" w:color="auto" w:fill="FFFFFF"/>
        </w:rPr>
      </w:pPr>
      <w:r>
        <w:rPr>
          <w:shd w:val="clear" w:color="auto" w:fill="FFFFFF"/>
        </w:rPr>
        <w:t>For transport</w:t>
      </w:r>
      <w:r w:rsidR="00B06092">
        <w:rPr>
          <w:shd w:val="clear" w:color="auto" w:fill="FFFFFF"/>
        </w:rPr>
        <w:t>,</w:t>
      </w:r>
      <w:r>
        <w:rPr>
          <w:shd w:val="clear" w:color="auto" w:fill="FFFFFF"/>
        </w:rPr>
        <w:t xml:space="preserve"> it considered the top priorities were greater national consistency in freight.  </w:t>
      </w:r>
      <w:r w:rsidR="00F41EF4">
        <w:rPr>
          <w:shd w:val="clear" w:color="auto" w:fill="FFFFFF"/>
        </w:rPr>
        <w:t>It</w:t>
      </w:r>
      <w:r>
        <w:rPr>
          <w:shd w:val="clear" w:color="auto" w:fill="FFFFFF"/>
        </w:rPr>
        <w:t xml:space="preserve"> was less certain about passenger transport.  It recommended separate reviews for each, with a priority for freight ‘infrastructure pricing’.</w:t>
      </w:r>
    </w:p>
    <w:p w14:paraId="15CCD014" w14:textId="77777777" w:rsidR="005C2248" w:rsidRDefault="005C2248" w:rsidP="00931787">
      <w:pPr>
        <w:spacing w:after="0"/>
        <w:rPr>
          <w:shd w:val="clear" w:color="auto" w:fill="FFFFFF"/>
        </w:rPr>
      </w:pPr>
    </w:p>
    <w:p w14:paraId="6D573A0C" w14:textId="12F04F1E" w:rsidR="005C2248" w:rsidRDefault="00B06092" w:rsidP="00931787">
      <w:pPr>
        <w:spacing w:after="0"/>
        <w:rPr>
          <w:shd w:val="clear" w:color="auto" w:fill="FFFFFF"/>
        </w:rPr>
      </w:pPr>
      <w:r>
        <w:rPr>
          <w:shd w:val="clear" w:color="auto" w:fill="FFFFFF"/>
        </w:rPr>
        <w:t>The review</w:t>
      </w:r>
      <w:r w:rsidR="005C2248">
        <w:rPr>
          <w:shd w:val="clear" w:color="auto" w:fill="FFFFFF"/>
        </w:rPr>
        <w:t xml:space="preserve"> purported to give examples of changes in governance for rail:</w:t>
      </w:r>
    </w:p>
    <w:p w14:paraId="465AD3B2" w14:textId="77777777" w:rsidR="005C2248" w:rsidRPr="00CD2EA4" w:rsidRDefault="005C2248" w:rsidP="00931787">
      <w:pPr>
        <w:spacing w:after="0"/>
        <w:ind w:left="720"/>
        <w:rPr>
          <w:i/>
          <w:iCs/>
        </w:rPr>
      </w:pPr>
      <w:r w:rsidRPr="00CD2EA4">
        <w:rPr>
          <w:i/>
          <w:iCs/>
        </w:rPr>
        <w:t xml:space="preserve">‘Substantial structural reform in the rail sector occurred during the 1990s, especially in Victoria and New South Wales. Structural separation of the formerly vertically integrated public monopolies has occurred in both States, with Victoria opting to privatise freight services and franchise its passenger services. In contrast, New South Wales has adopted a corporatisation model for all its separated government business units.’ </w:t>
      </w:r>
      <w:r>
        <w:rPr>
          <w:rStyle w:val="FootnoteReference"/>
          <w:i/>
          <w:iCs/>
        </w:rPr>
        <w:footnoteReference w:id="50"/>
      </w:r>
    </w:p>
    <w:p w14:paraId="25783EE3" w14:textId="77777777" w:rsidR="005C2248" w:rsidRDefault="005C2248" w:rsidP="00931787">
      <w:pPr>
        <w:spacing w:after="0"/>
      </w:pPr>
    </w:p>
    <w:p w14:paraId="2FCAA1F1" w14:textId="77777777" w:rsidR="00F41EF4" w:rsidRDefault="005C2248" w:rsidP="00931787">
      <w:pPr>
        <w:spacing w:after="0"/>
      </w:pPr>
      <w:r>
        <w:t>Th</w:t>
      </w:r>
      <w:r w:rsidR="00B06092">
        <w:t>at was</w:t>
      </w:r>
      <w:r>
        <w:t xml:space="preserve"> close to disingenuous.  The defining characteristic of NSW rail at that time – just after the release of the Waterfall Commission final report – was backtracking the structural changes made </w:t>
      </w:r>
      <w:r w:rsidR="00F41EF4">
        <w:t xml:space="preserve">to commuter rail </w:t>
      </w:r>
      <w:r>
        <w:t>in 1996</w:t>
      </w:r>
      <w:r w:rsidR="00B06092">
        <w:t>.  It was</w:t>
      </w:r>
      <w:r>
        <w:t xml:space="preserve"> the reintegration of separated government business units.  </w:t>
      </w:r>
    </w:p>
    <w:p w14:paraId="7AB39DF8" w14:textId="77777777" w:rsidR="00F41EF4" w:rsidRDefault="00F41EF4" w:rsidP="00931787">
      <w:pPr>
        <w:spacing w:after="0"/>
      </w:pPr>
    </w:p>
    <w:p w14:paraId="11116189" w14:textId="41326CEE" w:rsidR="005C2248" w:rsidRDefault="005C2248" w:rsidP="00931787">
      <w:pPr>
        <w:spacing w:after="0"/>
      </w:pPr>
      <w:r>
        <w:t xml:space="preserve">Among the many ‘lessons’ </w:t>
      </w:r>
      <w:r w:rsidR="00B06092">
        <w:t xml:space="preserve">drawn by the </w:t>
      </w:r>
      <w:r w:rsidR="00334E75">
        <w:t>review</w:t>
      </w:r>
      <w:r w:rsidR="0039740C">
        <w:t xml:space="preserve"> </w:t>
      </w:r>
      <w:r w:rsidR="00B06092">
        <w:t xml:space="preserve">extraordinarily </w:t>
      </w:r>
      <w:r>
        <w:t>there was no mention of rail crashes or findings of Special Commissions into structural matters.</w:t>
      </w:r>
      <w:r w:rsidR="00F41EF4">
        <w:rPr>
          <w:rStyle w:val="FootnoteReference"/>
        </w:rPr>
        <w:footnoteReference w:id="51"/>
      </w:r>
      <w:r>
        <w:t xml:space="preserve">  </w:t>
      </w:r>
    </w:p>
    <w:p w14:paraId="62D77ACB" w14:textId="77777777" w:rsidR="005C2248" w:rsidRDefault="005C2248" w:rsidP="00931787">
      <w:pPr>
        <w:spacing w:after="0"/>
      </w:pPr>
    </w:p>
    <w:p w14:paraId="2CA62707" w14:textId="77777777" w:rsidR="0039740C" w:rsidRDefault="001E43B2" w:rsidP="00931787">
      <w:pPr>
        <w:spacing w:after="0"/>
      </w:pPr>
      <w:r>
        <w:t>W</w:t>
      </w:r>
      <w:r w:rsidR="005C2248">
        <w:t>hile the Productivity Commission re</w:t>
      </w:r>
      <w:r>
        <w:t>view</w:t>
      </w:r>
      <w:r w:rsidR="005C2248">
        <w:t xml:space="preserve"> commented extensively on road transport</w:t>
      </w:r>
      <w:r>
        <w:t>,</w:t>
      </w:r>
      <w:r w:rsidR="005C2248">
        <w:t xml:space="preserve"> </w:t>
      </w:r>
      <w:r>
        <w:t>utilities</w:t>
      </w:r>
      <w:r w:rsidR="005C2248">
        <w:t xml:space="preserve"> and the national access regime it had virtually nothing to say about commuter rail.</w:t>
      </w:r>
    </w:p>
    <w:p w14:paraId="7F8E9628" w14:textId="4689B9B5" w:rsidR="005C2248" w:rsidRDefault="005C2248" w:rsidP="00931787">
      <w:pPr>
        <w:spacing w:after="0"/>
        <w:rPr>
          <w:shd w:val="clear" w:color="auto" w:fill="FFFFFF"/>
        </w:rPr>
      </w:pPr>
      <w:r>
        <w:t xml:space="preserve">  </w:t>
      </w:r>
      <w:r>
        <w:rPr>
          <w:shd w:val="clear" w:color="auto" w:fill="FFFFFF"/>
        </w:rPr>
        <w:t xml:space="preserve">  </w:t>
      </w:r>
    </w:p>
    <w:p w14:paraId="0E76488F" w14:textId="608FADA5" w:rsidR="00B06092" w:rsidRDefault="00B06092" w:rsidP="005231BE">
      <w:pPr>
        <w:pStyle w:val="Heading4"/>
        <w:rPr>
          <w:shd w:val="clear" w:color="auto" w:fill="FFFFFF"/>
        </w:rPr>
      </w:pPr>
      <w:r>
        <w:rPr>
          <w:shd w:val="clear" w:color="auto" w:fill="FFFFFF"/>
        </w:rPr>
        <w:t>3.5.3</w:t>
      </w:r>
      <w:r>
        <w:rPr>
          <w:shd w:val="clear" w:color="auto" w:fill="FFFFFF"/>
        </w:rPr>
        <w:tab/>
        <w:t>Competition and infrastructure reform agreement</w:t>
      </w:r>
    </w:p>
    <w:p w14:paraId="1A6373CD" w14:textId="77777777" w:rsidR="005C2248" w:rsidRDefault="005C2248" w:rsidP="00931787">
      <w:pPr>
        <w:spacing w:after="0"/>
        <w:rPr>
          <w:shd w:val="clear" w:color="auto" w:fill="FFFFFF"/>
        </w:rPr>
      </w:pPr>
      <w:r>
        <w:rPr>
          <w:shd w:val="clear" w:color="auto" w:fill="FFFFFF"/>
        </w:rPr>
        <w:t>A further review of competition policy for the Council of Australian Governments was completed in 2006.  It was conducted by officials and the National Competition Council.</w:t>
      </w:r>
      <w:r>
        <w:rPr>
          <w:rStyle w:val="FootnoteReference"/>
          <w:shd w:val="clear" w:color="auto" w:fill="FFFFFF"/>
        </w:rPr>
        <w:footnoteReference w:id="52"/>
      </w:r>
    </w:p>
    <w:p w14:paraId="745E4D8C" w14:textId="77777777" w:rsidR="005C2248" w:rsidRDefault="005C2248" w:rsidP="00931787">
      <w:pPr>
        <w:spacing w:after="0"/>
        <w:rPr>
          <w:shd w:val="clear" w:color="auto" w:fill="FFFFFF"/>
        </w:rPr>
      </w:pPr>
    </w:p>
    <w:p w14:paraId="60D1D809" w14:textId="77777777" w:rsidR="005C2248" w:rsidRDefault="005C2248" w:rsidP="00931787">
      <w:pPr>
        <w:spacing w:after="0"/>
        <w:rPr>
          <w:shd w:val="clear" w:color="auto" w:fill="FFFFFF"/>
        </w:rPr>
      </w:pPr>
      <w:r>
        <w:rPr>
          <w:shd w:val="clear" w:color="auto" w:fill="FFFFFF"/>
        </w:rPr>
        <w:t xml:space="preserve">It led to another intergovernmental agreement - </w:t>
      </w:r>
      <w:r w:rsidRPr="00102F8F">
        <w:rPr>
          <w:i/>
          <w:iCs/>
          <w:shd w:val="clear" w:color="auto" w:fill="FFFFFF"/>
        </w:rPr>
        <w:t>Competition and Infrastructure Reform Agreement</w:t>
      </w:r>
      <w:r>
        <w:rPr>
          <w:shd w:val="clear" w:color="auto" w:fill="FFFFFF"/>
        </w:rPr>
        <w:t xml:space="preserve">. </w:t>
      </w:r>
    </w:p>
    <w:p w14:paraId="6D59CBED" w14:textId="77777777" w:rsidR="005C2248" w:rsidRDefault="005C2248" w:rsidP="00931787">
      <w:pPr>
        <w:spacing w:after="0"/>
        <w:rPr>
          <w:shd w:val="clear" w:color="auto" w:fill="FFFFFF"/>
        </w:rPr>
      </w:pPr>
    </w:p>
    <w:p w14:paraId="5B88EB07" w14:textId="77777777" w:rsidR="00C073C4" w:rsidRDefault="005C2248" w:rsidP="00931787">
      <w:pPr>
        <w:spacing w:after="0"/>
        <w:rPr>
          <w:shd w:val="clear" w:color="auto" w:fill="FFFFFF"/>
        </w:rPr>
      </w:pPr>
      <w:r>
        <w:rPr>
          <w:shd w:val="clear" w:color="auto" w:fill="FFFFFF"/>
        </w:rPr>
        <w:t xml:space="preserve">For transport this said, and did, little apart from asking for a review of efficient pricing of road and rail infrastructure.  </w:t>
      </w:r>
    </w:p>
    <w:p w14:paraId="28F12A33" w14:textId="27AD6186" w:rsidR="005C2248" w:rsidRDefault="00C073C4" w:rsidP="00931787">
      <w:pPr>
        <w:spacing w:after="0"/>
        <w:rPr>
          <w:shd w:val="clear" w:color="auto" w:fill="FFFFFF"/>
        </w:rPr>
      </w:pPr>
      <w:r>
        <w:rPr>
          <w:shd w:val="clear" w:color="auto" w:fill="FFFFFF"/>
        </w:rPr>
        <w:lastRenderedPageBreak/>
        <w:t xml:space="preserve">The </w:t>
      </w:r>
      <w:r w:rsidRPr="00C073C4">
        <w:rPr>
          <w:i/>
          <w:iCs/>
          <w:shd w:val="clear" w:color="auto" w:fill="FFFFFF"/>
        </w:rPr>
        <w:t xml:space="preserve">Agreement </w:t>
      </w:r>
      <w:r w:rsidR="005C2248">
        <w:rPr>
          <w:shd w:val="clear" w:color="auto" w:fill="FFFFFF"/>
        </w:rPr>
        <w:t xml:space="preserve">made by then ritual recitals about growth in freight and some perceived need to deal with national rail safety regulation.  It ritually forgot to mention standardisation of the rail infrastructure which is necessary for </w:t>
      </w:r>
      <w:r>
        <w:rPr>
          <w:shd w:val="clear" w:color="auto" w:fill="FFFFFF"/>
        </w:rPr>
        <w:t xml:space="preserve">practical </w:t>
      </w:r>
      <w:r w:rsidR="005C2248">
        <w:rPr>
          <w:shd w:val="clear" w:color="auto" w:fill="FFFFFF"/>
        </w:rPr>
        <w:t xml:space="preserve">uniform rail safety regulation.  </w:t>
      </w:r>
    </w:p>
    <w:p w14:paraId="46ECBDF8" w14:textId="77777777" w:rsidR="005C2248" w:rsidRDefault="005C2248" w:rsidP="00931787">
      <w:pPr>
        <w:spacing w:after="0"/>
        <w:rPr>
          <w:shd w:val="clear" w:color="auto" w:fill="FFFFFF"/>
        </w:rPr>
      </w:pPr>
    </w:p>
    <w:p w14:paraId="0340ABF6" w14:textId="24C376C6" w:rsidR="005C2248" w:rsidRDefault="005C2248" w:rsidP="00931787">
      <w:pPr>
        <w:spacing w:after="0"/>
        <w:rPr>
          <w:shd w:val="clear" w:color="auto" w:fill="FFFFFF"/>
        </w:rPr>
      </w:pPr>
      <w:r>
        <w:rPr>
          <w:shd w:val="clear" w:color="auto" w:fill="FFFFFF"/>
        </w:rPr>
        <w:t xml:space="preserve">The report and </w:t>
      </w:r>
      <w:r w:rsidRPr="00C073C4">
        <w:rPr>
          <w:i/>
          <w:iCs/>
          <w:shd w:val="clear" w:color="auto" w:fill="FFFFFF"/>
        </w:rPr>
        <w:t>Agreement</w:t>
      </w:r>
      <w:r>
        <w:rPr>
          <w:shd w:val="clear" w:color="auto" w:fill="FFFFFF"/>
        </w:rPr>
        <w:t xml:space="preserve"> appeared to be a make-work activity by central agencies.  </w:t>
      </w:r>
      <w:r w:rsidR="00C073C4">
        <w:rPr>
          <w:shd w:val="clear" w:color="auto" w:fill="FFFFFF"/>
        </w:rPr>
        <w:t>The</w:t>
      </w:r>
      <w:r>
        <w:rPr>
          <w:shd w:val="clear" w:color="auto" w:fill="FFFFFF"/>
        </w:rPr>
        <w:t xml:space="preserve"> call for harmonisation of road and rail regulation was ignorant and stupid.  </w:t>
      </w:r>
      <w:r w:rsidR="00AF1E26">
        <w:rPr>
          <w:shd w:val="clear" w:color="auto" w:fill="FFFFFF"/>
        </w:rPr>
        <w:t>They</w:t>
      </w:r>
      <w:r>
        <w:rPr>
          <w:shd w:val="clear" w:color="auto" w:fill="FFFFFF"/>
        </w:rPr>
        <w:t xml:space="preserve"> raised the topic of urban congestion which has little if any connection with competition policy.  </w:t>
      </w:r>
      <w:r w:rsidR="00AF1E26">
        <w:rPr>
          <w:shd w:val="clear" w:color="auto" w:fill="FFFFFF"/>
        </w:rPr>
        <w:t>They</w:t>
      </w:r>
      <w:r>
        <w:rPr>
          <w:shd w:val="clear" w:color="auto" w:fill="FFFFFF"/>
        </w:rPr>
        <w:t xml:space="preserve"> asked Governments to adopt project guidelines they had already agreed.</w:t>
      </w:r>
      <w:r>
        <w:rPr>
          <w:rStyle w:val="FootnoteReference"/>
          <w:shd w:val="clear" w:color="auto" w:fill="FFFFFF"/>
        </w:rPr>
        <w:footnoteReference w:id="53"/>
      </w:r>
    </w:p>
    <w:p w14:paraId="6311C02D" w14:textId="77777777" w:rsidR="005C2248" w:rsidRDefault="005C2248" w:rsidP="00931787">
      <w:pPr>
        <w:spacing w:after="0"/>
        <w:rPr>
          <w:shd w:val="clear" w:color="auto" w:fill="FFFFFF"/>
        </w:rPr>
      </w:pPr>
    </w:p>
    <w:p w14:paraId="3B0666F3" w14:textId="35E4F03A" w:rsidR="005C2248" w:rsidRDefault="00AF1E26" w:rsidP="00931787">
      <w:pPr>
        <w:spacing w:after="0"/>
        <w:rPr>
          <w:shd w:val="clear" w:color="auto" w:fill="FFFFFF"/>
        </w:rPr>
      </w:pPr>
      <w:r>
        <w:rPr>
          <w:shd w:val="clear" w:color="auto" w:fill="FFFFFF"/>
        </w:rPr>
        <w:t>They</w:t>
      </w:r>
      <w:r w:rsidR="005C2248">
        <w:rPr>
          <w:shd w:val="clear" w:color="auto" w:fill="FFFFFF"/>
        </w:rPr>
        <w:t xml:space="preserve"> omitted reference to </w:t>
      </w:r>
      <w:r w:rsidR="009F4688">
        <w:rPr>
          <w:shd w:val="clear" w:color="auto" w:fill="FFFFFF"/>
        </w:rPr>
        <w:t>obvious</w:t>
      </w:r>
      <w:r w:rsidR="005C2248">
        <w:rPr>
          <w:shd w:val="clear" w:color="auto" w:fill="FFFFFF"/>
        </w:rPr>
        <w:t xml:space="preserve"> problems with the application of competition policy to the sector.  Those problems included interminable delays in third party access</w:t>
      </w:r>
      <w:r w:rsidR="001E43B2">
        <w:rPr>
          <w:shd w:val="clear" w:color="auto" w:fill="FFFFFF"/>
        </w:rPr>
        <w:t>, prevarication by the</w:t>
      </w:r>
      <w:r w:rsidR="005C2248">
        <w:rPr>
          <w:shd w:val="clear" w:color="auto" w:fill="FFFFFF"/>
        </w:rPr>
        <w:t xml:space="preserve"> competition club </w:t>
      </w:r>
      <w:r w:rsidR="001E43B2">
        <w:rPr>
          <w:shd w:val="clear" w:color="auto" w:fill="FFFFFF"/>
        </w:rPr>
        <w:t>in approving</w:t>
      </w:r>
      <w:r w:rsidR="005C2248">
        <w:rPr>
          <w:shd w:val="clear" w:color="auto" w:fill="FFFFFF"/>
        </w:rPr>
        <w:t xml:space="preserve"> </w:t>
      </w:r>
      <w:r w:rsidR="001E43B2">
        <w:rPr>
          <w:shd w:val="clear" w:color="auto" w:fill="FFFFFF"/>
        </w:rPr>
        <w:t xml:space="preserve">access </w:t>
      </w:r>
      <w:r w:rsidR="005C2248">
        <w:rPr>
          <w:shd w:val="clear" w:color="auto" w:fill="FFFFFF"/>
        </w:rPr>
        <w:t xml:space="preserve">regimes, endless litigation etc. </w:t>
      </w:r>
    </w:p>
    <w:p w14:paraId="7FA858A2" w14:textId="77777777" w:rsidR="005C2248" w:rsidRDefault="005C2248" w:rsidP="00931787">
      <w:pPr>
        <w:spacing w:after="0"/>
        <w:rPr>
          <w:shd w:val="clear" w:color="auto" w:fill="FFFFFF"/>
        </w:rPr>
      </w:pPr>
    </w:p>
    <w:p w14:paraId="4E559343" w14:textId="516AA44F" w:rsidR="0039740C" w:rsidRDefault="005C2248" w:rsidP="00931787">
      <w:pPr>
        <w:spacing w:after="0"/>
        <w:rPr>
          <w:shd w:val="clear" w:color="auto" w:fill="FFFFFF"/>
        </w:rPr>
      </w:pPr>
      <w:r>
        <w:rPr>
          <w:shd w:val="clear" w:color="auto" w:fill="FFFFFF"/>
        </w:rPr>
        <w:t xml:space="preserve">Most tellingly, </w:t>
      </w:r>
      <w:r w:rsidR="00AF1E26">
        <w:rPr>
          <w:shd w:val="clear" w:color="auto" w:fill="FFFFFF"/>
        </w:rPr>
        <w:t>they</w:t>
      </w:r>
      <w:r w:rsidR="001E43B2">
        <w:rPr>
          <w:shd w:val="clear" w:color="auto" w:fill="FFFFFF"/>
        </w:rPr>
        <w:t xml:space="preserve"> made</w:t>
      </w:r>
      <w:r>
        <w:rPr>
          <w:shd w:val="clear" w:color="auto" w:fill="FFFFFF"/>
        </w:rPr>
        <w:t xml:space="preserve"> no reference to the </w:t>
      </w:r>
      <w:r w:rsidR="001E43B2">
        <w:rPr>
          <w:shd w:val="clear" w:color="auto" w:fill="FFFFFF"/>
        </w:rPr>
        <w:t xml:space="preserve">critiques or </w:t>
      </w:r>
      <w:r>
        <w:rPr>
          <w:shd w:val="clear" w:color="auto" w:fill="FFFFFF"/>
        </w:rPr>
        <w:t>failure of the 1996 NSW rail structure</w:t>
      </w:r>
      <w:r w:rsidR="001E43B2">
        <w:rPr>
          <w:shd w:val="clear" w:color="auto" w:fill="FFFFFF"/>
        </w:rPr>
        <w:t>.</w:t>
      </w:r>
      <w:r w:rsidR="00DB3675">
        <w:rPr>
          <w:shd w:val="clear" w:color="auto" w:fill="FFFFFF"/>
        </w:rPr>
        <w:t xml:space="preserve">  Nor was there reference to</w:t>
      </w:r>
      <w:r>
        <w:rPr>
          <w:shd w:val="clear" w:color="auto" w:fill="FFFFFF"/>
        </w:rPr>
        <w:t xml:space="preserve"> problems with the Melbourne </w:t>
      </w:r>
      <w:r w:rsidR="00DB3675">
        <w:rPr>
          <w:shd w:val="clear" w:color="auto" w:fill="FFFFFF"/>
        </w:rPr>
        <w:t xml:space="preserve">– or UK - </w:t>
      </w:r>
      <w:r>
        <w:rPr>
          <w:shd w:val="clear" w:color="auto" w:fill="FFFFFF"/>
        </w:rPr>
        <w:t xml:space="preserve">rail franchising.  </w:t>
      </w:r>
    </w:p>
    <w:p w14:paraId="70B31E4C" w14:textId="77777777" w:rsidR="000C399B" w:rsidRDefault="000C399B" w:rsidP="00931787">
      <w:pPr>
        <w:spacing w:after="0"/>
        <w:rPr>
          <w:shd w:val="clear" w:color="auto" w:fill="FFFFFF"/>
        </w:rPr>
      </w:pPr>
    </w:p>
    <w:p w14:paraId="785D2F51" w14:textId="7E4D25E1" w:rsidR="005C2248" w:rsidRDefault="005C2248" w:rsidP="00931787">
      <w:pPr>
        <w:spacing w:after="0"/>
        <w:rPr>
          <w:shd w:val="clear" w:color="auto" w:fill="FFFFFF"/>
        </w:rPr>
      </w:pPr>
      <w:r>
        <w:rPr>
          <w:shd w:val="clear" w:color="auto" w:fill="FFFFFF"/>
        </w:rPr>
        <w:t xml:space="preserve">Equally, there was no encouragement for Governments to embark on further structural reform in railways.  Structural reform was seen as a matter for </w:t>
      </w:r>
      <w:r w:rsidR="003F7A35">
        <w:rPr>
          <w:shd w:val="clear" w:color="auto" w:fill="FFFFFF"/>
        </w:rPr>
        <w:t>utilities</w:t>
      </w:r>
      <w:r>
        <w:rPr>
          <w:shd w:val="clear" w:color="auto" w:fill="FFFFFF"/>
        </w:rPr>
        <w:t xml:space="preserve"> but not railways.</w:t>
      </w:r>
      <w:r>
        <w:rPr>
          <w:rStyle w:val="FootnoteReference"/>
          <w:shd w:val="clear" w:color="auto" w:fill="FFFFFF"/>
        </w:rPr>
        <w:footnoteReference w:id="54"/>
      </w:r>
    </w:p>
    <w:p w14:paraId="29ED28FE" w14:textId="77777777" w:rsidR="005C2248" w:rsidRDefault="005C2248" w:rsidP="00931787">
      <w:pPr>
        <w:spacing w:after="0"/>
        <w:rPr>
          <w:shd w:val="clear" w:color="auto" w:fill="FFFFFF"/>
        </w:rPr>
      </w:pPr>
    </w:p>
    <w:p w14:paraId="1756600A" w14:textId="77777777" w:rsidR="00B06092" w:rsidRDefault="00B06092" w:rsidP="00931787">
      <w:pPr>
        <w:pStyle w:val="Heading4"/>
        <w:rPr>
          <w:shd w:val="clear" w:color="auto" w:fill="FFFFFF"/>
        </w:rPr>
      </w:pPr>
      <w:r>
        <w:rPr>
          <w:shd w:val="clear" w:color="auto" w:fill="FFFFFF"/>
        </w:rPr>
        <w:t>3.5.6</w:t>
      </w:r>
      <w:r>
        <w:rPr>
          <w:shd w:val="clear" w:color="auto" w:fill="FFFFFF"/>
        </w:rPr>
        <w:tab/>
        <w:t>Road and rail infrastructure pricing</w:t>
      </w:r>
    </w:p>
    <w:p w14:paraId="0A4A67C7" w14:textId="2D808F6E" w:rsidR="005C2248" w:rsidRDefault="005C2248" w:rsidP="00931787">
      <w:pPr>
        <w:spacing w:after="0"/>
        <w:rPr>
          <w:shd w:val="clear" w:color="auto" w:fill="FFFFFF"/>
        </w:rPr>
      </w:pPr>
      <w:r>
        <w:rPr>
          <w:shd w:val="clear" w:color="auto" w:fill="FFFFFF"/>
        </w:rPr>
        <w:t>The Productivity Commission undertook the inquiry into road and rail infrastructure pricing</w:t>
      </w:r>
      <w:r w:rsidR="003F7A35">
        <w:rPr>
          <w:shd w:val="clear" w:color="auto" w:fill="FFFFFF"/>
        </w:rPr>
        <w:t xml:space="preserve"> (2007)</w:t>
      </w:r>
      <w:r>
        <w:rPr>
          <w:shd w:val="clear" w:color="auto" w:fill="FFFFFF"/>
        </w:rPr>
        <w:t xml:space="preserve">.  </w:t>
      </w:r>
      <w:r w:rsidR="003F7A35">
        <w:rPr>
          <w:shd w:val="clear" w:color="auto" w:fill="FFFFFF"/>
        </w:rPr>
        <w:t>The request for an inquiry</w:t>
      </w:r>
      <w:r>
        <w:rPr>
          <w:shd w:val="clear" w:color="auto" w:fill="FFFFFF"/>
        </w:rPr>
        <w:t xml:space="preserve"> reflected a</w:t>
      </w:r>
      <w:r w:rsidR="003F7A35">
        <w:rPr>
          <w:shd w:val="clear" w:color="auto" w:fill="FFFFFF"/>
        </w:rPr>
        <w:t xml:space="preserve"> view</w:t>
      </w:r>
      <w:r>
        <w:rPr>
          <w:shd w:val="clear" w:color="auto" w:fill="FFFFFF"/>
        </w:rPr>
        <w:t xml:space="preserve"> that road (policy) had an impact on rail.  </w:t>
      </w:r>
      <w:r w:rsidR="003F7A35">
        <w:rPr>
          <w:shd w:val="clear" w:color="auto" w:fill="FFFFFF"/>
        </w:rPr>
        <w:t xml:space="preserve">Simple analysis would reveal the view was based on an assumption </w:t>
      </w:r>
      <w:r>
        <w:rPr>
          <w:shd w:val="clear" w:color="auto" w:fill="FFFFFF"/>
        </w:rPr>
        <w:t>rail was competitively disadvantaged b</w:t>
      </w:r>
      <w:r w:rsidR="005231BE">
        <w:rPr>
          <w:shd w:val="clear" w:color="auto" w:fill="FFFFFF"/>
        </w:rPr>
        <w:t>y road transport subsidies</w:t>
      </w:r>
      <w:r>
        <w:rPr>
          <w:shd w:val="clear" w:color="auto" w:fill="FFFFFF"/>
        </w:rPr>
        <w:t xml:space="preserve"> on the few roads that compete with railways e.g., national highways.</w:t>
      </w:r>
    </w:p>
    <w:p w14:paraId="637BE60D" w14:textId="77777777" w:rsidR="005C2248" w:rsidRDefault="005C2248" w:rsidP="00931787">
      <w:pPr>
        <w:spacing w:after="0"/>
        <w:rPr>
          <w:shd w:val="clear" w:color="auto" w:fill="FFFFFF"/>
        </w:rPr>
      </w:pPr>
    </w:p>
    <w:p w14:paraId="233579BC" w14:textId="69820AAC" w:rsidR="005C2248" w:rsidRDefault="005C2248" w:rsidP="00931787">
      <w:pPr>
        <w:spacing w:after="0"/>
        <w:rPr>
          <w:shd w:val="clear" w:color="auto" w:fill="FFFFFF"/>
        </w:rPr>
      </w:pPr>
      <w:r>
        <w:rPr>
          <w:shd w:val="clear" w:color="auto" w:fill="FFFFFF"/>
        </w:rPr>
        <w:t xml:space="preserve">The Commission’s report should be regarded as a debacle.  Its basic thrust was that infrastructure prices are best set within each mode, without reference to </w:t>
      </w:r>
      <w:r w:rsidR="005231BE">
        <w:rPr>
          <w:shd w:val="clear" w:color="auto" w:fill="FFFFFF"/>
        </w:rPr>
        <w:t>each</w:t>
      </w:r>
      <w:r>
        <w:rPr>
          <w:shd w:val="clear" w:color="auto" w:fill="FFFFFF"/>
        </w:rPr>
        <w:t xml:space="preserve"> other, because on average – in aggregate - roads were not subsidised.  This failed to recognise that rail potentially competes on only a very few road tasks e.g., in freight long distance line haul rather than urban distribution.  Averages are irrelevant, and the Commission’s </w:t>
      </w:r>
      <w:r w:rsidR="003F7A35">
        <w:rPr>
          <w:shd w:val="clear" w:color="auto" w:fill="FFFFFF"/>
        </w:rPr>
        <w:t>report</w:t>
      </w:r>
      <w:r>
        <w:rPr>
          <w:shd w:val="clear" w:color="auto" w:fill="FFFFFF"/>
        </w:rPr>
        <w:t xml:space="preserve"> was grossly deficient.</w:t>
      </w:r>
      <w:r w:rsidRPr="00E022F9">
        <w:rPr>
          <w:rStyle w:val="FootnoteReference"/>
          <w:shd w:val="clear" w:color="auto" w:fill="FFFFFF"/>
        </w:rPr>
        <w:t xml:space="preserve"> </w:t>
      </w:r>
      <w:r>
        <w:rPr>
          <w:rStyle w:val="FootnoteReference"/>
          <w:shd w:val="clear" w:color="auto" w:fill="FFFFFF"/>
        </w:rPr>
        <w:footnoteReference w:id="55"/>
      </w:r>
    </w:p>
    <w:p w14:paraId="558BE22F" w14:textId="77777777" w:rsidR="005C2248" w:rsidRDefault="005C2248" w:rsidP="00931787">
      <w:pPr>
        <w:spacing w:after="0"/>
        <w:rPr>
          <w:shd w:val="clear" w:color="auto" w:fill="FFFFFF"/>
        </w:rPr>
      </w:pPr>
    </w:p>
    <w:p w14:paraId="72710A73" w14:textId="6B837CF6" w:rsidR="005C2248" w:rsidRDefault="005C2248" w:rsidP="00931787">
      <w:pPr>
        <w:spacing w:after="0"/>
        <w:rPr>
          <w:shd w:val="clear" w:color="auto" w:fill="FFFFFF"/>
        </w:rPr>
      </w:pPr>
      <w:r>
        <w:rPr>
          <w:shd w:val="clear" w:color="auto" w:fill="FFFFFF"/>
        </w:rPr>
        <w:t>The analytical failure led to a Council of Australian Governments Road Reform Program.  In turn, i</w:t>
      </w:r>
      <w:r w:rsidR="003F7A35">
        <w:rPr>
          <w:shd w:val="clear" w:color="auto" w:fill="FFFFFF"/>
        </w:rPr>
        <w:t>t</w:t>
      </w:r>
      <w:r>
        <w:rPr>
          <w:shd w:val="clear" w:color="auto" w:fill="FFFFFF"/>
        </w:rPr>
        <w:t xml:space="preserve"> failed much for the same reason – attempting to treat all roads, and all road use, as equal.  To this could be added </w:t>
      </w:r>
      <w:r w:rsidR="0039740C">
        <w:rPr>
          <w:shd w:val="clear" w:color="auto" w:fill="FFFFFF"/>
        </w:rPr>
        <w:t>‘</w:t>
      </w:r>
      <w:r w:rsidR="005231BE">
        <w:rPr>
          <w:shd w:val="clear" w:color="auto" w:fill="FFFFFF"/>
        </w:rPr>
        <w:t>road reform</w:t>
      </w:r>
      <w:r w:rsidR="0039740C">
        <w:rPr>
          <w:shd w:val="clear" w:color="auto" w:fill="FFFFFF"/>
        </w:rPr>
        <w:t>’</w:t>
      </w:r>
      <w:r w:rsidR="005231BE">
        <w:rPr>
          <w:shd w:val="clear" w:color="auto" w:fill="FFFFFF"/>
        </w:rPr>
        <w:t xml:space="preserve"> w</w:t>
      </w:r>
      <w:r>
        <w:rPr>
          <w:shd w:val="clear" w:color="auto" w:fill="FFFFFF"/>
        </w:rPr>
        <w:t xml:space="preserve">as seen by </w:t>
      </w:r>
      <w:r w:rsidR="003F7A35">
        <w:rPr>
          <w:shd w:val="clear" w:color="auto" w:fill="FFFFFF"/>
        </w:rPr>
        <w:t xml:space="preserve">Treasury and road </w:t>
      </w:r>
      <w:r>
        <w:rPr>
          <w:shd w:val="clear" w:color="auto" w:fill="FFFFFF"/>
        </w:rPr>
        <w:t xml:space="preserve">bureaucracies as a way to secure </w:t>
      </w:r>
      <w:r w:rsidR="003F7A35">
        <w:rPr>
          <w:shd w:val="clear" w:color="auto" w:fill="FFFFFF"/>
        </w:rPr>
        <w:t xml:space="preserve">more revenues and </w:t>
      </w:r>
      <w:r>
        <w:rPr>
          <w:shd w:val="clear" w:color="auto" w:fill="FFFFFF"/>
        </w:rPr>
        <w:t>funding</w:t>
      </w:r>
      <w:r w:rsidR="00AF1E26">
        <w:rPr>
          <w:shd w:val="clear" w:color="auto" w:fill="FFFFFF"/>
        </w:rPr>
        <w:t xml:space="preserve"> – via direct payments rather than taxes</w:t>
      </w:r>
      <w:r>
        <w:rPr>
          <w:shd w:val="clear" w:color="auto" w:fill="FFFFFF"/>
        </w:rPr>
        <w:t xml:space="preserve">.  </w:t>
      </w:r>
      <w:r w:rsidR="00AF1E26">
        <w:rPr>
          <w:shd w:val="clear" w:color="auto" w:fill="FFFFFF"/>
        </w:rPr>
        <w:t xml:space="preserve">Attempts to give road users, especially the trucking sector, some say in return for direct payments, </w:t>
      </w:r>
      <w:r w:rsidR="00D34CB9">
        <w:rPr>
          <w:shd w:val="clear" w:color="auto" w:fill="FFFFFF"/>
        </w:rPr>
        <w:t>i.e.,</w:t>
      </w:r>
      <w:r w:rsidR="00AF1E26">
        <w:rPr>
          <w:shd w:val="clear" w:color="auto" w:fill="FFFFFF"/>
        </w:rPr>
        <w:t xml:space="preserve"> Hilmer’s access concept, were vigorously rebuffed.  </w:t>
      </w:r>
      <w:r>
        <w:rPr>
          <w:shd w:val="clear" w:color="auto" w:fill="FFFFFF"/>
        </w:rPr>
        <w:t>Little or no progress has been made in the subsequent 14 years, although the bureaucratic architecture remains in place.  Further details on road charging are at the jadebeagle.</w:t>
      </w:r>
      <w:r>
        <w:rPr>
          <w:rStyle w:val="FootnoteReference"/>
          <w:shd w:val="clear" w:color="auto" w:fill="FFFFFF"/>
        </w:rPr>
        <w:footnoteReference w:id="56"/>
      </w:r>
    </w:p>
    <w:p w14:paraId="75AAD4C3" w14:textId="77777777" w:rsidR="005C2248" w:rsidRDefault="005C2248" w:rsidP="00931787">
      <w:pPr>
        <w:spacing w:after="0"/>
        <w:rPr>
          <w:shd w:val="clear" w:color="auto" w:fill="FFFFFF"/>
        </w:rPr>
      </w:pPr>
    </w:p>
    <w:p w14:paraId="35B127C3" w14:textId="431C1624" w:rsidR="005C2248" w:rsidRDefault="005C2248" w:rsidP="00931787">
      <w:pPr>
        <w:spacing w:after="0"/>
        <w:rPr>
          <w:shd w:val="clear" w:color="auto" w:fill="FFFFFF"/>
        </w:rPr>
      </w:pPr>
      <w:r>
        <w:rPr>
          <w:shd w:val="clear" w:color="auto" w:fill="FFFFFF"/>
        </w:rPr>
        <w:lastRenderedPageBreak/>
        <w:t xml:space="preserve">These failures mean the </w:t>
      </w:r>
      <w:r w:rsidR="00931787">
        <w:rPr>
          <w:shd w:val="clear" w:color="auto" w:fill="FFFFFF"/>
        </w:rPr>
        <w:t xml:space="preserve">principal </w:t>
      </w:r>
      <w:r>
        <w:rPr>
          <w:shd w:val="clear" w:color="auto" w:fill="FFFFFF"/>
        </w:rPr>
        <w:t xml:space="preserve">micro-economic reform / competition task in transport remains to place road and rail on neutral footings.  </w:t>
      </w:r>
      <w:r w:rsidR="00AF1E26">
        <w:rPr>
          <w:shd w:val="clear" w:color="auto" w:fill="FFFFFF"/>
        </w:rPr>
        <w:t xml:space="preserve">That will require road reform which gives major road users a direct – ‘commercial’ - influence over </w:t>
      </w:r>
      <w:r w:rsidR="00912E35">
        <w:rPr>
          <w:shd w:val="clear" w:color="auto" w:fill="FFFFFF"/>
        </w:rPr>
        <w:t xml:space="preserve">the standards, </w:t>
      </w:r>
      <w:r w:rsidR="00AF1E26">
        <w:rPr>
          <w:shd w:val="clear" w:color="auto" w:fill="FFFFFF"/>
        </w:rPr>
        <w:t>construction and maintenance</w:t>
      </w:r>
      <w:r w:rsidR="00912E35">
        <w:rPr>
          <w:shd w:val="clear" w:color="auto" w:fill="FFFFFF"/>
        </w:rPr>
        <w:t xml:space="preserve"> of the most important public roads</w:t>
      </w:r>
      <w:r w:rsidR="00AF1E26">
        <w:rPr>
          <w:shd w:val="clear" w:color="auto" w:fill="FFFFFF"/>
        </w:rPr>
        <w:t>.</w:t>
      </w:r>
    </w:p>
    <w:p w14:paraId="684F4578" w14:textId="77777777" w:rsidR="005C2248" w:rsidRDefault="005C2248" w:rsidP="00931787">
      <w:pPr>
        <w:spacing w:after="0"/>
        <w:rPr>
          <w:shd w:val="clear" w:color="auto" w:fill="FFFFFF"/>
        </w:rPr>
      </w:pPr>
    </w:p>
    <w:p w14:paraId="4429006F" w14:textId="44EEB216" w:rsidR="005C2248" w:rsidRDefault="005C2248" w:rsidP="00931787">
      <w:pPr>
        <w:pStyle w:val="Heading3"/>
        <w:rPr>
          <w:shd w:val="clear" w:color="auto" w:fill="FFFFFF"/>
        </w:rPr>
      </w:pPr>
      <w:bookmarkStart w:id="12" w:name="_Toc93085760"/>
      <w:r>
        <w:rPr>
          <w:shd w:val="clear" w:color="auto" w:fill="FFFFFF"/>
        </w:rPr>
        <w:t>3.6</w:t>
      </w:r>
      <w:r>
        <w:rPr>
          <w:shd w:val="clear" w:color="auto" w:fill="FFFFFF"/>
        </w:rPr>
        <w:tab/>
        <w:t>Independent Pricing and Regulatory Tribunal</w:t>
      </w:r>
      <w:r w:rsidR="005840E5">
        <w:rPr>
          <w:shd w:val="clear" w:color="auto" w:fill="FFFFFF"/>
        </w:rPr>
        <w:t xml:space="preserve">, incentives and corporatisation </w:t>
      </w:r>
      <w:r>
        <w:rPr>
          <w:shd w:val="clear" w:color="auto" w:fill="FFFFFF"/>
        </w:rPr>
        <w:t>20</w:t>
      </w:r>
      <w:r w:rsidR="000543A5">
        <w:rPr>
          <w:shd w:val="clear" w:color="auto" w:fill="FFFFFF"/>
        </w:rPr>
        <w:t>07-09</w:t>
      </w:r>
      <w:bookmarkEnd w:id="12"/>
    </w:p>
    <w:p w14:paraId="5B30B1FC" w14:textId="01E8E75A" w:rsidR="006675EF" w:rsidRDefault="009125D7" w:rsidP="006675EF">
      <w:pPr>
        <w:pStyle w:val="Heading4"/>
        <w:rPr>
          <w:shd w:val="clear" w:color="auto" w:fill="FFFFFF"/>
        </w:rPr>
      </w:pPr>
      <w:r>
        <w:rPr>
          <w:shd w:val="clear" w:color="auto" w:fill="FFFFFF"/>
        </w:rPr>
        <w:t>3.6.1</w:t>
      </w:r>
      <w:r>
        <w:rPr>
          <w:shd w:val="clear" w:color="auto" w:fill="FFFFFF"/>
        </w:rPr>
        <w:tab/>
      </w:r>
      <w:r w:rsidR="006675EF">
        <w:rPr>
          <w:shd w:val="clear" w:color="auto" w:fill="FFFFFF"/>
        </w:rPr>
        <w:t>At the Tribunal</w:t>
      </w:r>
    </w:p>
    <w:p w14:paraId="7402751E" w14:textId="2C0BC927" w:rsidR="005C2248" w:rsidRDefault="00B40F53" w:rsidP="00931787">
      <w:pPr>
        <w:spacing w:after="0"/>
        <w:rPr>
          <w:shd w:val="clear" w:color="auto" w:fill="FFFFFF"/>
        </w:rPr>
      </w:pPr>
      <w:r>
        <w:rPr>
          <w:shd w:val="clear" w:color="auto" w:fill="FFFFFF"/>
        </w:rPr>
        <w:t>In 200</w:t>
      </w:r>
      <w:r w:rsidR="009B124A">
        <w:rPr>
          <w:shd w:val="clear" w:color="auto" w:fill="FFFFFF"/>
        </w:rPr>
        <w:t>7</w:t>
      </w:r>
      <w:r>
        <w:rPr>
          <w:shd w:val="clear" w:color="auto" w:fill="FFFFFF"/>
        </w:rPr>
        <w:t xml:space="preserve">, the Government asked the Independent Pricing and Regulatory Tribunal to advise on </w:t>
      </w:r>
      <w:r w:rsidR="001A4933">
        <w:rPr>
          <w:shd w:val="clear" w:color="auto" w:fill="FFFFFF"/>
        </w:rPr>
        <w:t>incentives for Sydney’s commuter railway – CityRail - to better provide cost efficient services.</w:t>
      </w:r>
      <w:r w:rsidR="001A4933">
        <w:rPr>
          <w:rStyle w:val="FootnoteReference"/>
          <w:shd w:val="clear" w:color="auto" w:fill="FFFFFF"/>
        </w:rPr>
        <w:footnoteReference w:id="57"/>
      </w:r>
    </w:p>
    <w:p w14:paraId="3E17BCB5" w14:textId="2FAF430C" w:rsidR="001A4933" w:rsidRDefault="001A4933" w:rsidP="00931787">
      <w:pPr>
        <w:spacing w:after="0"/>
        <w:rPr>
          <w:shd w:val="clear" w:color="auto" w:fill="FFFFFF"/>
        </w:rPr>
      </w:pPr>
    </w:p>
    <w:p w14:paraId="5B9516DA" w14:textId="1CDB0471" w:rsidR="001A4933" w:rsidRDefault="001A4933" w:rsidP="00931787">
      <w:pPr>
        <w:spacing w:after="0"/>
        <w:rPr>
          <w:shd w:val="clear" w:color="auto" w:fill="FFFFFF"/>
        </w:rPr>
      </w:pPr>
      <w:r>
        <w:rPr>
          <w:shd w:val="clear" w:color="auto" w:fill="FFFFFF"/>
        </w:rPr>
        <w:t>The Tribunal followed its usual inquiry process by publishing a discussion paper, consulting the public, issuing a draft paper.  The process</w:t>
      </w:r>
      <w:r w:rsidR="009B124A">
        <w:rPr>
          <w:shd w:val="clear" w:color="auto" w:fill="FFFFFF"/>
        </w:rPr>
        <w:t xml:space="preserve"> concluded in December 2008 with a final paper recommending ‘an effective service contract’</w:t>
      </w:r>
      <w:r w:rsidR="00931787">
        <w:rPr>
          <w:shd w:val="clear" w:color="auto" w:fill="FFFFFF"/>
        </w:rPr>
        <w:t xml:space="preserve"> between the Government and RailCorp</w:t>
      </w:r>
      <w:r w:rsidR="009B124A">
        <w:rPr>
          <w:shd w:val="clear" w:color="auto" w:fill="FFFFFF"/>
        </w:rPr>
        <w:t>.</w:t>
      </w:r>
      <w:r w:rsidR="009B124A">
        <w:rPr>
          <w:rStyle w:val="FootnoteReference"/>
          <w:shd w:val="clear" w:color="auto" w:fill="FFFFFF"/>
        </w:rPr>
        <w:footnoteReference w:id="58"/>
      </w:r>
      <w:r>
        <w:rPr>
          <w:shd w:val="clear" w:color="auto" w:fill="FFFFFF"/>
        </w:rPr>
        <w:t xml:space="preserve"> </w:t>
      </w:r>
    </w:p>
    <w:p w14:paraId="21314FF8" w14:textId="77777777" w:rsidR="001A4933" w:rsidRDefault="001A4933" w:rsidP="00931787">
      <w:pPr>
        <w:spacing w:after="0"/>
        <w:rPr>
          <w:shd w:val="clear" w:color="auto" w:fill="FFFFFF"/>
        </w:rPr>
      </w:pPr>
    </w:p>
    <w:p w14:paraId="74BE0D65" w14:textId="19462E0F" w:rsidR="00152933" w:rsidRDefault="009B124A" w:rsidP="00931787">
      <w:pPr>
        <w:spacing w:after="0"/>
        <w:rPr>
          <w:shd w:val="clear" w:color="auto" w:fill="FFFFFF"/>
        </w:rPr>
      </w:pPr>
      <w:r>
        <w:rPr>
          <w:shd w:val="clear" w:color="auto" w:fill="FFFFFF"/>
        </w:rPr>
        <w:t>At the time</w:t>
      </w:r>
      <w:r w:rsidR="00931787">
        <w:rPr>
          <w:shd w:val="clear" w:color="auto" w:fill="FFFFFF"/>
        </w:rPr>
        <w:t>,</w:t>
      </w:r>
      <w:r>
        <w:rPr>
          <w:shd w:val="clear" w:color="auto" w:fill="FFFFFF"/>
        </w:rPr>
        <w:t xml:space="preserve"> CityRail was a part of RailCorp, and RailCorp was a state-owned corporation.</w:t>
      </w:r>
      <w:r w:rsidR="0057706E">
        <w:rPr>
          <w:shd w:val="clear" w:color="auto" w:fill="FFFFFF"/>
        </w:rPr>
        <w:t xml:space="preserve">  However, the Tribunal acknowledged recently passed legislative amendments to de-corporatise RailCorp.  </w:t>
      </w:r>
    </w:p>
    <w:p w14:paraId="498A5CE0" w14:textId="77777777" w:rsidR="00152933" w:rsidRDefault="00152933" w:rsidP="00931787">
      <w:pPr>
        <w:spacing w:after="0"/>
        <w:rPr>
          <w:shd w:val="clear" w:color="auto" w:fill="FFFFFF"/>
        </w:rPr>
      </w:pPr>
    </w:p>
    <w:p w14:paraId="3F684018" w14:textId="278A4649" w:rsidR="009B124A" w:rsidRDefault="000543A5" w:rsidP="00931787">
      <w:pPr>
        <w:spacing w:after="0"/>
        <w:rPr>
          <w:shd w:val="clear" w:color="auto" w:fill="FFFFFF"/>
        </w:rPr>
      </w:pPr>
      <w:r>
        <w:rPr>
          <w:shd w:val="clear" w:color="auto" w:fill="FFFFFF"/>
        </w:rPr>
        <w:t>The Tribunal</w:t>
      </w:r>
      <w:r w:rsidR="0057706E">
        <w:rPr>
          <w:shd w:val="clear" w:color="auto" w:fill="FFFFFF"/>
        </w:rPr>
        <w:t xml:space="preserve"> did not comment on the merit of </w:t>
      </w:r>
      <w:r w:rsidR="00152933">
        <w:rPr>
          <w:shd w:val="clear" w:color="auto" w:fill="FFFFFF"/>
        </w:rPr>
        <w:t>(de)corporatisation but said a service contract, as required by the amendments</w:t>
      </w:r>
      <w:r w:rsidR="00931787">
        <w:rPr>
          <w:shd w:val="clear" w:color="auto" w:fill="FFFFFF"/>
        </w:rPr>
        <w:t>,</w:t>
      </w:r>
      <w:r w:rsidR="00152933">
        <w:rPr>
          <w:shd w:val="clear" w:color="auto" w:fill="FFFFFF"/>
        </w:rPr>
        <w:t xml:space="preserve"> was consistent with </w:t>
      </w:r>
      <w:r>
        <w:rPr>
          <w:shd w:val="clear" w:color="auto" w:fill="FFFFFF"/>
        </w:rPr>
        <w:t>its</w:t>
      </w:r>
      <w:r w:rsidR="00152933">
        <w:rPr>
          <w:shd w:val="clear" w:color="auto" w:fill="FFFFFF"/>
        </w:rPr>
        <w:t xml:space="preserve"> draft recommendations and proposed governance model</w:t>
      </w:r>
      <w:r>
        <w:rPr>
          <w:shd w:val="clear" w:color="auto" w:fill="FFFFFF"/>
        </w:rPr>
        <w:t xml:space="preserve">.  It considered the arrangements </w:t>
      </w:r>
      <w:r w:rsidR="00152933">
        <w:rPr>
          <w:shd w:val="clear" w:color="auto" w:fill="FFFFFF"/>
        </w:rPr>
        <w:t>had the potential for effective incentives</w:t>
      </w:r>
      <w:r w:rsidR="0057706E">
        <w:rPr>
          <w:shd w:val="clear" w:color="auto" w:fill="FFFFFF"/>
        </w:rPr>
        <w:t>:</w:t>
      </w:r>
    </w:p>
    <w:p w14:paraId="70466457" w14:textId="0FE19D3A" w:rsidR="0057706E" w:rsidRDefault="00152933" w:rsidP="00931787">
      <w:pPr>
        <w:spacing w:after="0"/>
        <w:ind w:left="720"/>
        <w:rPr>
          <w:shd w:val="clear" w:color="auto" w:fill="FFFFFF"/>
        </w:rPr>
      </w:pPr>
      <w:r w:rsidRPr="00152933">
        <w:rPr>
          <w:i/>
          <w:iCs/>
        </w:rPr>
        <w:t>‘…..the service contract model has the potential to strengthen the economic regulatory framework for CityRail, and provide effective incentives to improve CityRail’s financial performance without decreasing its service performance.</w:t>
      </w:r>
      <w:r>
        <w:rPr>
          <w:i/>
          <w:iCs/>
        </w:rPr>
        <w:t>’</w:t>
      </w:r>
      <w:r>
        <w:rPr>
          <w:rStyle w:val="FootnoteReference"/>
        </w:rPr>
        <w:footnoteReference w:id="59"/>
      </w:r>
    </w:p>
    <w:p w14:paraId="600DF609" w14:textId="77777777" w:rsidR="009B124A" w:rsidRDefault="009B124A" w:rsidP="00931787">
      <w:pPr>
        <w:spacing w:after="0"/>
        <w:rPr>
          <w:shd w:val="clear" w:color="auto" w:fill="FFFFFF"/>
        </w:rPr>
      </w:pPr>
    </w:p>
    <w:p w14:paraId="71ABEE49" w14:textId="3962F576" w:rsidR="001A4933" w:rsidRDefault="00152933" w:rsidP="00931787">
      <w:pPr>
        <w:spacing w:after="0"/>
        <w:rPr>
          <w:shd w:val="clear" w:color="auto" w:fill="FFFFFF"/>
        </w:rPr>
      </w:pPr>
      <w:r>
        <w:rPr>
          <w:shd w:val="clear" w:color="auto" w:fill="FFFFFF"/>
        </w:rPr>
        <w:t>The Tribunal</w:t>
      </w:r>
      <w:r w:rsidR="001A4933">
        <w:rPr>
          <w:shd w:val="clear" w:color="auto" w:fill="FFFFFF"/>
        </w:rPr>
        <w:t xml:space="preserve"> did not contemplate structural separation of the railway.</w:t>
      </w:r>
    </w:p>
    <w:p w14:paraId="6489BB7C" w14:textId="18905277" w:rsidR="001A4933" w:rsidRDefault="001A4933" w:rsidP="00931787">
      <w:pPr>
        <w:spacing w:after="0"/>
        <w:rPr>
          <w:shd w:val="clear" w:color="auto" w:fill="FFFFFF"/>
        </w:rPr>
      </w:pPr>
    </w:p>
    <w:p w14:paraId="73B86656" w14:textId="39AD3733" w:rsidR="006675EF" w:rsidRDefault="006675EF" w:rsidP="006675EF">
      <w:pPr>
        <w:pStyle w:val="Heading4"/>
        <w:rPr>
          <w:shd w:val="clear" w:color="auto" w:fill="FFFFFF"/>
        </w:rPr>
      </w:pPr>
      <w:r>
        <w:rPr>
          <w:shd w:val="clear" w:color="auto" w:fill="FFFFFF"/>
        </w:rPr>
        <w:t>3.6.2</w:t>
      </w:r>
      <w:r>
        <w:rPr>
          <w:shd w:val="clear" w:color="auto" w:fill="FFFFFF"/>
        </w:rPr>
        <w:tab/>
      </w:r>
      <w:r w:rsidR="00913214">
        <w:rPr>
          <w:shd w:val="clear" w:color="auto" w:fill="FFFFFF"/>
        </w:rPr>
        <w:t>Outside the Tribunal</w:t>
      </w:r>
    </w:p>
    <w:p w14:paraId="743F2BE6" w14:textId="1DF18B05" w:rsidR="006675EF" w:rsidRDefault="006675EF" w:rsidP="006675EF">
      <w:pPr>
        <w:spacing w:after="0"/>
      </w:pPr>
      <w:r>
        <w:t xml:space="preserve">The </w:t>
      </w:r>
      <w:r>
        <w:t xml:space="preserve">Tribunal took a more sanguine view of incentives than a </w:t>
      </w:r>
      <w:r w:rsidR="00913214">
        <w:t xml:space="preserve">(then) </w:t>
      </w:r>
      <w:r>
        <w:t xml:space="preserve">recently completed </w:t>
      </w:r>
      <w:r>
        <w:t>Commission of Inquiry into Sydney Ferries</w:t>
      </w:r>
      <w:r w:rsidR="001257A9">
        <w:t xml:space="preserve"> – outlined in section 4.5.6 below</w:t>
      </w:r>
      <w:r>
        <w:t xml:space="preserve">.  </w:t>
      </w:r>
    </w:p>
    <w:p w14:paraId="0130E745" w14:textId="77777777" w:rsidR="006675EF" w:rsidRDefault="006675EF" w:rsidP="006675EF">
      <w:pPr>
        <w:spacing w:after="0"/>
      </w:pPr>
    </w:p>
    <w:p w14:paraId="5D2335CF" w14:textId="1B4C9703" w:rsidR="006675EF" w:rsidRDefault="006675EF" w:rsidP="006675EF">
      <w:pPr>
        <w:spacing w:after="0"/>
      </w:pPr>
      <w:r>
        <w:t>That Commission</w:t>
      </w:r>
      <w:r>
        <w:t>, by Mr Walker SC, October 2007, highlighted problems of attempting to apply the NSW State-owned corporation model to highly subsidised activities related to public transport.</w:t>
      </w:r>
      <w:r w:rsidR="004B15CB">
        <w:rPr>
          <w:rStyle w:val="FootnoteReference"/>
        </w:rPr>
        <w:footnoteReference w:id="60"/>
      </w:r>
      <w:r>
        <w:t xml:space="preserve">  </w:t>
      </w:r>
    </w:p>
    <w:p w14:paraId="2AD43D30" w14:textId="77777777" w:rsidR="006675EF" w:rsidRDefault="006675EF" w:rsidP="006675EF">
      <w:pPr>
        <w:spacing w:after="0"/>
      </w:pPr>
    </w:p>
    <w:p w14:paraId="2B3C1F00" w14:textId="3DB80956" w:rsidR="006675EF" w:rsidRDefault="00B019B1" w:rsidP="006675EF">
      <w:pPr>
        <w:spacing w:after="0"/>
      </w:pPr>
      <w:r>
        <w:t>T</w:t>
      </w:r>
      <w:r w:rsidR="006675EF">
        <w:t>he</w:t>
      </w:r>
      <w:r>
        <w:t>se arise from the</w:t>
      </w:r>
      <w:r w:rsidR="006675EF">
        <w:t xml:space="preserve"> State-owned corporation framework ignor</w:t>
      </w:r>
      <w:r>
        <w:t>ing</w:t>
      </w:r>
      <w:r w:rsidR="006675EF">
        <w:t xml:space="preserve"> the principal value of public transport</w:t>
      </w:r>
      <w:r w:rsidR="00913214">
        <w:t xml:space="preserve">.  Incentives and rewards for </w:t>
      </w:r>
      <w:r>
        <w:t>‘</w:t>
      </w:r>
      <w:r w:rsidR="00913214">
        <w:t>commercial performance</w:t>
      </w:r>
      <w:r>
        <w:t>’</w:t>
      </w:r>
      <w:r w:rsidR="00913214">
        <w:t xml:space="preserve"> </w:t>
      </w:r>
      <w:r w:rsidR="00514D66">
        <w:t>may distract the organisation from its underlying purpose – the risk being greater the greater the subsidy requirement.</w:t>
      </w:r>
    </w:p>
    <w:p w14:paraId="705A21C6" w14:textId="4CCEAA1B" w:rsidR="006675EF" w:rsidRDefault="006675EF" w:rsidP="006675EF">
      <w:pPr>
        <w:spacing w:after="0"/>
        <w:rPr>
          <w:i/>
          <w:iCs/>
        </w:rPr>
      </w:pPr>
    </w:p>
    <w:p w14:paraId="2F60AD58" w14:textId="7957015F" w:rsidR="006675EF" w:rsidRPr="004B15CB" w:rsidRDefault="006675EF" w:rsidP="006675EF">
      <w:pPr>
        <w:spacing w:after="0"/>
      </w:pPr>
      <w:r w:rsidRPr="004B15CB">
        <w:t xml:space="preserve">The Tribunal </w:t>
      </w:r>
      <w:r w:rsidR="00912E35">
        <w:t xml:space="preserve">(previous section) had agreed with the Ferries Commission on the fact that </w:t>
      </w:r>
      <w:r w:rsidRPr="004B15CB">
        <w:t xml:space="preserve">the value of public transport services </w:t>
      </w:r>
      <w:r w:rsidR="00B019B1">
        <w:t xml:space="preserve">far </w:t>
      </w:r>
      <w:r w:rsidRPr="004B15CB">
        <w:t xml:space="preserve">exceeded commercial metrics.  This is the premise for its </w:t>
      </w:r>
      <w:r w:rsidR="004B15CB" w:rsidRPr="004B15CB">
        <w:t xml:space="preserve">argument about fares being set to recover </w:t>
      </w:r>
      <w:r w:rsidR="00B019B1">
        <w:t xml:space="preserve">only </w:t>
      </w:r>
      <w:r w:rsidR="004B15CB" w:rsidRPr="004B15CB">
        <w:t>a low percentage of CityRail costs.</w:t>
      </w:r>
      <w:r w:rsidR="00B019B1">
        <w:t xml:space="preserve">  However, it simply assumed a State-owned corporation would be more influenced by a service contract than by shareholder wishes.</w:t>
      </w:r>
      <w:r w:rsidR="004B15CB">
        <w:rPr>
          <w:rStyle w:val="FootnoteReference"/>
        </w:rPr>
        <w:footnoteReference w:id="61"/>
      </w:r>
      <w:r w:rsidR="004B15CB" w:rsidRPr="004B15CB">
        <w:t xml:space="preserve"> </w:t>
      </w:r>
    </w:p>
    <w:p w14:paraId="488D8AAC" w14:textId="0652CDC5" w:rsidR="006675EF" w:rsidRDefault="006675EF" w:rsidP="006675EF">
      <w:pPr>
        <w:spacing w:after="0"/>
        <w:rPr>
          <w:i/>
          <w:iCs/>
        </w:rPr>
      </w:pPr>
      <w:r>
        <w:rPr>
          <w:i/>
          <w:iCs/>
        </w:rPr>
        <w:t xml:space="preserve">  </w:t>
      </w:r>
    </w:p>
    <w:p w14:paraId="044F621E" w14:textId="00A6582D" w:rsidR="00913214" w:rsidRDefault="00B019B1" w:rsidP="006675EF">
      <w:pPr>
        <w:spacing w:after="0"/>
      </w:pPr>
      <w:r>
        <w:t xml:space="preserve">The Ferries Commission disagreed with that assumption.  </w:t>
      </w:r>
      <w:r w:rsidR="00574CBD">
        <w:t>It argued</w:t>
      </w:r>
      <w:r w:rsidR="006675EF" w:rsidRPr="00C318FD">
        <w:t xml:space="preserve"> a </w:t>
      </w:r>
      <w:r w:rsidR="006675EF">
        <w:t xml:space="preserve">transport </w:t>
      </w:r>
      <w:r w:rsidR="006675EF" w:rsidRPr="00C318FD">
        <w:t xml:space="preserve">State-owned corporation </w:t>
      </w:r>
      <w:r w:rsidR="006675EF">
        <w:t>involved in public transport cannot</w:t>
      </w:r>
      <w:r w:rsidR="006675EF" w:rsidRPr="00C318FD">
        <w:t xml:space="preserve"> </w:t>
      </w:r>
      <w:r w:rsidR="006675EF">
        <w:t xml:space="preserve">be </w:t>
      </w:r>
      <w:r w:rsidR="006675EF" w:rsidRPr="00C318FD">
        <w:t xml:space="preserve">subject to </w:t>
      </w:r>
      <w:r w:rsidR="006675EF">
        <w:t>commercial</w:t>
      </w:r>
      <w:r w:rsidR="006675EF" w:rsidRPr="00C318FD">
        <w:t xml:space="preserve"> pressures</w:t>
      </w:r>
      <w:r w:rsidR="00574CBD">
        <w:t xml:space="preserve"> because, as a matter of law and practice, a service contract is ultimately unenforceable</w:t>
      </w:r>
      <w:r w:rsidR="006675EF">
        <w:t xml:space="preserve">.  </w:t>
      </w:r>
    </w:p>
    <w:p w14:paraId="1F74A0DF" w14:textId="77777777" w:rsidR="006675EF" w:rsidRDefault="006675EF" w:rsidP="006675EF">
      <w:pPr>
        <w:spacing w:after="0"/>
      </w:pPr>
    </w:p>
    <w:p w14:paraId="7E8996F5" w14:textId="77777777" w:rsidR="005840E5" w:rsidRDefault="00913214" w:rsidP="00931787">
      <w:pPr>
        <w:spacing w:after="0"/>
        <w:rPr>
          <w:shd w:val="clear" w:color="auto" w:fill="FFFFFF"/>
        </w:rPr>
      </w:pPr>
      <w:r>
        <w:rPr>
          <w:shd w:val="clear" w:color="auto" w:fill="FFFFFF"/>
        </w:rPr>
        <w:t>The issue is discussed further in section 4.5</w:t>
      </w:r>
      <w:r w:rsidR="00514D66">
        <w:rPr>
          <w:shd w:val="clear" w:color="auto" w:fill="FFFFFF"/>
        </w:rPr>
        <w:t xml:space="preserve"> which deals with the corporatisation/ decorporatisation/ recorporatisation of NSW commuter rail.  </w:t>
      </w:r>
    </w:p>
    <w:p w14:paraId="35ED7A2C" w14:textId="77777777" w:rsidR="005840E5" w:rsidRDefault="005840E5" w:rsidP="00931787">
      <w:pPr>
        <w:spacing w:after="0"/>
        <w:rPr>
          <w:shd w:val="clear" w:color="auto" w:fill="FFFFFF"/>
        </w:rPr>
      </w:pPr>
    </w:p>
    <w:p w14:paraId="146747B4" w14:textId="37E02B5A" w:rsidR="006B33D7" w:rsidRDefault="006B33D7" w:rsidP="00931787">
      <w:pPr>
        <w:spacing w:after="0"/>
        <w:rPr>
          <w:shd w:val="clear" w:color="auto" w:fill="FFFFFF"/>
        </w:rPr>
      </w:pPr>
      <w:r>
        <w:rPr>
          <w:shd w:val="clear" w:color="auto" w:fill="FFFFFF"/>
        </w:rPr>
        <w:t xml:space="preserve">Between 1995 and establishment of the Entity, the ‘corporate’ </w:t>
      </w:r>
      <w:r w:rsidR="00574CBD">
        <w:rPr>
          <w:shd w:val="clear" w:color="auto" w:fill="FFFFFF"/>
        </w:rPr>
        <w:t xml:space="preserve">status </w:t>
      </w:r>
      <w:r>
        <w:rPr>
          <w:shd w:val="clear" w:color="auto" w:fill="FFFFFF"/>
        </w:rPr>
        <w:t xml:space="preserve">of </w:t>
      </w:r>
      <w:r w:rsidR="002C0871">
        <w:rPr>
          <w:shd w:val="clear" w:color="auto" w:fill="FFFFFF"/>
        </w:rPr>
        <w:t xml:space="preserve">NSW </w:t>
      </w:r>
      <w:r>
        <w:rPr>
          <w:shd w:val="clear" w:color="auto" w:fill="FFFFFF"/>
        </w:rPr>
        <w:t>commuter rail</w:t>
      </w:r>
      <w:r w:rsidR="00912E35">
        <w:rPr>
          <w:shd w:val="clear" w:color="auto" w:fill="FFFFFF"/>
        </w:rPr>
        <w:t xml:space="preserve"> was in flux</w:t>
      </w:r>
      <w:r>
        <w:rPr>
          <w:shd w:val="clear" w:color="auto" w:fill="FFFFFF"/>
        </w:rPr>
        <w:t>.</w:t>
      </w:r>
      <w:r w:rsidR="00912E35">
        <w:rPr>
          <w:shd w:val="clear" w:color="auto" w:fill="FFFFFF"/>
        </w:rPr>
        <w:t xml:space="preserve">  At least five changes were made.  F</w:t>
      </w:r>
      <w:r w:rsidR="00FD2FC1">
        <w:rPr>
          <w:shd w:val="clear" w:color="auto" w:fill="FFFFFF"/>
        </w:rPr>
        <w:t>our i</w:t>
      </w:r>
      <w:r>
        <w:rPr>
          <w:shd w:val="clear" w:color="auto" w:fill="FFFFFF"/>
        </w:rPr>
        <w:t>n the period 1996-200</w:t>
      </w:r>
      <w:r w:rsidR="00FD2FC1">
        <w:rPr>
          <w:shd w:val="clear" w:color="auto" w:fill="FFFFFF"/>
        </w:rPr>
        <w:t xml:space="preserve">4 </w:t>
      </w:r>
      <w:r w:rsidR="00912E35">
        <w:rPr>
          <w:shd w:val="clear" w:color="auto" w:fill="FFFFFF"/>
        </w:rPr>
        <w:t xml:space="preserve">were </w:t>
      </w:r>
      <w:r w:rsidR="00FD2FC1">
        <w:rPr>
          <w:shd w:val="clear" w:color="auto" w:fill="FFFFFF"/>
        </w:rPr>
        <w:t>gradually towards corporatisation</w:t>
      </w:r>
      <w:r w:rsidR="00912E35">
        <w:rPr>
          <w:shd w:val="clear" w:color="auto" w:fill="FFFFFF"/>
        </w:rPr>
        <w:t xml:space="preserve"> – none of these was properly explained.  I</w:t>
      </w:r>
      <w:r w:rsidR="00FD2FC1">
        <w:rPr>
          <w:shd w:val="clear" w:color="auto" w:fill="FFFFFF"/>
        </w:rPr>
        <w:t>n 2009 these were entirely reversed</w:t>
      </w:r>
      <w:r w:rsidR="005840E5">
        <w:rPr>
          <w:shd w:val="clear" w:color="auto" w:fill="FFFFFF"/>
        </w:rPr>
        <w:t>.  C</w:t>
      </w:r>
      <w:r w:rsidR="00FD2FC1">
        <w:rPr>
          <w:shd w:val="clear" w:color="auto" w:fill="FFFFFF"/>
        </w:rPr>
        <w:t>orporatisation</w:t>
      </w:r>
      <w:r w:rsidR="005840E5">
        <w:rPr>
          <w:shd w:val="clear" w:color="auto" w:fill="FFFFFF"/>
        </w:rPr>
        <w:t xml:space="preserve"> of assets – first attempted in 1996 – was reintroduced via the Entity in 2020. </w:t>
      </w:r>
      <w:r w:rsidR="00FD2FC1">
        <w:rPr>
          <w:shd w:val="clear" w:color="auto" w:fill="FFFFFF"/>
        </w:rPr>
        <w:t xml:space="preserve"> </w:t>
      </w:r>
      <w:r>
        <w:rPr>
          <w:shd w:val="clear" w:color="auto" w:fill="FFFFFF"/>
        </w:rPr>
        <w:t xml:space="preserve"> </w:t>
      </w:r>
    </w:p>
    <w:p w14:paraId="184B40B6" w14:textId="77777777" w:rsidR="006B33D7" w:rsidRDefault="006B33D7" w:rsidP="00931787">
      <w:pPr>
        <w:spacing w:after="0"/>
        <w:rPr>
          <w:shd w:val="clear" w:color="auto" w:fill="FFFFFF"/>
        </w:rPr>
      </w:pPr>
    </w:p>
    <w:p w14:paraId="21D981D7" w14:textId="62E826B3" w:rsidR="005840E5" w:rsidRDefault="00514D66" w:rsidP="005840E5">
      <w:pPr>
        <w:spacing w:after="0"/>
        <w:rPr>
          <w:shd w:val="clear" w:color="auto" w:fill="FFFFFF"/>
        </w:rPr>
      </w:pPr>
      <w:r>
        <w:rPr>
          <w:shd w:val="clear" w:color="auto" w:fill="FFFFFF"/>
        </w:rPr>
        <w:t xml:space="preserve">The fact of </w:t>
      </w:r>
      <w:r w:rsidR="005840E5">
        <w:rPr>
          <w:shd w:val="clear" w:color="auto" w:fill="FFFFFF"/>
        </w:rPr>
        <w:t xml:space="preserve">NSW </w:t>
      </w:r>
      <w:r>
        <w:rPr>
          <w:shd w:val="clear" w:color="auto" w:fill="FFFFFF"/>
        </w:rPr>
        <w:t xml:space="preserve">switching commuter rail’s organisational form among statutory authority and State-owned corporation </w:t>
      </w:r>
      <w:r w:rsidR="005840E5">
        <w:rPr>
          <w:shd w:val="clear" w:color="auto" w:fill="FFFFFF"/>
        </w:rPr>
        <w:t>demonstrates there has not been a long</w:t>
      </w:r>
      <w:r w:rsidR="00CD6576">
        <w:rPr>
          <w:shd w:val="clear" w:color="auto" w:fill="FFFFFF"/>
        </w:rPr>
        <w:t>-</w:t>
      </w:r>
      <w:r w:rsidR="005840E5">
        <w:rPr>
          <w:shd w:val="clear" w:color="auto" w:fill="FFFFFF"/>
        </w:rPr>
        <w:t xml:space="preserve">term strategy for application of micro-economic reform to </w:t>
      </w:r>
      <w:r w:rsidR="00CD6576">
        <w:rPr>
          <w:shd w:val="clear" w:color="auto" w:fill="FFFFFF"/>
        </w:rPr>
        <w:t>that sector</w:t>
      </w:r>
      <w:r w:rsidR="00913214">
        <w:rPr>
          <w:shd w:val="clear" w:color="auto" w:fill="FFFFFF"/>
        </w:rPr>
        <w:t>.</w:t>
      </w:r>
    </w:p>
    <w:p w14:paraId="0D4B42F1" w14:textId="77777777" w:rsidR="005840E5" w:rsidRDefault="005840E5" w:rsidP="005840E5">
      <w:pPr>
        <w:spacing w:after="0"/>
        <w:rPr>
          <w:shd w:val="clear" w:color="auto" w:fill="FFFFFF"/>
        </w:rPr>
      </w:pPr>
    </w:p>
    <w:p w14:paraId="1D53F517" w14:textId="3056CEE0" w:rsidR="005C2248" w:rsidRDefault="005C2248" w:rsidP="005840E5">
      <w:pPr>
        <w:pStyle w:val="Heading3"/>
        <w:rPr>
          <w:shd w:val="clear" w:color="auto" w:fill="FFFFFF"/>
        </w:rPr>
      </w:pPr>
      <w:bookmarkStart w:id="13" w:name="_Toc93085761"/>
      <w:r>
        <w:rPr>
          <w:shd w:val="clear" w:color="auto" w:fill="FFFFFF"/>
        </w:rPr>
        <w:t>3.7</w:t>
      </w:r>
      <w:r>
        <w:rPr>
          <w:shd w:val="clear" w:color="auto" w:fill="FFFFFF"/>
        </w:rPr>
        <w:tab/>
        <w:t>Independent review of competition policy 2014-15</w:t>
      </w:r>
      <w:bookmarkEnd w:id="13"/>
    </w:p>
    <w:p w14:paraId="38EE2A21" w14:textId="14B2A425" w:rsidR="005C2248" w:rsidRDefault="005231BE" w:rsidP="00931787">
      <w:pPr>
        <w:spacing w:after="0"/>
        <w:rPr>
          <w:shd w:val="clear" w:color="auto" w:fill="FFFFFF"/>
        </w:rPr>
      </w:pPr>
      <w:r>
        <w:rPr>
          <w:shd w:val="clear" w:color="auto" w:fill="FFFFFF"/>
        </w:rPr>
        <w:t>A</w:t>
      </w:r>
      <w:r w:rsidR="005C2248">
        <w:rPr>
          <w:shd w:val="clear" w:color="auto" w:fill="FFFFFF"/>
        </w:rPr>
        <w:t xml:space="preserve"> second independent review of competition policy was conducted in 2014-15 – the Harper review.</w:t>
      </w:r>
      <w:r w:rsidR="005C2248">
        <w:rPr>
          <w:rStyle w:val="FootnoteReference"/>
          <w:shd w:val="clear" w:color="auto" w:fill="FFFFFF"/>
        </w:rPr>
        <w:footnoteReference w:id="62"/>
      </w:r>
    </w:p>
    <w:p w14:paraId="23D3055D" w14:textId="77777777" w:rsidR="005C2248" w:rsidRDefault="005C2248" w:rsidP="00931787">
      <w:pPr>
        <w:spacing w:after="0"/>
        <w:rPr>
          <w:shd w:val="clear" w:color="auto" w:fill="FFFFFF"/>
        </w:rPr>
      </w:pPr>
    </w:p>
    <w:p w14:paraId="71817E4C" w14:textId="1448EB6B" w:rsidR="005C2248" w:rsidRDefault="005C2248" w:rsidP="00931787">
      <w:pPr>
        <w:spacing w:after="0"/>
      </w:pPr>
      <w:r>
        <w:rPr>
          <w:shd w:val="clear" w:color="auto" w:fill="FFFFFF"/>
        </w:rPr>
        <w:t>That review said the rail concern of Hilmer’s report was freight networks</w:t>
      </w:r>
      <w:r w:rsidR="0039740C">
        <w:rPr>
          <w:shd w:val="clear" w:color="auto" w:fill="FFFFFF"/>
        </w:rPr>
        <w:t>.  It also said</w:t>
      </w:r>
      <w:r>
        <w:rPr>
          <w:shd w:val="clear" w:color="auto" w:fill="FFFFFF"/>
        </w:rPr>
        <w:t xml:space="preserve"> the </w:t>
      </w:r>
      <w:r>
        <w:t xml:space="preserve">original competition policy objectives for rail had been achieved.  </w:t>
      </w:r>
    </w:p>
    <w:p w14:paraId="0FD72EAF" w14:textId="77777777" w:rsidR="005C2248" w:rsidRDefault="005C2248" w:rsidP="00931787">
      <w:pPr>
        <w:spacing w:after="0"/>
      </w:pPr>
    </w:p>
    <w:p w14:paraId="4D26B9D4" w14:textId="77777777" w:rsidR="005C2248" w:rsidRDefault="005C2248" w:rsidP="00931787">
      <w:pPr>
        <w:spacing w:after="0"/>
      </w:pPr>
      <w:r>
        <w:t xml:space="preserve">In effect, it chided Governments for taking competition policy too far, at least in railways.  While recognising there had been extensive structural separation of railway organisations, it argued for greater pragmatism where there is no prospect for contemporaneous competition among rail (freight) operators.  </w:t>
      </w:r>
    </w:p>
    <w:p w14:paraId="61B3D414" w14:textId="77777777" w:rsidR="005C2248" w:rsidRDefault="005C2248" w:rsidP="00931787">
      <w:pPr>
        <w:spacing w:after="0"/>
      </w:pPr>
    </w:p>
    <w:p w14:paraId="4ADBE9D8" w14:textId="77777777" w:rsidR="005C2248" w:rsidRDefault="005C2248" w:rsidP="00931787">
      <w:pPr>
        <w:spacing w:after="0"/>
      </w:pPr>
      <w:r>
        <w:lastRenderedPageBreak/>
        <w:t>In its view, national infrastructure access arrangements had extended beyond reasonable intentions to the point they may damage economic efficiency, for example by application to single use, privately funded infrastructure:</w:t>
      </w:r>
    </w:p>
    <w:p w14:paraId="71A6D07E" w14:textId="765D6C60" w:rsidR="005C2248" w:rsidRPr="001146F4" w:rsidRDefault="005C2248" w:rsidP="00931787">
      <w:pPr>
        <w:spacing w:after="0"/>
        <w:ind w:left="720"/>
        <w:rPr>
          <w:i/>
          <w:iCs/>
          <w:shd w:val="clear" w:color="auto" w:fill="FFFFFF"/>
        </w:rPr>
      </w:pPr>
      <w:r>
        <w:rPr>
          <w:i/>
          <w:iCs/>
        </w:rPr>
        <w:t>‘</w:t>
      </w:r>
      <w:r w:rsidRPr="001146F4">
        <w:rPr>
          <w:i/>
          <w:iCs/>
        </w:rPr>
        <w:t>the National Access Regime is likely to generate net benefits to the community, but its scope should be confined to ensure its use is limited to the exceptional cases where the benefits arising from increased competition i</w:t>
      </w:r>
      <w:r w:rsidRPr="00216BFD">
        <w:rPr>
          <w:i/>
          <w:iCs/>
        </w:rPr>
        <w:t>n where the benefits arising from increased competition in dependent markets are likely to outweigh the costs of regulated third-party access.</w:t>
      </w:r>
      <w:r>
        <w:rPr>
          <w:i/>
          <w:iCs/>
        </w:rPr>
        <w:t>’</w:t>
      </w:r>
      <w:r w:rsidR="00627B19">
        <w:rPr>
          <w:rStyle w:val="FootnoteReference"/>
          <w:i/>
          <w:iCs/>
        </w:rPr>
        <w:footnoteReference w:id="63"/>
      </w:r>
    </w:p>
    <w:p w14:paraId="2799677D" w14:textId="77777777" w:rsidR="005C2248" w:rsidRDefault="005C2248" w:rsidP="00931787">
      <w:pPr>
        <w:spacing w:after="0"/>
      </w:pPr>
    </w:p>
    <w:p w14:paraId="4323E7AC" w14:textId="3C677876" w:rsidR="005C2248" w:rsidRDefault="005231BE" w:rsidP="00931787">
      <w:pPr>
        <w:spacing w:after="0"/>
      </w:pPr>
      <w:r>
        <w:t>The Harper review</w:t>
      </w:r>
      <w:r w:rsidR="005C2248">
        <w:t xml:space="preserve"> differentiated commuter rail from other parts of the rail industry, viewing </w:t>
      </w:r>
      <w:r>
        <w:t>the sector</w:t>
      </w:r>
      <w:r w:rsidR="005C2248">
        <w:t xml:space="preserve"> to be part of public transport.  It suggested lessons from other sectors – and Victoria – could be applied to public transport franchising.</w:t>
      </w:r>
    </w:p>
    <w:p w14:paraId="537B9357" w14:textId="77777777" w:rsidR="005C2248" w:rsidRDefault="005C2248" w:rsidP="00931787">
      <w:pPr>
        <w:spacing w:after="0"/>
      </w:pPr>
    </w:p>
    <w:p w14:paraId="46D052FC" w14:textId="3C4DA3C7" w:rsidR="005C2248" w:rsidRDefault="005231BE" w:rsidP="00931787">
      <w:pPr>
        <w:spacing w:after="0"/>
        <w:rPr>
          <w:shd w:val="clear" w:color="auto" w:fill="FFFFFF"/>
        </w:rPr>
      </w:pPr>
      <w:r>
        <w:rPr>
          <w:shd w:val="clear" w:color="auto" w:fill="FFFFFF"/>
        </w:rPr>
        <w:t>The review</w:t>
      </w:r>
      <w:r w:rsidR="005C2248">
        <w:rPr>
          <w:shd w:val="clear" w:color="auto" w:fill="FFFFFF"/>
        </w:rPr>
        <w:t xml:space="preserve"> was silent about structural separation of, and infrastructure access, to commuter railways.</w:t>
      </w:r>
    </w:p>
    <w:p w14:paraId="147C613C" w14:textId="77777777" w:rsidR="00DB32EB" w:rsidRPr="00913214" w:rsidRDefault="00DB32EB" w:rsidP="00931787">
      <w:pPr>
        <w:spacing w:after="0"/>
        <w:rPr>
          <w:sz w:val="16"/>
          <w:szCs w:val="16"/>
          <w:shd w:val="clear" w:color="auto" w:fill="FFFFFF"/>
        </w:rPr>
      </w:pPr>
    </w:p>
    <w:p w14:paraId="16BE51EC" w14:textId="3E695E05" w:rsidR="005C2248" w:rsidRDefault="005C2248" w:rsidP="00931787">
      <w:pPr>
        <w:pStyle w:val="Heading3"/>
        <w:rPr>
          <w:shd w:val="clear" w:color="auto" w:fill="FFFFFF"/>
        </w:rPr>
      </w:pPr>
      <w:bookmarkStart w:id="14" w:name="_Toc93085762"/>
      <w:r>
        <w:rPr>
          <w:shd w:val="clear" w:color="auto" w:fill="FFFFFF"/>
        </w:rPr>
        <w:t>3.8</w:t>
      </w:r>
      <w:r>
        <w:rPr>
          <w:shd w:val="clear" w:color="auto" w:fill="FFFFFF"/>
        </w:rPr>
        <w:tab/>
        <w:t>Summary of microeconomic reform</w:t>
      </w:r>
      <w:bookmarkEnd w:id="14"/>
    </w:p>
    <w:p w14:paraId="2AB8F188" w14:textId="77777777" w:rsidR="00FA721A" w:rsidRDefault="00FA721A" w:rsidP="00931787">
      <w:pPr>
        <w:pStyle w:val="Heading4"/>
        <w:rPr>
          <w:shd w:val="clear" w:color="auto" w:fill="FFFFFF"/>
        </w:rPr>
      </w:pPr>
      <w:r>
        <w:rPr>
          <w:shd w:val="clear" w:color="auto" w:fill="FFFFFF"/>
        </w:rPr>
        <w:t>3.8.1</w:t>
      </w:r>
      <w:r>
        <w:rPr>
          <w:shd w:val="clear" w:color="auto" w:fill="FFFFFF"/>
        </w:rPr>
        <w:tab/>
        <w:t>Overview</w:t>
      </w:r>
    </w:p>
    <w:p w14:paraId="1E5976F2" w14:textId="1C95539A" w:rsidR="005C2248" w:rsidRDefault="005C2248" w:rsidP="00931787">
      <w:pPr>
        <w:spacing w:after="0"/>
        <w:rPr>
          <w:shd w:val="clear" w:color="auto" w:fill="FFFFFF"/>
        </w:rPr>
      </w:pPr>
      <w:r>
        <w:rPr>
          <w:shd w:val="clear" w:color="auto" w:fill="FFFFFF"/>
        </w:rPr>
        <w:t xml:space="preserve">The time of the Glenbrook Commission (2000) can be seen as the watershed in ‘microeconomic reform’ of commuter rail.  </w:t>
      </w:r>
      <w:r w:rsidR="000E3203">
        <w:rPr>
          <w:shd w:val="clear" w:color="auto" w:fill="FFFFFF"/>
        </w:rPr>
        <w:t>Its</w:t>
      </w:r>
      <w:r>
        <w:rPr>
          <w:shd w:val="clear" w:color="auto" w:fill="FFFFFF"/>
        </w:rPr>
        <w:t xml:space="preserve"> conclusions that the rail infrastructure owner should maintain the assets and that network control remain with the commuter train operator remain unchallenged.</w:t>
      </w:r>
    </w:p>
    <w:p w14:paraId="6934DBD5" w14:textId="77777777" w:rsidR="005C2248" w:rsidRDefault="005C2248" w:rsidP="00931787">
      <w:pPr>
        <w:spacing w:after="0"/>
        <w:rPr>
          <w:shd w:val="clear" w:color="auto" w:fill="FFFFFF"/>
        </w:rPr>
      </w:pPr>
    </w:p>
    <w:p w14:paraId="2BE263E1" w14:textId="3E83D3A6" w:rsidR="005C2248" w:rsidRDefault="005C2248" w:rsidP="00931787">
      <w:pPr>
        <w:spacing w:after="0"/>
        <w:rPr>
          <w:shd w:val="clear" w:color="auto" w:fill="FFFFFF"/>
        </w:rPr>
      </w:pPr>
      <w:r>
        <w:rPr>
          <w:shd w:val="clear" w:color="auto" w:fill="FFFFFF"/>
        </w:rPr>
        <w:t>Even without the Glenbrook Commission, experience in the UK and Victoria would likely have led to the same conclusion</w:t>
      </w:r>
      <w:r w:rsidR="00E40797">
        <w:rPr>
          <w:shd w:val="clear" w:color="auto" w:fill="FFFFFF"/>
        </w:rPr>
        <w:t>s</w:t>
      </w:r>
      <w:r>
        <w:rPr>
          <w:shd w:val="clear" w:color="auto" w:fill="FFFFFF"/>
        </w:rPr>
        <w:t>.</w:t>
      </w:r>
    </w:p>
    <w:p w14:paraId="271E7EFD" w14:textId="77777777" w:rsidR="005C2248" w:rsidRDefault="005C2248" w:rsidP="00931787">
      <w:pPr>
        <w:spacing w:after="0"/>
        <w:rPr>
          <w:shd w:val="clear" w:color="auto" w:fill="FFFFFF"/>
        </w:rPr>
      </w:pPr>
    </w:p>
    <w:p w14:paraId="57FA77FD" w14:textId="09530F8A" w:rsidR="005C2248" w:rsidRDefault="005C2248" w:rsidP="00931787">
      <w:pPr>
        <w:spacing w:after="0"/>
        <w:rPr>
          <w:shd w:val="clear" w:color="auto" w:fill="FFFFFF"/>
        </w:rPr>
      </w:pPr>
      <w:r>
        <w:rPr>
          <w:shd w:val="clear" w:color="auto" w:fill="FFFFFF"/>
        </w:rPr>
        <w:t>Since then,</w:t>
      </w:r>
      <w:r w:rsidR="000E3203">
        <w:rPr>
          <w:shd w:val="clear" w:color="auto" w:fill="FFFFFF"/>
        </w:rPr>
        <w:t xml:space="preserve"> </w:t>
      </w:r>
      <w:r>
        <w:rPr>
          <w:shd w:val="clear" w:color="auto" w:fill="FFFFFF"/>
        </w:rPr>
        <w:t xml:space="preserve">there has not been any official suggestion – including in the several reviews of competition, rail or infrastructure policy - that ‘reform’ or ‘competition policy’ should be advanced by structural </w:t>
      </w:r>
      <w:r w:rsidR="003B638E">
        <w:rPr>
          <w:shd w:val="clear" w:color="auto" w:fill="FFFFFF"/>
        </w:rPr>
        <w:t>division</w:t>
      </w:r>
      <w:r>
        <w:rPr>
          <w:shd w:val="clear" w:color="auto" w:fill="FFFFFF"/>
        </w:rPr>
        <w:t xml:space="preserve"> of a commuter railway.  It is as if this is not a matter fit for discussion.</w:t>
      </w:r>
    </w:p>
    <w:p w14:paraId="3EDA1B13" w14:textId="77777777" w:rsidR="005C2248" w:rsidRDefault="005C2248" w:rsidP="00931787">
      <w:pPr>
        <w:spacing w:after="0"/>
        <w:rPr>
          <w:shd w:val="clear" w:color="auto" w:fill="FFFFFF"/>
        </w:rPr>
      </w:pPr>
    </w:p>
    <w:p w14:paraId="504D6C89" w14:textId="2E84654A" w:rsidR="005C2248" w:rsidRDefault="005C2248" w:rsidP="00931787">
      <w:pPr>
        <w:spacing w:after="0"/>
        <w:rPr>
          <w:shd w:val="clear" w:color="auto" w:fill="FFFFFF"/>
        </w:rPr>
      </w:pPr>
      <w:r>
        <w:rPr>
          <w:shd w:val="clear" w:color="auto" w:fill="FFFFFF"/>
        </w:rPr>
        <w:t xml:space="preserve">Similarly, since – and even before – then, there has not been publication of any Government review of the structure or governance of NSW rail.  </w:t>
      </w:r>
      <w:r w:rsidR="000E3203">
        <w:rPr>
          <w:shd w:val="clear" w:color="auto" w:fill="FFFFFF"/>
        </w:rPr>
        <w:t>National competition policy requires s</w:t>
      </w:r>
      <w:r>
        <w:rPr>
          <w:shd w:val="clear" w:color="auto" w:fill="FFFFFF"/>
        </w:rPr>
        <w:t>uch a review prior to Governments considering structural change.</w:t>
      </w:r>
    </w:p>
    <w:p w14:paraId="2F86CF03" w14:textId="61C07B0F" w:rsidR="00A939C6" w:rsidRDefault="00A939C6" w:rsidP="00931787">
      <w:pPr>
        <w:spacing w:after="0"/>
        <w:rPr>
          <w:shd w:val="clear" w:color="auto" w:fill="FFFFFF"/>
        </w:rPr>
      </w:pPr>
    </w:p>
    <w:p w14:paraId="4F5FC424" w14:textId="77777777" w:rsidR="002C0871" w:rsidRDefault="00A939C6" w:rsidP="00931787">
      <w:pPr>
        <w:spacing w:after="0"/>
        <w:rPr>
          <w:shd w:val="clear" w:color="auto" w:fill="FFFFFF"/>
        </w:rPr>
      </w:pPr>
      <w:r>
        <w:rPr>
          <w:shd w:val="clear" w:color="auto" w:fill="FFFFFF"/>
        </w:rPr>
        <w:t>The only process approaching a review of the micro-economic issues of Sydney commuter rail, by the Independent Pricing and Regulatory Tribunal, presumed the sector should be served by a vertically integrated statutory authority – rather than a vertically (severally) separated state-owned corporation.  It did not consider that organisational form to be an impediment to efficiency.</w:t>
      </w:r>
    </w:p>
    <w:p w14:paraId="682B9011" w14:textId="77777777" w:rsidR="002C0871" w:rsidRDefault="002C0871" w:rsidP="00931787">
      <w:pPr>
        <w:spacing w:after="0"/>
        <w:rPr>
          <w:shd w:val="clear" w:color="auto" w:fill="FFFFFF"/>
        </w:rPr>
      </w:pPr>
    </w:p>
    <w:p w14:paraId="303DC78A" w14:textId="668BB476" w:rsidR="00A939C6" w:rsidRDefault="00CD6576" w:rsidP="00931787">
      <w:pPr>
        <w:spacing w:after="0"/>
        <w:rPr>
          <w:shd w:val="clear" w:color="auto" w:fill="FFFFFF"/>
        </w:rPr>
      </w:pPr>
      <w:r>
        <w:rPr>
          <w:shd w:val="clear" w:color="auto" w:fill="FFFFFF"/>
        </w:rPr>
        <w:t xml:space="preserve">However, a Commission of Inquiry </w:t>
      </w:r>
      <w:r w:rsidR="00A46551">
        <w:rPr>
          <w:shd w:val="clear" w:color="auto" w:fill="FFFFFF"/>
        </w:rPr>
        <w:t xml:space="preserve">- </w:t>
      </w:r>
      <w:r>
        <w:rPr>
          <w:shd w:val="clear" w:color="auto" w:fill="FFFFFF"/>
        </w:rPr>
        <w:t xml:space="preserve">into Sydney Ferries </w:t>
      </w:r>
      <w:r w:rsidR="00A46551">
        <w:rPr>
          <w:shd w:val="clear" w:color="auto" w:fill="FFFFFF"/>
        </w:rPr>
        <w:t xml:space="preserve">- </w:t>
      </w:r>
      <w:r>
        <w:rPr>
          <w:shd w:val="clear" w:color="auto" w:fill="FFFFFF"/>
        </w:rPr>
        <w:t xml:space="preserve">did say that </w:t>
      </w:r>
      <w:r w:rsidR="00A46551">
        <w:rPr>
          <w:shd w:val="clear" w:color="auto" w:fill="FFFFFF"/>
        </w:rPr>
        <w:t xml:space="preserve">the </w:t>
      </w:r>
      <w:r>
        <w:rPr>
          <w:shd w:val="clear" w:color="auto" w:fill="FFFFFF"/>
        </w:rPr>
        <w:t xml:space="preserve">State-owned corporation </w:t>
      </w:r>
      <w:r w:rsidR="00E40797">
        <w:rPr>
          <w:shd w:val="clear" w:color="auto" w:fill="FFFFFF"/>
        </w:rPr>
        <w:t xml:space="preserve">organisational form </w:t>
      </w:r>
      <w:r>
        <w:rPr>
          <w:shd w:val="clear" w:color="auto" w:fill="FFFFFF"/>
        </w:rPr>
        <w:t xml:space="preserve">is an impediment to efficiency and effectiveness in that sector due to its public purpose </w:t>
      </w:r>
      <w:r w:rsidR="00A46551">
        <w:rPr>
          <w:shd w:val="clear" w:color="auto" w:fill="FFFFFF"/>
        </w:rPr>
        <w:t xml:space="preserve">and benefit </w:t>
      </w:r>
      <w:r>
        <w:rPr>
          <w:shd w:val="clear" w:color="auto" w:fill="FFFFFF"/>
        </w:rPr>
        <w:t xml:space="preserve">of providing services that require </w:t>
      </w:r>
      <w:r w:rsidR="00A46551">
        <w:rPr>
          <w:shd w:val="clear" w:color="auto" w:fill="FFFFFF"/>
        </w:rPr>
        <w:t xml:space="preserve">substantial </w:t>
      </w:r>
      <w:r>
        <w:rPr>
          <w:shd w:val="clear" w:color="auto" w:fill="FFFFFF"/>
        </w:rPr>
        <w:t>subsidy.</w:t>
      </w:r>
    </w:p>
    <w:p w14:paraId="53DB0EE6" w14:textId="15D77CAD" w:rsidR="00CD6576" w:rsidRDefault="00CD6576" w:rsidP="00931787">
      <w:pPr>
        <w:spacing w:after="0"/>
        <w:rPr>
          <w:shd w:val="clear" w:color="auto" w:fill="FFFFFF"/>
        </w:rPr>
      </w:pPr>
    </w:p>
    <w:p w14:paraId="2A5F453F" w14:textId="17047691" w:rsidR="003B638E" w:rsidRDefault="005C2248" w:rsidP="00931787">
      <w:pPr>
        <w:spacing w:after="0"/>
        <w:rPr>
          <w:shd w:val="clear" w:color="auto" w:fill="FFFFFF"/>
        </w:rPr>
      </w:pPr>
      <w:r>
        <w:rPr>
          <w:shd w:val="clear" w:color="auto" w:fill="FFFFFF"/>
        </w:rPr>
        <w:t xml:space="preserve">That provides context for </w:t>
      </w:r>
      <w:r w:rsidR="003B638E">
        <w:rPr>
          <w:shd w:val="clear" w:color="auto" w:fill="FFFFFF"/>
        </w:rPr>
        <w:t>considering</w:t>
      </w:r>
      <w:r>
        <w:rPr>
          <w:shd w:val="clear" w:color="auto" w:fill="FFFFFF"/>
        </w:rPr>
        <w:t xml:space="preserve"> </w:t>
      </w:r>
      <w:r w:rsidR="003B638E">
        <w:rPr>
          <w:shd w:val="clear" w:color="auto" w:fill="FFFFFF"/>
        </w:rPr>
        <w:t xml:space="preserve">the accuracy of the </w:t>
      </w:r>
      <w:r>
        <w:rPr>
          <w:shd w:val="clear" w:color="auto" w:fill="FFFFFF"/>
        </w:rPr>
        <w:t xml:space="preserve">Treasury and Transport ‘narrative’.  </w:t>
      </w:r>
    </w:p>
    <w:p w14:paraId="56B6C358" w14:textId="77777777" w:rsidR="003B638E" w:rsidRDefault="003B638E" w:rsidP="00931787">
      <w:pPr>
        <w:spacing w:after="0"/>
        <w:rPr>
          <w:shd w:val="clear" w:color="auto" w:fill="FFFFFF"/>
        </w:rPr>
      </w:pPr>
    </w:p>
    <w:p w14:paraId="7D198839" w14:textId="77777777" w:rsidR="00B53AB5" w:rsidRDefault="005C2248" w:rsidP="00931787">
      <w:pPr>
        <w:spacing w:after="0"/>
        <w:rPr>
          <w:shd w:val="clear" w:color="auto" w:fill="FFFFFF"/>
        </w:rPr>
      </w:pPr>
      <w:r>
        <w:rPr>
          <w:shd w:val="clear" w:color="auto" w:fill="FFFFFF"/>
        </w:rPr>
        <w:t>The narrative is a</w:t>
      </w:r>
      <w:r w:rsidR="004B194F">
        <w:rPr>
          <w:shd w:val="clear" w:color="auto" w:fill="FFFFFF"/>
        </w:rPr>
        <w:t>lmost a</w:t>
      </w:r>
      <w:r>
        <w:rPr>
          <w:shd w:val="clear" w:color="auto" w:fill="FFFFFF"/>
        </w:rPr>
        <w:t xml:space="preserve"> replica of the 1995 second reading speech (3.</w:t>
      </w:r>
      <w:r w:rsidR="00A939C6">
        <w:rPr>
          <w:shd w:val="clear" w:color="auto" w:fill="FFFFFF"/>
        </w:rPr>
        <w:t>3</w:t>
      </w:r>
      <w:r>
        <w:rPr>
          <w:shd w:val="clear" w:color="auto" w:fill="FFFFFF"/>
        </w:rPr>
        <w:t xml:space="preserve"> above) that led to the structure scorned by the Productivity Commission, not mentioned by the competition club, rejected by the Glenbrook Commission and thrown-out by the Government in 2000.  </w:t>
      </w:r>
    </w:p>
    <w:p w14:paraId="3663A1FF" w14:textId="21455D50" w:rsidR="005C2248" w:rsidRDefault="005C2248" w:rsidP="00931787">
      <w:pPr>
        <w:spacing w:after="0"/>
        <w:rPr>
          <w:shd w:val="clear" w:color="auto" w:fill="FFFFFF"/>
        </w:rPr>
      </w:pPr>
      <w:r>
        <w:rPr>
          <w:shd w:val="clear" w:color="auto" w:fill="FFFFFF"/>
        </w:rPr>
        <w:lastRenderedPageBreak/>
        <w:t>Until exhumed in 2017</w:t>
      </w:r>
      <w:r w:rsidR="00B53AB5">
        <w:rPr>
          <w:shd w:val="clear" w:color="auto" w:fill="FFFFFF"/>
        </w:rPr>
        <w:t xml:space="preserve"> without reference to what occurred in the interim</w:t>
      </w:r>
      <w:r w:rsidR="003B638E">
        <w:rPr>
          <w:shd w:val="clear" w:color="auto" w:fill="FFFFFF"/>
        </w:rPr>
        <w:t>.</w:t>
      </w:r>
    </w:p>
    <w:p w14:paraId="274A8AEE" w14:textId="77777777" w:rsidR="005C2248" w:rsidRDefault="005C2248" w:rsidP="00931787">
      <w:pPr>
        <w:spacing w:after="0"/>
        <w:rPr>
          <w:shd w:val="clear" w:color="auto" w:fill="FFFFFF"/>
        </w:rPr>
      </w:pPr>
    </w:p>
    <w:p w14:paraId="047CA362" w14:textId="7BE6D3BB" w:rsidR="005C2248" w:rsidRDefault="005C2248" w:rsidP="00931787">
      <w:pPr>
        <w:spacing w:after="0"/>
        <w:rPr>
          <w:shd w:val="clear" w:color="auto" w:fill="FFFFFF"/>
        </w:rPr>
      </w:pPr>
      <w:r>
        <w:rPr>
          <w:shd w:val="clear" w:color="auto" w:fill="FFFFFF"/>
        </w:rPr>
        <w:t xml:space="preserve">Were the Treasury and Transport submission to be taken seriously, it would indicate </w:t>
      </w:r>
      <w:r w:rsidR="00A939C6">
        <w:rPr>
          <w:shd w:val="clear" w:color="auto" w:fill="FFFFFF"/>
        </w:rPr>
        <w:t>critical</w:t>
      </w:r>
      <w:r>
        <w:rPr>
          <w:shd w:val="clear" w:color="auto" w:fill="FFFFFF"/>
        </w:rPr>
        <w:t xml:space="preserve"> research and analytical failures in advice to the NSW Government – not least of which is </w:t>
      </w:r>
      <w:r w:rsidR="000E3203">
        <w:rPr>
          <w:shd w:val="clear" w:color="auto" w:fill="FFFFFF"/>
        </w:rPr>
        <w:t>‘</w:t>
      </w:r>
      <w:r>
        <w:rPr>
          <w:shd w:val="clear" w:color="auto" w:fill="FFFFFF"/>
        </w:rPr>
        <w:t>thinking</w:t>
      </w:r>
      <w:r w:rsidR="000E3203">
        <w:rPr>
          <w:shd w:val="clear" w:color="auto" w:fill="FFFFFF"/>
        </w:rPr>
        <w:t>’</w:t>
      </w:r>
      <w:r>
        <w:rPr>
          <w:shd w:val="clear" w:color="auto" w:fill="FFFFFF"/>
        </w:rPr>
        <w:t xml:space="preserve"> several decades out of date</w:t>
      </w:r>
      <w:r w:rsidR="00CD6576">
        <w:rPr>
          <w:shd w:val="clear" w:color="auto" w:fill="FFFFFF"/>
        </w:rPr>
        <w:t xml:space="preserve"> and lack</w:t>
      </w:r>
      <w:r w:rsidR="00B53AB5">
        <w:rPr>
          <w:shd w:val="clear" w:color="auto" w:fill="FFFFFF"/>
        </w:rPr>
        <w:t>ing</w:t>
      </w:r>
      <w:r w:rsidR="00CD6576">
        <w:rPr>
          <w:shd w:val="clear" w:color="auto" w:fill="FFFFFF"/>
        </w:rPr>
        <w:t xml:space="preserve"> awareness of experience in NSW</w:t>
      </w:r>
      <w:r>
        <w:rPr>
          <w:shd w:val="clear" w:color="auto" w:fill="FFFFFF"/>
        </w:rPr>
        <w:t>.</w:t>
      </w:r>
      <w:r w:rsidR="00383F90">
        <w:rPr>
          <w:shd w:val="clear" w:color="auto" w:fill="FFFFFF"/>
        </w:rPr>
        <w:t xml:space="preserve">  </w:t>
      </w:r>
    </w:p>
    <w:p w14:paraId="63DC073E" w14:textId="77777777" w:rsidR="004B194F" w:rsidRDefault="004B194F" w:rsidP="00931787">
      <w:pPr>
        <w:spacing w:after="0"/>
        <w:rPr>
          <w:shd w:val="clear" w:color="auto" w:fill="FFFFFF"/>
        </w:rPr>
      </w:pPr>
    </w:p>
    <w:p w14:paraId="47D95865" w14:textId="044B714C" w:rsidR="00FA721A" w:rsidRDefault="00FA721A" w:rsidP="00931787">
      <w:pPr>
        <w:pStyle w:val="Heading4"/>
        <w:rPr>
          <w:shd w:val="clear" w:color="auto" w:fill="FFFFFF"/>
        </w:rPr>
      </w:pPr>
      <w:r>
        <w:rPr>
          <w:shd w:val="clear" w:color="auto" w:fill="FFFFFF"/>
        </w:rPr>
        <w:t>3</w:t>
      </w:r>
      <w:r w:rsidR="001E4AF8">
        <w:rPr>
          <w:shd w:val="clear" w:color="auto" w:fill="FFFFFF"/>
        </w:rPr>
        <w:t>.</w:t>
      </w:r>
      <w:r>
        <w:rPr>
          <w:shd w:val="clear" w:color="auto" w:fill="FFFFFF"/>
        </w:rPr>
        <w:t>8.2</w:t>
      </w:r>
      <w:r>
        <w:rPr>
          <w:shd w:val="clear" w:color="auto" w:fill="FFFFFF"/>
        </w:rPr>
        <w:tab/>
        <w:t>Some further detail</w:t>
      </w:r>
    </w:p>
    <w:p w14:paraId="48AEB3B0" w14:textId="77777777" w:rsidR="00FA721A" w:rsidRDefault="005C2248" w:rsidP="00931787">
      <w:pPr>
        <w:spacing w:after="0"/>
        <w:rPr>
          <w:shd w:val="clear" w:color="auto" w:fill="FFFFFF"/>
        </w:rPr>
      </w:pPr>
      <w:r>
        <w:rPr>
          <w:shd w:val="clear" w:color="auto" w:fill="FFFFFF"/>
        </w:rPr>
        <w:t xml:space="preserve">Some </w:t>
      </w:r>
      <w:r w:rsidR="00FA721A">
        <w:rPr>
          <w:shd w:val="clear" w:color="auto" w:fill="FFFFFF"/>
        </w:rPr>
        <w:t>specific remarks in the submission warrant attention.</w:t>
      </w:r>
    </w:p>
    <w:p w14:paraId="3C94A82A" w14:textId="71303CA7" w:rsidR="005C2248" w:rsidRDefault="005C2248" w:rsidP="00931787">
      <w:pPr>
        <w:spacing w:after="0"/>
        <w:rPr>
          <w:shd w:val="clear" w:color="auto" w:fill="FFFFFF"/>
        </w:rPr>
      </w:pPr>
    </w:p>
    <w:p w14:paraId="2E042AA0" w14:textId="77777777" w:rsidR="005C2248" w:rsidRPr="00FA721A" w:rsidRDefault="005C2248" w:rsidP="00931787">
      <w:pPr>
        <w:pStyle w:val="ListParagraph"/>
        <w:numPr>
          <w:ilvl w:val="0"/>
          <w:numId w:val="6"/>
        </w:numPr>
        <w:spacing w:after="0"/>
        <w:ind w:left="360"/>
        <w:rPr>
          <w:i/>
          <w:iCs/>
        </w:rPr>
      </w:pPr>
      <w:r>
        <w:t>‘</w:t>
      </w:r>
      <w:r w:rsidRPr="00FA721A">
        <w:rPr>
          <w:i/>
          <w:iCs/>
        </w:rPr>
        <w:t xml:space="preserve">….the TAHE reforms are also consistent with micro-economic policies that have been progressively adopted by the NSW Government since the introduction of the National Competition Policy (NCP). </w:t>
      </w:r>
    </w:p>
    <w:p w14:paraId="70E40E05" w14:textId="77777777" w:rsidR="005C2248" w:rsidRDefault="005C2248" w:rsidP="00931787">
      <w:pPr>
        <w:spacing w:after="0"/>
      </w:pPr>
    </w:p>
    <w:p w14:paraId="77FAC41C" w14:textId="76656A51" w:rsidR="005C2248" w:rsidRDefault="005C2248" w:rsidP="00931787">
      <w:pPr>
        <w:spacing w:after="0"/>
      </w:pPr>
      <w:r>
        <w:t xml:space="preserve">That is false.  There has not been a steady, progressive, adoption of </w:t>
      </w:r>
      <w:r w:rsidR="003B638E">
        <w:t>‘</w:t>
      </w:r>
      <w:r>
        <w:t>competition policies</w:t>
      </w:r>
      <w:r w:rsidR="003B638E">
        <w:t>’</w:t>
      </w:r>
      <w:r>
        <w:t xml:space="preserve"> for commuter rail in NSW.  In fact, after the initial policy </w:t>
      </w:r>
      <w:r w:rsidR="004D3482">
        <w:t xml:space="preserve">- </w:t>
      </w:r>
      <w:r>
        <w:t>which closely resemble</w:t>
      </w:r>
      <w:r w:rsidR="004D3482">
        <w:t>d</w:t>
      </w:r>
      <w:r>
        <w:t xml:space="preserve"> arrangements for the Entity</w:t>
      </w:r>
      <w:r w:rsidR="004D3482">
        <w:t xml:space="preserve"> -</w:t>
      </w:r>
      <w:r>
        <w:t>was rejected in 2000</w:t>
      </w:r>
      <w:r w:rsidR="004D3482">
        <w:t xml:space="preserve">, there have been reversals and </w:t>
      </w:r>
      <w:r w:rsidR="00DF5228">
        <w:t>U-turns</w:t>
      </w:r>
      <w:r>
        <w:t>.</w:t>
      </w:r>
    </w:p>
    <w:p w14:paraId="6A424E65" w14:textId="77777777" w:rsidR="005C2248" w:rsidRDefault="005C2248" w:rsidP="00931787">
      <w:pPr>
        <w:spacing w:after="0"/>
      </w:pPr>
    </w:p>
    <w:p w14:paraId="0CC66C02" w14:textId="77777777" w:rsidR="005C2248" w:rsidRPr="00FA721A" w:rsidRDefault="005C2248" w:rsidP="00931787">
      <w:pPr>
        <w:pStyle w:val="ListParagraph"/>
        <w:numPr>
          <w:ilvl w:val="0"/>
          <w:numId w:val="6"/>
        </w:numPr>
        <w:spacing w:after="0"/>
        <w:ind w:left="360"/>
        <w:rPr>
          <w:i/>
          <w:iCs/>
          <w:noProof/>
        </w:rPr>
      </w:pPr>
      <w:r w:rsidRPr="00FA721A">
        <w:rPr>
          <w:i/>
          <w:iCs/>
        </w:rPr>
        <w:t xml:space="preserve">‘The 1993 Hilmer Report on National Competition Policy recommended Governments examine the merits of structural separation of public authorities into natural monopoly and potentially contestable activities.  The report recommended there be access arrangements for strategic natural monopoly assets </w:t>
      </w:r>
      <w:r w:rsidRPr="00FA721A">
        <w:rPr>
          <w:i/>
          <w:iCs/>
          <w:noProof/>
        </w:rPr>
        <w:t>or ‘essential facilities’  The reportexpressely identified rail track as an example of such a natural monopoly…….’</w:t>
      </w:r>
    </w:p>
    <w:p w14:paraId="332A511C" w14:textId="77777777" w:rsidR="005C2248" w:rsidRDefault="005C2248" w:rsidP="00931787">
      <w:pPr>
        <w:spacing w:after="0"/>
        <w:rPr>
          <w:i/>
          <w:iCs/>
          <w:noProof/>
        </w:rPr>
      </w:pPr>
    </w:p>
    <w:p w14:paraId="7976647A" w14:textId="77777777" w:rsidR="005C2248" w:rsidRPr="006D4CB6" w:rsidRDefault="005C2248" w:rsidP="00931787">
      <w:pPr>
        <w:spacing w:after="0"/>
        <w:rPr>
          <w:noProof/>
        </w:rPr>
      </w:pPr>
      <w:r w:rsidRPr="006D4CB6">
        <w:rPr>
          <w:noProof/>
        </w:rPr>
        <w:t>That is misleading.  The Hilmer, and subsequent competition policy reports referred to freight and did not contemplate – in fact the Productivity Commission argued against – application of such a structural separation to commuter rail.</w:t>
      </w:r>
    </w:p>
    <w:p w14:paraId="4DF99D32" w14:textId="77777777" w:rsidR="005C2248" w:rsidRDefault="005C2248" w:rsidP="00931787">
      <w:pPr>
        <w:spacing w:after="0"/>
        <w:rPr>
          <w:i/>
          <w:iCs/>
          <w:noProof/>
        </w:rPr>
      </w:pPr>
    </w:p>
    <w:p w14:paraId="7C10712F" w14:textId="77777777" w:rsidR="005C2248" w:rsidRPr="00FA721A" w:rsidRDefault="005C2248" w:rsidP="00931787">
      <w:pPr>
        <w:pStyle w:val="ListParagraph"/>
        <w:numPr>
          <w:ilvl w:val="0"/>
          <w:numId w:val="6"/>
        </w:numPr>
        <w:spacing w:after="0"/>
        <w:ind w:left="360"/>
        <w:rPr>
          <w:i/>
          <w:iCs/>
          <w:noProof/>
        </w:rPr>
      </w:pPr>
      <w:r w:rsidRPr="00FA721A">
        <w:rPr>
          <w:i/>
          <w:iCs/>
          <w:noProof/>
        </w:rPr>
        <w:t>‘a key driver for reform since the NCP has been a view that state-run monopoly railways tend to inefficiency due to a range of factors including poor incentives.’</w:t>
      </w:r>
    </w:p>
    <w:p w14:paraId="1DD3191A" w14:textId="77777777" w:rsidR="005C2248" w:rsidRDefault="005C2248" w:rsidP="00931787">
      <w:pPr>
        <w:spacing w:after="0"/>
        <w:rPr>
          <w:i/>
          <w:iCs/>
          <w:noProof/>
        </w:rPr>
      </w:pPr>
    </w:p>
    <w:p w14:paraId="4529FCC6" w14:textId="77777777" w:rsidR="000A3189" w:rsidRDefault="005C2248" w:rsidP="00931787">
      <w:pPr>
        <w:spacing w:after="0"/>
        <w:rPr>
          <w:noProof/>
        </w:rPr>
      </w:pPr>
      <w:r w:rsidRPr="006D4CB6">
        <w:rPr>
          <w:noProof/>
        </w:rPr>
        <w:t xml:space="preserve">That is misleading.  </w:t>
      </w:r>
      <w:r w:rsidR="00FA721A">
        <w:rPr>
          <w:noProof/>
        </w:rPr>
        <w:t xml:space="preserve">NSW has not mitigated a ‘state-run monopoly’, but rather placed one part of the monopoly – the ‘natural’ monopoly, in a state-owned corporation.  Commuter rail itself is a monopoly, even when franchised. </w:t>
      </w:r>
      <w:r w:rsidR="000A3189">
        <w:rPr>
          <w:noProof/>
        </w:rPr>
        <w:t xml:space="preserve"> The ‘above rail’ monopoly on services remains with a statutory authority.  NSW has merely created two different monopolies that – perversely – need to deal with each other.</w:t>
      </w:r>
    </w:p>
    <w:p w14:paraId="2B987AE9" w14:textId="25EB0BA2" w:rsidR="00FA721A" w:rsidRDefault="00FA721A" w:rsidP="00931787">
      <w:pPr>
        <w:spacing w:after="0"/>
        <w:rPr>
          <w:noProof/>
        </w:rPr>
      </w:pPr>
      <w:r>
        <w:rPr>
          <w:noProof/>
        </w:rPr>
        <w:t xml:space="preserve">  </w:t>
      </w:r>
    </w:p>
    <w:p w14:paraId="4676CC31" w14:textId="34FCAC0C" w:rsidR="005C2248" w:rsidRDefault="005C2248" w:rsidP="00931787">
      <w:pPr>
        <w:spacing w:after="0"/>
        <w:rPr>
          <w:noProof/>
        </w:rPr>
      </w:pPr>
      <w:r w:rsidRPr="006D4CB6">
        <w:rPr>
          <w:noProof/>
        </w:rPr>
        <w:t xml:space="preserve">The matter of </w:t>
      </w:r>
      <w:r w:rsidR="000A3189">
        <w:rPr>
          <w:noProof/>
        </w:rPr>
        <w:t xml:space="preserve">(in)efficiency and </w:t>
      </w:r>
      <w:r w:rsidRPr="006D4CB6">
        <w:rPr>
          <w:noProof/>
        </w:rPr>
        <w:t>incentives for public sector commuter railways was dealt with by the Independent Pricing and Regulatory Tribunal 20</w:t>
      </w:r>
      <w:r w:rsidR="000A3189">
        <w:rPr>
          <w:noProof/>
        </w:rPr>
        <w:t>08-09</w:t>
      </w:r>
      <w:r w:rsidRPr="006D4CB6">
        <w:rPr>
          <w:noProof/>
        </w:rPr>
        <w:t xml:space="preserve">.  At no time </w:t>
      </w:r>
      <w:r w:rsidR="003B638E">
        <w:rPr>
          <w:noProof/>
        </w:rPr>
        <w:t>did</w:t>
      </w:r>
      <w:r w:rsidRPr="006D4CB6">
        <w:rPr>
          <w:noProof/>
        </w:rPr>
        <w:t xml:space="preserve"> the Tribunal suggest structural separation of the commuter railway</w:t>
      </w:r>
      <w:r w:rsidR="000A3189">
        <w:rPr>
          <w:noProof/>
        </w:rPr>
        <w:t>, or its (partial) corporatisation,</w:t>
      </w:r>
      <w:r w:rsidRPr="006D4CB6">
        <w:rPr>
          <w:noProof/>
        </w:rPr>
        <w:t xml:space="preserve"> is either necessary or desirable.</w:t>
      </w:r>
    </w:p>
    <w:p w14:paraId="56845428" w14:textId="77777777" w:rsidR="005C2248" w:rsidRDefault="005C2248" w:rsidP="00931787">
      <w:pPr>
        <w:spacing w:after="0"/>
        <w:rPr>
          <w:noProof/>
        </w:rPr>
      </w:pPr>
    </w:p>
    <w:p w14:paraId="2D9D7300" w14:textId="77777777" w:rsidR="005C2248" w:rsidRPr="000A3189" w:rsidRDefault="005C2248" w:rsidP="00931787">
      <w:pPr>
        <w:pStyle w:val="ListParagraph"/>
        <w:numPr>
          <w:ilvl w:val="0"/>
          <w:numId w:val="6"/>
        </w:numPr>
        <w:spacing w:after="0"/>
        <w:ind w:left="360"/>
        <w:rPr>
          <w:i/>
          <w:iCs/>
          <w:noProof/>
        </w:rPr>
      </w:pPr>
      <w:r w:rsidRPr="000A3189">
        <w:rPr>
          <w:i/>
          <w:iCs/>
          <w:noProof/>
        </w:rPr>
        <w:t>As such, contrary to some media speculation, TAHE was create as part of a comprehenive multi-year government policy to best optimise the use of state funds to invest in an improved transport network, as well as to implement micro-economic reform in line with the NCP and Hilmer Report.’</w:t>
      </w:r>
      <w:r>
        <w:rPr>
          <w:rStyle w:val="FootnoteReference"/>
          <w:noProof/>
        </w:rPr>
        <w:footnoteReference w:id="64"/>
      </w:r>
    </w:p>
    <w:p w14:paraId="0C519321" w14:textId="77777777" w:rsidR="005C2248" w:rsidRDefault="005C2248" w:rsidP="00931787">
      <w:pPr>
        <w:spacing w:after="0"/>
        <w:rPr>
          <w:shd w:val="clear" w:color="auto" w:fill="FFFFFF"/>
        </w:rPr>
      </w:pPr>
    </w:p>
    <w:p w14:paraId="45342E79" w14:textId="77777777" w:rsidR="000A3189" w:rsidRDefault="005C2248" w:rsidP="00931787">
      <w:pPr>
        <w:spacing w:after="0"/>
        <w:rPr>
          <w:shd w:val="clear" w:color="auto" w:fill="FFFFFF"/>
        </w:rPr>
      </w:pPr>
      <w:r>
        <w:rPr>
          <w:shd w:val="clear" w:color="auto" w:fill="FFFFFF"/>
        </w:rPr>
        <w:t xml:space="preserve">That is misleading.  There is not any evidence of Government policy along those lines, let alone one consistent with the </w:t>
      </w:r>
      <w:r w:rsidRPr="006D4DF9">
        <w:rPr>
          <w:i/>
          <w:iCs/>
          <w:shd w:val="clear" w:color="auto" w:fill="FFFFFF"/>
        </w:rPr>
        <w:t>Competition Principles</w:t>
      </w:r>
      <w:r>
        <w:rPr>
          <w:shd w:val="clear" w:color="auto" w:fill="FFFFFF"/>
        </w:rPr>
        <w:t xml:space="preserve"> or later agreements.  </w:t>
      </w:r>
    </w:p>
    <w:p w14:paraId="3B12E280" w14:textId="77777777" w:rsidR="000A3189" w:rsidRDefault="000A3189" w:rsidP="00931787">
      <w:pPr>
        <w:spacing w:after="0"/>
        <w:rPr>
          <w:shd w:val="clear" w:color="auto" w:fill="FFFFFF"/>
        </w:rPr>
      </w:pPr>
    </w:p>
    <w:p w14:paraId="57224D4E" w14:textId="688BAFBB" w:rsidR="000A3189" w:rsidRDefault="000A3189" w:rsidP="00931787">
      <w:pPr>
        <w:spacing w:after="0"/>
        <w:rPr>
          <w:shd w:val="clear" w:color="auto" w:fill="FFFFFF"/>
        </w:rPr>
      </w:pPr>
      <w:r>
        <w:rPr>
          <w:shd w:val="clear" w:color="auto" w:fill="FFFFFF"/>
        </w:rPr>
        <w:t>T</w:t>
      </w:r>
      <w:r w:rsidR="005C2248">
        <w:rPr>
          <w:shd w:val="clear" w:color="auto" w:fill="FFFFFF"/>
        </w:rPr>
        <w:t>he Hilmer report’s rail interest was freight – not commuter trains</w:t>
      </w:r>
      <w:r w:rsidR="004D3482">
        <w:rPr>
          <w:shd w:val="clear" w:color="auto" w:fill="FFFFFF"/>
        </w:rPr>
        <w:t>.  N</w:t>
      </w:r>
      <w:r w:rsidR="005C2248">
        <w:rPr>
          <w:shd w:val="clear" w:color="auto" w:fill="FFFFFF"/>
        </w:rPr>
        <w:t xml:space="preserve">either it nor the </w:t>
      </w:r>
      <w:r w:rsidR="005C2248" w:rsidRPr="006D4DF9">
        <w:rPr>
          <w:i/>
          <w:iCs/>
          <w:shd w:val="clear" w:color="auto" w:fill="FFFFFF"/>
        </w:rPr>
        <w:t>Principles</w:t>
      </w:r>
      <w:r w:rsidR="005C2248">
        <w:rPr>
          <w:shd w:val="clear" w:color="auto" w:fill="FFFFFF"/>
        </w:rPr>
        <w:t xml:space="preserve"> required structural changes.  </w:t>
      </w:r>
      <w:r>
        <w:rPr>
          <w:shd w:val="clear" w:color="auto" w:fill="FFFFFF"/>
        </w:rPr>
        <w:t xml:space="preserve"> </w:t>
      </w:r>
    </w:p>
    <w:p w14:paraId="4B5A57D1" w14:textId="77777777" w:rsidR="000A3189" w:rsidRDefault="000A3189" w:rsidP="00931787">
      <w:pPr>
        <w:spacing w:after="0"/>
        <w:rPr>
          <w:shd w:val="clear" w:color="auto" w:fill="FFFFFF"/>
        </w:rPr>
      </w:pPr>
    </w:p>
    <w:p w14:paraId="25EB08AE" w14:textId="1F2DF581" w:rsidR="000A3189" w:rsidRDefault="000A3189" w:rsidP="00931787">
      <w:pPr>
        <w:spacing w:after="0"/>
        <w:rPr>
          <w:shd w:val="clear" w:color="auto" w:fill="FFFFFF"/>
        </w:rPr>
      </w:pPr>
      <w:r>
        <w:rPr>
          <w:shd w:val="clear" w:color="auto" w:fill="FFFFFF"/>
        </w:rPr>
        <w:t xml:space="preserve">The requirements of the </w:t>
      </w:r>
      <w:r w:rsidRPr="000A3189">
        <w:rPr>
          <w:i/>
          <w:iCs/>
          <w:shd w:val="clear" w:color="auto" w:fill="FFFFFF"/>
        </w:rPr>
        <w:t>Principles</w:t>
      </w:r>
      <w:r>
        <w:rPr>
          <w:shd w:val="clear" w:color="auto" w:fill="FFFFFF"/>
        </w:rPr>
        <w:t xml:space="preserve"> – for a review prior to structural changes to a public monopoly</w:t>
      </w:r>
      <w:r w:rsidR="004D3482">
        <w:rPr>
          <w:shd w:val="clear" w:color="auto" w:fill="FFFFFF"/>
        </w:rPr>
        <w:t xml:space="preserve"> -</w:t>
      </w:r>
      <w:r>
        <w:rPr>
          <w:shd w:val="clear" w:color="auto" w:fill="FFFFFF"/>
        </w:rPr>
        <w:t xml:space="preserve"> were not met in NSW </w:t>
      </w:r>
      <w:r w:rsidR="004D3482">
        <w:rPr>
          <w:shd w:val="clear" w:color="auto" w:fill="FFFFFF"/>
        </w:rPr>
        <w:t>for</w:t>
      </w:r>
      <w:r>
        <w:rPr>
          <w:shd w:val="clear" w:color="auto" w:fill="FFFFFF"/>
        </w:rPr>
        <w:t xml:space="preserve"> the 1996 changes</w:t>
      </w:r>
      <w:r w:rsidR="004D3482">
        <w:rPr>
          <w:shd w:val="clear" w:color="auto" w:fill="FFFFFF"/>
        </w:rPr>
        <w:t>.  Nor have they been met</w:t>
      </w:r>
      <w:r>
        <w:rPr>
          <w:shd w:val="clear" w:color="auto" w:fill="FFFFFF"/>
        </w:rPr>
        <w:t xml:space="preserve"> </w:t>
      </w:r>
      <w:r w:rsidR="004D3482">
        <w:rPr>
          <w:shd w:val="clear" w:color="auto" w:fill="FFFFFF"/>
        </w:rPr>
        <w:t>for</w:t>
      </w:r>
      <w:r>
        <w:rPr>
          <w:shd w:val="clear" w:color="auto" w:fill="FFFFFF"/>
        </w:rPr>
        <w:t xml:space="preserve"> changes creating the Entity.  </w:t>
      </w:r>
    </w:p>
    <w:p w14:paraId="7CA7E0E2" w14:textId="77777777" w:rsidR="000A3189" w:rsidRDefault="000A3189" w:rsidP="00931787">
      <w:pPr>
        <w:spacing w:after="0"/>
        <w:rPr>
          <w:shd w:val="clear" w:color="auto" w:fill="FFFFFF"/>
        </w:rPr>
      </w:pPr>
    </w:p>
    <w:p w14:paraId="675CA8EA" w14:textId="77777777" w:rsidR="002C0871" w:rsidRDefault="005C2248" w:rsidP="00931787">
      <w:pPr>
        <w:spacing w:after="0"/>
        <w:rPr>
          <w:shd w:val="clear" w:color="auto" w:fill="FFFFFF"/>
        </w:rPr>
      </w:pPr>
      <w:r>
        <w:rPr>
          <w:shd w:val="clear" w:color="auto" w:fill="FFFFFF"/>
        </w:rPr>
        <w:t xml:space="preserve">Aspects of the Hilmer report, and </w:t>
      </w:r>
      <w:r w:rsidRPr="004D3482">
        <w:rPr>
          <w:i/>
          <w:iCs/>
          <w:shd w:val="clear" w:color="auto" w:fill="FFFFFF"/>
        </w:rPr>
        <w:t>Principles</w:t>
      </w:r>
      <w:r>
        <w:rPr>
          <w:shd w:val="clear" w:color="auto" w:fill="FFFFFF"/>
        </w:rPr>
        <w:t>, that would have been relevant to the Entity e.g., infrastructure access, have been exposed as naïve and are considered outdated.  ‘</w:t>
      </w:r>
      <w:r w:rsidR="00A46551">
        <w:rPr>
          <w:shd w:val="clear" w:color="auto" w:fill="FFFFFF"/>
        </w:rPr>
        <w:t>M</w:t>
      </w:r>
      <w:r>
        <w:rPr>
          <w:shd w:val="clear" w:color="auto" w:fill="FFFFFF"/>
        </w:rPr>
        <w:t>icro-economic reform’ notions ‘drawn from the Hilmer report’ such as expressed by Treasury and Transport have been considered obsolete for at least twenty years</w:t>
      </w:r>
      <w:r w:rsidR="004B194F">
        <w:rPr>
          <w:shd w:val="clear" w:color="auto" w:fill="FFFFFF"/>
        </w:rPr>
        <w:t>.  The</w:t>
      </w:r>
      <w:r w:rsidR="00382F62">
        <w:rPr>
          <w:shd w:val="clear" w:color="auto" w:fill="FFFFFF"/>
        </w:rPr>
        <w:t xml:space="preserve"> submission </w:t>
      </w:r>
      <w:r w:rsidR="004B194F">
        <w:rPr>
          <w:shd w:val="clear" w:color="auto" w:fill="FFFFFF"/>
        </w:rPr>
        <w:t>ignore</w:t>
      </w:r>
      <w:r w:rsidR="00A46551">
        <w:rPr>
          <w:shd w:val="clear" w:color="auto" w:fill="FFFFFF"/>
        </w:rPr>
        <w:t>d</w:t>
      </w:r>
      <w:r w:rsidR="00382F62">
        <w:rPr>
          <w:shd w:val="clear" w:color="auto" w:fill="FFFFFF"/>
        </w:rPr>
        <w:t xml:space="preserve"> NSW policy, and micro-economic reform efforts, in rail since the Hilmer report</w:t>
      </w:r>
      <w:r>
        <w:rPr>
          <w:shd w:val="clear" w:color="auto" w:fill="FFFFFF"/>
        </w:rPr>
        <w:t>.</w:t>
      </w:r>
    </w:p>
    <w:p w14:paraId="00CE585C" w14:textId="77777777" w:rsidR="002C0871" w:rsidRDefault="002C0871">
      <w:pPr>
        <w:rPr>
          <w:shd w:val="clear" w:color="auto" w:fill="FFFFFF"/>
        </w:rPr>
      </w:pPr>
      <w:r>
        <w:rPr>
          <w:shd w:val="clear" w:color="auto" w:fill="FFFFFF"/>
        </w:rPr>
        <w:br w:type="page"/>
      </w:r>
    </w:p>
    <w:p w14:paraId="30862172" w14:textId="68C8F791" w:rsidR="005C2248" w:rsidRDefault="00382F62" w:rsidP="00931787">
      <w:pPr>
        <w:spacing w:after="0"/>
      </w:pPr>
      <w:r>
        <w:rPr>
          <w:shd w:val="clear" w:color="auto" w:fill="FFFFFF"/>
        </w:rPr>
        <w:lastRenderedPageBreak/>
        <w:t xml:space="preserve">  </w:t>
      </w:r>
      <w:r w:rsidR="005C2248">
        <w:t xml:space="preserve"> </w:t>
      </w:r>
    </w:p>
    <w:p w14:paraId="14DDA9F2" w14:textId="55FE0FD4" w:rsidR="00711031" w:rsidRDefault="004D3482" w:rsidP="00931787">
      <w:pPr>
        <w:pStyle w:val="Heading2"/>
      </w:pPr>
      <w:bookmarkStart w:id="15" w:name="_Hlk89858744"/>
      <w:bookmarkStart w:id="16" w:name="_Toc93085763"/>
      <w:r>
        <w:t>4</w:t>
      </w:r>
      <w:r w:rsidR="00A752BF">
        <w:t>.</w:t>
      </w:r>
      <w:r w:rsidR="00A752BF">
        <w:tab/>
      </w:r>
      <w:r w:rsidR="00711031">
        <w:t>Submissions and evidence</w:t>
      </w:r>
      <w:r w:rsidR="00BE2FDB">
        <w:t xml:space="preserve"> - misunderstandings</w:t>
      </w:r>
      <w:bookmarkEnd w:id="16"/>
    </w:p>
    <w:p w14:paraId="08ED1A8F" w14:textId="77777777" w:rsidR="00007A31" w:rsidRDefault="00007A31" w:rsidP="00007A31">
      <w:pPr>
        <w:pStyle w:val="Heading3"/>
      </w:pPr>
      <w:bookmarkStart w:id="17" w:name="_Toc93085764"/>
      <w:r>
        <w:t>4.1</w:t>
      </w:r>
      <w:r>
        <w:tab/>
        <w:t>Introduction</w:t>
      </w:r>
      <w:bookmarkEnd w:id="17"/>
    </w:p>
    <w:p w14:paraId="28FC6411" w14:textId="0D18BBE6" w:rsidR="00242E45" w:rsidRDefault="00242E45" w:rsidP="00931787">
      <w:pPr>
        <w:spacing w:after="0"/>
      </w:pPr>
      <w:r>
        <w:t xml:space="preserve">There is evidence – in documents and from witnesses – the Government misunderstands important matters.  </w:t>
      </w:r>
      <w:r w:rsidR="00AF1215">
        <w:t>Three</w:t>
      </w:r>
      <w:r>
        <w:t xml:space="preserve"> examples are given in this section: vertical integration; safety management; recommendations of accident </w:t>
      </w:r>
      <w:r w:rsidR="00B82906">
        <w:t>Commissions</w:t>
      </w:r>
      <w:r>
        <w:t>.</w:t>
      </w:r>
    </w:p>
    <w:p w14:paraId="28045854" w14:textId="22C21537" w:rsidR="00B82906" w:rsidRDefault="00B82906" w:rsidP="00931787">
      <w:pPr>
        <w:spacing w:after="0"/>
      </w:pPr>
    </w:p>
    <w:p w14:paraId="1C05C27B" w14:textId="14E44700" w:rsidR="00B73D60" w:rsidRDefault="00B82906" w:rsidP="00931787">
      <w:pPr>
        <w:spacing w:after="0"/>
      </w:pPr>
      <w:r>
        <w:t>The most significant mis</w:t>
      </w:r>
      <w:r w:rsidR="00270266">
        <w:t>apprehension</w:t>
      </w:r>
      <w:r>
        <w:t xml:space="preserve"> relates to the recommendation</w:t>
      </w:r>
      <w:r w:rsidR="004F4EA7">
        <w:t>s</w:t>
      </w:r>
      <w:r>
        <w:t xml:space="preserve"> of accident Commissions.  </w:t>
      </w:r>
      <w:r w:rsidR="00270266">
        <w:t>This is reflected in misunderstanding</w:t>
      </w:r>
      <w:r w:rsidR="00AF1215">
        <w:t>s</w:t>
      </w:r>
      <w:r w:rsidR="00270266">
        <w:t xml:space="preserve"> about vertical integration</w:t>
      </w:r>
      <w:r w:rsidR="005D517F">
        <w:t xml:space="preserve"> and safety management</w:t>
      </w:r>
      <w:r w:rsidR="00270266">
        <w:t>.</w:t>
      </w:r>
    </w:p>
    <w:p w14:paraId="15A04660" w14:textId="77777777" w:rsidR="00B73D60" w:rsidRDefault="00B73D60" w:rsidP="00931787">
      <w:pPr>
        <w:spacing w:after="0"/>
      </w:pPr>
    </w:p>
    <w:p w14:paraId="0C860C2C" w14:textId="600AC37F" w:rsidR="00B73D60" w:rsidRDefault="00AF1215" w:rsidP="00931787">
      <w:pPr>
        <w:spacing w:after="0"/>
      </w:pPr>
      <w:r>
        <w:t xml:space="preserve">If the </w:t>
      </w:r>
      <w:r w:rsidR="005D517F">
        <w:t>Government</w:t>
      </w:r>
      <w:r w:rsidR="00270266">
        <w:t xml:space="preserve"> </w:t>
      </w:r>
      <w:r>
        <w:t xml:space="preserve">had </w:t>
      </w:r>
      <w:r w:rsidR="00270266">
        <w:t>comprehen</w:t>
      </w:r>
      <w:r>
        <w:t>ded</w:t>
      </w:r>
      <w:r w:rsidR="00270266">
        <w:t xml:space="preserve"> those recommendations</w:t>
      </w:r>
      <w:r w:rsidR="00D3189D">
        <w:t xml:space="preserve"> – or </w:t>
      </w:r>
      <w:r w:rsidR="00B73D60">
        <w:t xml:space="preserve">read the Executive </w:t>
      </w:r>
      <w:r w:rsidR="00D34CB9">
        <w:t>Summary</w:t>
      </w:r>
      <w:r w:rsidR="00B73D60">
        <w:t xml:space="preserve"> of the Commission reports </w:t>
      </w:r>
      <w:r>
        <w:t>–</w:t>
      </w:r>
      <w:r w:rsidR="00B73D60">
        <w:t xml:space="preserve"> </w:t>
      </w:r>
      <w:r>
        <w:t xml:space="preserve">it </w:t>
      </w:r>
      <w:r w:rsidR="00270266">
        <w:t xml:space="preserve">would likely </w:t>
      </w:r>
      <w:r>
        <w:t>not have established</w:t>
      </w:r>
      <w:r w:rsidR="00270266">
        <w:t xml:space="preserve"> the Entity</w:t>
      </w:r>
      <w:r w:rsidR="00B73D60">
        <w:t>.</w:t>
      </w:r>
      <w:r w:rsidR="00270266">
        <w:t xml:space="preserve"> </w:t>
      </w:r>
    </w:p>
    <w:p w14:paraId="117787D9" w14:textId="77777777" w:rsidR="00B73D60" w:rsidRDefault="00B73D60" w:rsidP="00931787">
      <w:pPr>
        <w:spacing w:after="0"/>
      </w:pPr>
    </w:p>
    <w:p w14:paraId="0AB4AD96" w14:textId="14EFEF99" w:rsidR="00B82906" w:rsidRDefault="00270266" w:rsidP="00931787">
      <w:pPr>
        <w:spacing w:after="0"/>
      </w:pPr>
      <w:r>
        <w:t>T</w:t>
      </w:r>
      <w:r w:rsidR="00B82906">
        <w:t>o explain the sources and persistence of the misunderstandings</w:t>
      </w:r>
      <w:r w:rsidR="00AF1215">
        <w:t>,</w:t>
      </w:r>
      <w:r w:rsidR="00B82906">
        <w:t xml:space="preserve"> some historical context </w:t>
      </w:r>
      <w:r>
        <w:t xml:space="preserve">of the accident Commissions </w:t>
      </w:r>
      <w:r w:rsidR="00B82906">
        <w:t>is provided.</w:t>
      </w:r>
    </w:p>
    <w:p w14:paraId="21950E1A" w14:textId="77777777" w:rsidR="00E946B8" w:rsidRDefault="00E946B8" w:rsidP="00931787">
      <w:pPr>
        <w:spacing w:after="0"/>
      </w:pPr>
    </w:p>
    <w:p w14:paraId="3CD3E958" w14:textId="45970A32" w:rsidR="00A752BF" w:rsidRDefault="00007A31" w:rsidP="00931787">
      <w:pPr>
        <w:pStyle w:val="Heading3"/>
      </w:pPr>
      <w:bookmarkStart w:id="18" w:name="_Toc93085765"/>
      <w:r>
        <w:t>4</w:t>
      </w:r>
      <w:r w:rsidR="00A752BF">
        <w:t>.</w:t>
      </w:r>
      <w:r>
        <w:t>2</w:t>
      </w:r>
      <w:r w:rsidR="00A752BF">
        <w:tab/>
        <w:t>Vertical integration</w:t>
      </w:r>
      <w:bookmarkEnd w:id="18"/>
    </w:p>
    <w:p w14:paraId="3D15F4E0" w14:textId="11FE2F99" w:rsidR="008930DD" w:rsidRDefault="00007A31" w:rsidP="00931787">
      <w:pPr>
        <w:pStyle w:val="Heading4"/>
      </w:pPr>
      <w:r>
        <w:t>4.2</w:t>
      </w:r>
      <w:r w:rsidR="00FB2631">
        <w:t>.1</w:t>
      </w:r>
      <w:r w:rsidR="00FB2631">
        <w:tab/>
      </w:r>
      <w:r w:rsidR="008930DD">
        <w:t>Introduction</w:t>
      </w:r>
    </w:p>
    <w:p w14:paraId="678113BD" w14:textId="4D52B99F" w:rsidR="005F438F" w:rsidRDefault="00D3399E" w:rsidP="00931787">
      <w:pPr>
        <w:spacing w:after="0"/>
      </w:pPr>
      <w:r>
        <w:t xml:space="preserve">The </w:t>
      </w:r>
      <w:r w:rsidR="005F438F">
        <w:t>determining structural matter for railways is vertical integration or vertical separation.</w:t>
      </w:r>
      <w:r w:rsidR="001D056A">
        <w:t xml:space="preserve">  Vertical integration entails one organisation controlling all aspects of a railway</w:t>
      </w:r>
      <w:r w:rsidR="001506BC">
        <w:t xml:space="preserve"> - </w:t>
      </w:r>
      <w:r w:rsidR="008930DD">
        <w:t>infrastructure and trains.</w:t>
      </w:r>
      <w:r w:rsidR="00AC00F4">
        <w:rPr>
          <w:rStyle w:val="FootnoteReference"/>
        </w:rPr>
        <w:footnoteReference w:id="65"/>
      </w:r>
    </w:p>
    <w:p w14:paraId="6878ED75" w14:textId="77777777" w:rsidR="00383BAC" w:rsidRDefault="00383BAC" w:rsidP="00931787">
      <w:pPr>
        <w:spacing w:after="0"/>
      </w:pPr>
    </w:p>
    <w:p w14:paraId="11F2130F" w14:textId="01181184" w:rsidR="008930DD" w:rsidRDefault="008930DD" w:rsidP="00931787">
      <w:pPr>
        <w:spacing w:after="0"/>
      </w:pPr>
      <w:r>
        <w:t xml:space="preserve">In most cities, the commuter rail system is vertically integrated.  </w:t>
      </w:r>
    </w:p>
    <w:p w14:paraId="26E98502" w14:textId="77777777" w:rsidR="008930DD" w:rsidRDefault="008930DD" w:rsidP="00931787">
      <w:pPr>
        <w:spacing w:after="0"/>
      </w:pPr>
    </w:p>
    <w:p w14:paraId="5E2D87B5" w14:textId="6A39726A" w:rsidR="00510B9E" w:rsidRPr="00D3399E" w:rsidRDefault="00D3399E" w:rsidP="00931787">
      <w:pPr>
        <w:spacing w:after="0"/>
      </w:pPr>
      <w:r>
        <w:t xml:space="preserve">When asked by the </w:t>
      </w:r>
      <w:r w:rsidR="001506BC">
        <w:t xml:space="preserve">Parliamentary Inquiry </w:t>
      </w:r>
      <w:r w:rsidR="00AC00F4">
        <w:t xml:space="preserve">in October </w:t>
      </w:r>
      <w:r>
        <w:t>about the structural differences between commuter rail in Brisbane and arrangements in Sydney, the Chief Executive of Sydney Trains did not point to any variance.  Rather, he pointed to a supposed similarity in ‘commercial assets’</w:t>
      </w:r>
      <w:r w:rsidR="001506BC">
        <w:t>.</w:t>
      </w:r>
      <w:r w:rsidR="00424303">
        <w:rPr>
          <w:rStyle w:val="FootnoteReference"/>
        </w:rPr>
        <w:footnoteReference w:id="66"/>
      </w:r>
      <w:r w:rsidR="00711031" w:rsidRPr="00D3399E">
        <w:t xml:space="preserve"> </w:t>
      </w:r>
    </w:p>
    <w:p w14:paraId="3EB9DE49" w14:textId="5F9EA902" w:rsidR="00B40CFF" w:rsidRDefault="00B40CFF" w:rsidP="00931787">
      <w:pPr>
        <w:spacing w:after="0"/>
      </w:pPr>
    </w:p>
    <w:p w14:paraId="350C6FFD" w14:textId="03E30C94" w:rsidR="008930DD" w:rsidRDefault="008930DD" w:rsidP="00931787">
      <w:pPr>
        <w:spacing w:after="0"/>
      </w:pPr>
      <w:r>
        <w:t>The 2016 Cabinet submission for creation of the Entity claimed arrangements in which Sydney Trains undertakes track maintenance entail vertical integration.</w:t>
      </w:r>
      <w:r>
        <w:rPr>
          <w:rStyle w:val="FootnoteReference"/>
        </w:rPr>
        <w:footnoteReference w:id="67"/>
      </w:r>
    </w:p>
    <w:p w14:paraId="64C6ADF5" w14:textId="77777777" w:rsidR="008930DD" w:rsidRDefault="008930DD" w:rsidP="00931787">
      <w:pPr>
        <w:spacing w:after="0"/>
      </w:pPr>
    </w:p>
    <w:p w14:paraId="567BBED8" w14:textId="38E74405" w:rsidR="00D3399E" w:rsidRDefault="00D3399E" w:rsidP="00931787">
      <w:pPr>
        <w:spacing w:after="0"/>
      </w:pPr>
      <w:r>
        <w:t xml:space="preserve">Both the </w:t>
      </w:r>
      <w:r w:rsidR="008930DD">
        <w:t xml:space="preserve">response </w:t>
      </w:r>
      <w:r w:rsidR="003014E6">
        <w:t xml:space="preserve">about Queensland Rail </w:t>
      </w:r>
      <w:r w:rsidR="008930DD">
        <w:t xml:space="preserve">and the </w:t>
      </w:r>
      <w:r>
        <w:t>Cabinet submission may seriously mislead.</w:t>
      </w:r>
    </w:p>
    <w:p w14:paraId="1B2942CB" w14:textId="18F42A75" w:rsidR="00AC00F4" w:rsidRDefault="00AC00F4" w:rsidP="00931787">
      <w:pPr>
        <w:spacing w:after="0"/>
      </w:pPr>
    </w:p>
    <w:p w14:paraId="6A0D93A2" w14:textId="137303AE" w:rsidR="00AC00F4" w:rsidRDefault="00D3189D" w:rsidP="00931787">
      <w:pPr>
        <w:spacing w:after="0"/>
      </w:pPr>
      <w:r>
        <w:t>Yet</w:t>
      </w:r>
      <w:r w:rsidR="00AC00F4">
        <w:t xml:space="preserve"> the substance of these responses was repeated and amplified – by reference to Victoria – by the Secretary of Transport for NSW in December hearings.  </w:t>
      </w:r>
      <w:r w:rsidR="002A4ED5">
        <w:t xml:space="preserve">The Secretary </w:t>
      </w:r>
      <w:r w:rsidR="00AC00F4">
        <w:t>also claimed commercial access fees were paid by Government or Government train operators to asset owning government corporations in Queensland and Victoria</w:t>
      </w:r>
      <w:r w:rsidR="002A4ED5">
        <w:t>.</w:t>
      </w:r>
    </w:p>
    <w:p w14:paraId="4FE4A31D" w14:textId="1A5A8426" w:rsidR="00E946B8" w:rsidRDefault="00E946B8" w:rsidP="00931787">
      <w:pPr>
        <w:spacing w:after="0"/>
      </w:pPr>
    </w:p>
    <w:p w14:paraId="1D8C754E" w14:textId="1EAA6CE7" w:rsidR="008930DD" w:rsidRDefault="00007A31" w:rsidP="00931787">
      <w:pPr>
        <w:pStyle w:val="Heading4"/>
      </w:pPr>
      <w:r>
        <w:t>4</w:t>
      </w:r>
      <w:r w:rsidR="00FB2631">
        <w:t>.</w:t>
      </w:r>
      <w:r>
        <w:t>2</w:t>
      </w:r>
      <w:r w:rsidR="00FB2631">
        <w:t>.2</w:t>
      </w:r>
      <w:r w:rsidR="00FB2631">
        <w:tab/>
      </w:r>
      <w:r w:rsidR="008930DD">
        <w:t xml:space="preserve">Queensland </w:t>
      </w:r>
      <w:r w:rsidR="003014E6">
        <w:t>R</w:t>
      </w:r>
      <w:r w:rsidR="008930DD">
        <w:t>ail</w:t>
      </w:r>
    </w:p>
    <w:p w14:paraId="24F64EA7" w14:textId="4D1E1E4A" w:rsidR="000211BB" w:rsidRDefault="003014E6" w:rsidP="00931787">
      <w:pPr>
        <w:spacing w:after="0"/>
      </w:pPr>
      <w:r>
        <w:t xml:space="preserve">The </w:t>
      </w:r>
      <w:r w:rsidR="000211BB">
        <w:t>comments about commercial assets are irrelevant to vertical integration.</w:t>
      </w:r>
    </w:p>
    <w:p w14:paraId="18341564" w14:textId="177CDD3E" w:rsidR="000211BB" w:rsidRDefault="000211BB" w:rsidP="00931787">
      <w:pPr>
        <w:spacing w:after="0"/>
      </w:pPr>
    </w:p>
    <w:p w14:paraId="41D0FE41" w14:textId="77777777" w:rsidR="004D602B" w:rsidRDefault="006143E9" w:rsidP="00931787">
      <w:pPr>
        <w:spacing w:after="0"/>
      </w:pPr>
      <w:r>
        <w:t xml:space="preserve">Prior to </w:t>
      </w:r>
      <w:r w:rsidR="001506BC">
        <w:t xml:space="preserve">2014 </w:t>
      </w:r>
      <w:r>
        <w:t xml:space="preserve">Queensland Rail was a vertically integrated railway.  It essentially ran four businesses within Queensland: Brisbane commuter railway; long distance passenger trains; coal railways to ports north of Brisbane; general freight.   The coal and freight train operations – but not the relevant tracks - were privatised in </w:t>
      </w:r>
      <w:r w:rsidR="00D23631">
        <w:t>2013</w:t>
      </w:r>
      <w:r>
        <w:t xml:space="preserve">.  </w:t>
      </w:r>
    </w:p>
    <w:p w14:paraId="470A006F" w14:textId="77777777" w:rsidR="004D602B" w:rsidRDefault="004D602B" w:rsidP="00931787">
      <w:pPr>
        <w:spacing w:after="0"/>
      </w:pPr>
    </w:p>
    <w:p w14:paraId="7CE04863" w14:textId="0BA86275" w:rsidR="003014E6" w:rsidRDefault="004D602B" w:rsidP="00931787">
      <w:pPr>
        <w:spacing w:after="0"/>
      </w:pPr>
      <w:r>
        <w:t>Queensland Rail is now the residual of the former business.   It</w:t>
      </w:r>
      <w:r w:rsidR="003014E6">
        <w:t xml:space="preserve"> comprises three main businesses</w:t>
      </w:r>
      <w:r w:rsidR="00A20B49">
        <w:t>: Brisbane commuter railway; long distance passenger trains; track</w:t>
      </w:r>
      <w:r w:rsidR="003014E6">
        <w:t>.</w:t>
      </w:r>
      <w:r>
        <w:rPr>
          <w:rStyle w:val="FootnoteReference"/>
        </w:rPr>
        <w:footnoteReference w:id="68"/>
      </w:r>
      <w:r w:rsidR="003014E6">
        <w:t xml:space="preserve">  </w:t>
      </w:r>
    </w:p>
    <w:p w14:paraId="70AA388E" w14:textId="77777777" w:rsidR="003014E6" w:rsidRDefault="003014E6" w:rsidP="00931787">
      <w:pPr>
        <w:spacing w:after="0"/>
      </w:pPr>
    </w:p>
    <w:p w14:paraId="7A3AFA71" w14:textId="37CC87AA" w:rsidR="00A20B49" w:rsidRDefault="00A20B49" w:rsidP="00931787">
      <w:pPr>
        <w:spacing w:after="0"/>
      </w:pPr>
      <w:r>
        <w:t xml:space="preserve">In Brisbane, the commuter trains are the dominant track user.  It is </w:t>
      </w:r>
      <w:r w:rsidR="001506BC">
        <w:t>a</w:t>
      </w:r>
      <w:r>
        <w:t xml:space="preserve"> vertically integrated</w:t>
      </w:r>
      <w:r w:rsidR="001506BC">
        <w:t xml:space="preserve"> commuter system</w:t>
      </w:r>
      <w:r>
        <w:t>.  Outside of Brisbane, long distance passenger trains are very much a minor traffic – the railway there is vertically separated.</w:t>
      </w:r>
    </w:p>
    <w:p w14:paraId="6D5F62CE" w14:textId="77777777" w:rsidR="00A20B49" w:rsidRDefault="00A20B49" w:rsidP="00931787">
      <w:pPr>
        <w:spacing w:after="0"/>
      </w:pPr>
    </w:p>
    <w:p w14:paraId="346F43BC" w14:textId="705E72D6" w:rsidR="000211BB" w:rsidRDefault="00A20B49" w:rsidP="00931787">
      <w:pPr>
        <w:spacing w:after="0"/>
        <w:rPr>
          <w:rFonts w:cstheme="minorHAnsi"/>
          <w:i/>
          <w:shd w:val="clear" w:color="auto" w:fill="FFFFFF"/>
        </w:rPr>
      </w:pPr>
      <w:r>
        <w:t>Hence</w:t>
      </w:r>
      <w:r w:rsidR="000211BB">
        <w:t xml:space="preserve">, the comments are </w:t>
      </w:r>
      <w:r w:rsidR="00424303">
        <w:t>misleading</w:t>
      </w:r>
      <w:r w:rsidR="000211BB">
        <w:t xml:space="preserve"> in the relevant – rail structural - respects.  They </w:t>
      </w:r>
      <w:r w:rsidR="004D602B">
        <w:t xml:space="preserve">also </w:t>
      </w:r>
      <w:r w:rsidR="000211BB">
        <w:t xml:space="preserve">are </w:t>
      </w:r>
      <w:r w:rsidR="00D3189D">
        <w:t>apparently inconsistent with</w:t>
      </w:r>
      <w:r w:rsidR="000211BB">
        <w:t xml:space="preserve"> official documents.</w:t>
      </w:r>
      <w:r w:rsidR="000211BB">
        <w:rPr>
          <w:rStyle w:val="FootnoteReference"/>
          <w:rFonts w:cstheme="minorHAnsi"/>
          <w:i/>
          <w:shd w:val="clear" w:color="auto" w:fill="FFFFFF"/>
        </w:rPr>
        <w:footnoteReference w:id="69"/>
      </w:r>
    </w:p>
    <w:p w14:paraId="2B865EC9" w14:textId="77777777" w:rsidR="000211BB" w:rsidRPr="00E946B8" w:rsidRDefault="000211BB" w:rsidP="00931787">
      <w:pPr>
        <w:spacing w:after="0"/>
        <w:ind w:left="720"/>
        <w:rPr>
          <w:rFonts w:cstheme="minorHAnsi"/>
          <w:i/>
          <w:shd w:val="clear" w:color="auto" w:fill="FFFFFF"/>
        </w:rPr>
      </w:pPr>
    </w:p>
    <w:p w14:paraId="58F849BE" w14:textId="7B0DB981" w:rsidR="000211BB" w:rsidRDefault="00F6531D" w:rsidP="00931787">
      <w:pPr>
        <w:pStyle w:val="FootnoteText"/>
        <w:rPr>
          <w:rFonts w:cstheme="minorHAnsi"/>
          <w:sz w:val="22"/>
          <w:szCs w:val="22"/>
          <w:shd w:val="clear" w:color="auto" w:fill="FFFFFF"/>
        </w:rPr>
      </w:pPr>
      <w:r>
        <w:rPr>
          <w:rFonts w:cstheme="minorHAnsi"/>
          <w:sz w:val="22"/>
          <w:szCs w:val="22"/>
          <w:shd w:val="clear" w:color="auto" w:fill="FFFFFF"/>
        </w:rPr>
        <w:t>Q</w:t>
      </w:r>
      <w:r w:rsidR="000211BB" w:rsidRPr="00AD1825">
        <w:rPr>
          <w:rFonts w:cstheme="minorHAnsi"/>
          <w:sz w:val="22"/>
          <w:szCs w:val="22"/>
          <w:shd w:val="clear" w:color="auto" w:fill="FFFFFF"/>
        </w:rPr>
        <w:t>ueensland Rail Limited is the operating arm – not (just) the ‘commercial’ arm</w:t>
      </w:r>
      <w:r>
        <w:rPr>
          <w:rFonts w:cstheme="minorHAnsi"/>
          <w:sz w:val="22"/>
          <w:szCs w:val="22"/>
          <w:shd w:val="clear" w:color="auto" w:fill="FFFFFF"/>
        </w:rPr>
        <w:t xml:space="preserve"> – of Queensland Rail</w:t>
      </w:r>
      <w:r w:rsidR="000211BB" w:rsidRPr="00AD1825">
        <w:rPr>
          <w:rFonts w:cstheme="minorHAnsi"/>
          <w:sz w:val="22"/>
          <w:szCs w:val="22"/>
          <w:shd w:val="clear" w:color="auto" w:fill="FFFFFF"/>
        </w:rPr>
        <w:t xml:space="preserve">.  It holds the assets and </w:t>
      </w:r>
      <w:r w:rsidR="000211BB">
        <w:rPr>
          <w:rFonts w:cstheme="minorHAnsi"/>
          <w:sz w:val="22"/>
          <w:szCs w:val="22"/>
          <w:shd w:val="clear" w:color="auto" w:fill="FFFFFF"/>
        </w:rPr>
        <w:t xml:space="preserve">operates trains.  It </w:t>
      </w:r>
      <w:r w:rsidR="000211BB" w:rsidRPr="00AD1825">
        <w:rPr>
          <w:rFonts w:cstheme="minorHAnsi"/>
          <w:sz w:val="22"/>
          <w:szCs w:val="22"/>
          <w:shd w:val="clear" w:color="auto" w:fill="FFFFFF"/>
        </w:rPr>
        <w:t xml:space="preserve">is licenced under the rail safety law.  Its </w:t>
      </w:r>
      <w:r w:rsidR="001E4AF8">
        <w:rPr>
          <w:rFonts w:cstheme="minorHAnsi"/>
          <w:sz w:val="22"/>
          <w:szCs w:val="22"/>
          <w:shd w:val="clear" w:color="auto" w:fill="FFFFFF"/>
        </w:rPr>
        <w:t>directors</w:t>
      </w:r>
      <w:r w:rsidR="000211BB" w:rsidRPr="00AD1825">
        <w:rPr>
          <w:rFonts w:cstheme="minorHAnsi"/>
          <w:sz w:val="22"/>
          <w:szCs w:val="22"/>
          <w:shd w:val="clear" w:color="auto" w:fill="FFFFFF"/>
        </w:rPr>
        <w:t xml:space="preserve"> are also directors of Queensland Rail.  </w:t>
      </w:r>
      <w:r w:rsidR="000211BB">
        <w:rPr>
          <w:rFonts w:cstheme="minorHAnsi"/>
          <w:sz w:val="22"/>
          <w:szCs w:val="22"/>
          <w:shd w:val="clear" w:color="auto" w:fill="FFFFFF"/>
        </w:rPr>
        <w:t xml:space="preserve">Its shareholders include the Minister for Transport. </w:t>
      </w:r>
      <w:r>
        <w:rPr>
          <w:rFonts w:cstheme="minorHAnsi"/>
          <w:sz w:val="22"/>
          <w:szCs w:val="22"/>
          <w:shd w:val="clear" w:color="auto" w:fill="FFFFFF"/>
        </w:rPr>
        <w:t xml:space="preserve"> </w:t>
      </w:r>
      <w:r w:rsidR="000211BB">
        <w:rPr>
          <w:rFonts w:cstheme="minorHAnsi"/>
          <w:sz w:val="22"/>
          <w:szCs w:val="22"/>
          <w:shd w:val="clear" w:color="auto" w:fill="FFFFFF"/>
        </w:rPr>
        <w:t xml:space="preserve">In each of these fundamentals, arrangements in Brisbane are diametrically opposite those in </w:t>
      </w:r>
      <w:r w:rsidR="000211BB" w:rsidRPr="00AD1825">
        <w:rPr>
          <w:rFonts w:cstheme="minorHAnsi"/>
          <w:sz w:val="22"/>
          <w:szCs w:val="22"/>
          <w:shd w:val="clear" w:color="auto" w:fill="FFFFFF"/>
        </w:rPr>
        <w:t>NS</w:t>
      </w:r>
      <w:r w:rsidR="000211BB">
        <w:rPr>
          <w:rFonts w:cstheme="minorHAnsi"/>
          <w:sz w:val="22"/>
          <w:szCs w:val="22"/>
          <w:shd w:val="clear" w:color="auto" w:fill="FFFFFF"/>
        </w:rPr>
        <w:t>W.</w:t>
      </w:r>
    </w:p>
    <w:p w14:paraId="4831EF64" w14:textId="77777777" w:rsidR="000211BB" w:rsidRDefault="000211BB" w:rsidP="00931787">
      <w:pPr>
        <w:pStyle w:val="FootnoteText"/>
        <w:rPr>
          <w:rFonts w:cstheme="minorHAnsi"/>
          <w:sz w:val="22"/>
          <w:szCs w:val="22"/>
          <w:shd w:val="clear" w:color="auto" w:fill="FFFFFF"/>
        </w:rPr>
      </w:pPr>
    </w:p>
    <w:p w14:paraId="3EB9A259" w14:textId="0D1CDF2D" w:rsidR="000211BB" w:rsidRDefault="000211BB" w:rsidP="00931787">
      <w:pPr>
        <w:pStyle w:val="FootnoteText"/>
        <w:rPr>
          <w:rFonts w:cstheme="minorHAnsi"/>
          <w:sz w:val="22"/>
          <w:szCs w:val="22"/>
          <w:shd w:val="clear" w:color="auto" w:fill="FFFFFF"/>
        </w:rPr>
      </w:pPr>
      <w:r>
        <w:rPr>
          <w:rFonts w:cstheme="minorHAnsi"/>
          <w:sz w:val="22"/>
          <w:szCs w:val="22"/>
          <w:shd w:val="clear" w:color="auto" w:fill="FFFFFF"/>
        </w:rPr>
        <w:t>Commuter rail in Brisbane is vertically integrated within a public authority – not NSW-style commercial – framework.</w:t>
      </w:r>
      <w:r>
        <w:rPr>
          <w:rStyle w:val="FootnoteReference"/>
          <w:rFonts w:cstheme="minorHAnsi"/>
          <w:sz w:val="22"/>
          <w:szCs w:val="22"/>
          <w:shd w:val="clear" w:color="auto" w:fill="FFFFFF"/>
        </w:rPr>
        <w:footnoteReference w:id="70"/>
      </w:r>
    </w:p>
    <w:p w14:paraId="0F3216AE" w14:textId="5E569078" w:rsidR="008930DD" w:rsidRDefault="008930DD" w:rsidP="00931787">
      <w:pPr>
        <w:spacing w:after="0"/>
      </w:pPr>
    </w:p>
    <w:p w14:paraId="39F12D4D" w14:textId="7E32E6F3" w:rsidR="004F23C4" w:rsidRDefault="00007A31" w:rsidP="00931787">
      <w:pPr>
        <w:pStyle w:val="Heading4"/>
      </w:pPr>
      <w:r>
        <w:t>4</w:t>
      </w:r>
      <w:r w:rsidR="004F23C4">
        <w:t>.</w:t>
      </w:r>
      <w:r>
        <w:t>2</w:t>
      </w:r>
      <w:r w:rsidR="004F23C4">
        <w:t>.3</w:t>
      </w:r>
      <w:r w:rsidR="004F23C4">
        <w:tab/>
        <w:t>Victoria</w:t>
      </w:r>
    </w:p>
    <w:p w14:paraId="1F44479D" w14:textId="2CC4A64B" w:rsidR="00102103" w:rsidRDefault="004F23C4" w:rsidP="00931787">
      <w:pPr>
        <w:spacing w:after="0"/>
      </w:pPr>
      <w:r>
        <w:t xml:space="preserve">The first attempt at privatising/franchising Melbourne’s commuter rail system involved vertical separation – franchise of train operations only.  It also involved horizontal separation – a split of </w:t>
      </w:r>
      <w:r w:rsidR="00D3189D">
        <w:t xml:space="preserve">commuter </w:t>
      </w:r>
      <w:r>
        <w:t>train operations into two geographic regions</w:t>
      </w:r>
      <w:r w:rsidR="00D3189D">
        <w:t xml:space="preserve"> in Melbourne, with a third region being the remainder of Victoria</w:t>
      </w:r>
      <w:r>
        <w:t xml:space="preserve">.  It was an echo of the UK </w:t>
      </w:r>
      <w:r w:rsidR="001E4AF8">
        <w:t xml:space="preserve">national rail </w:t>
      </w:r>
      <w:r>
        <w:t xml:space="preserve">privatisation.  However, </w:t>
      </w:r>
      <w:r w:rsidR="001E4AF8">
        <w:t>the echo</w:t>
      </w:r>
      <w:r>
        <w:t xml:space="preserve"> structurally failed.  </w:t>
      </w:r>
    </w:p>
    <w:p w14:paraId="46A15C1D" w14:textId="77777777" w:rsidR="00102103" w:rsidRDefault="00102103" w:rsidP="00931787">
      <w:pPr>
        <w:spacing w:after="0"/>
      </w:pPr>
    </w:p>
    <w:p w14:paraId="03477785" w14:textId="2591C0F1" w:rsidR="002A4ED5" w:rsidRDefault="004F23C4" w:rsidP="00931787">
      <w:pPr>
        <w:spacing w:after="0"/>
      </w:pPr>
      <w:r>
        <w:t xml:space="preserve">Previous articles </w:t>
      </w:r>
      <w:r w:rsidR="00102103">
        <w:t>said potential franchisees indicated they would not bid on a vertically separated structure</w:t>
      </w:r>
      <w:r w:rsidR="00D3189D">
        <w:t xml:space="preserve"> for Melbourne</w:t>
      </w:r>
      <w:r w:rsidR="00102103">
        <w:t>, hence the State Government offered two geographic vertically integrated franchises</w:t>
      </w:r>
      <w:r w:rsidR="00D3189D">
        <w:t xml:space="preserve"> in the city</w:t>
      </w:r>
      <w:r w:rsidR="00102103">
        <w:t xml:space="preserve">.  </w:t>
      </w:r>
    </w:p>
    <w:p w14:paraId="48E01762" w14:textId="08FA3ECA" w:rsidR="00102103" w:rsidRDefault="00102103" w:rsidP="00931787">
      <w:pPr>
        <w:spacing w:after="0"/>
      </w:pPr>
      <w:r>
        <w:lastRenderedPageBreak/>
        <w:t>A little understood consequence was that an organisation established to facilitate vertical separation – VicTrack – lost its most important function almost as soon as it started.  Presumably this encouraged it to become involved in many other fields, as remains the case today.</w:t>
      </w:r>
    </w:p>
    <w:p w14:paraId="566BCD40" w14:textId="00AE013F" w:rsidR="00102103" w:rsidRDefault="00102103" w:rsidP="00931787">
      <w:pPr>
        <w:spacing w:after="0"/>
      </w:pPr>
    </w:p>
    <w:p w14:paraId="733F899A" w14:textId="0AED3DF3" w:rsidR="00597D26" w:rsidRDefault="00102103" w:rsidP="00931787">
      <w:pPr>
        <w:spacing w:after="0"/>
      </w:pPr>
      <w:r>
        <w:t xml:space="preserve">The geographic separation also failed.  </w:t>
      </w:r>
      <w:r w:rsidR="00597D26">
        <w:t>A</w:t>
      </w:r>
      <w:r w:rsidR="00D3189D">
        <w:t>fter a relatively short time, one</w:t>
      </w:r>
      <w:r w:rsidR="00597D26">
        <w:t xml:space="preserve"> private operator surrendered its franchise </w:t>
      </w:r>
      <w:r w:rsidR="001E4AF8">
        <w:t>which</w:t>
      </w:r>
      <w:r w:rsidR="00597D26">
        <w:t xml:space="preserve"> was combined with the other.  It remains the case today.</w:t>
      </w:r>
      <w:r w:rsidR="002A4ED5">
        <w:rPr>
          <w:rStyle w:val="FootnoteReference"/>
        </w:rPr>
        <w:footnoteReference w:id="71"/>
      </w:r>
    </w:p>
    <w:p w14:paraId="79A8B0FC" w14:textId="77777777" w:rsidR="00305348" w:rsidRDefault="00305348" w:rsidP="00931787">
      <w:pPr>
        <w:spacing w:after="0"/>
      </w:pPr>
      <w:r>
        <w:t xml:space="preserve"> </w:t>
      </w:r>
    </w:p>
    <w:p w14:paraId="3AB083D0" w14:textId="36F1FA91" w:rsidR="00305348" w:rsidRDefault="00305348" w:rsidP="00931787">
      <w:pPr>
        <w:spacing w:after="0"/>
      </w:pPr>
      <w:r>
        <w:t xml:space="preserve">The intention behind vertical integration </w:t>
      </w:r>
      <w:r w:rsidR="00D3189D">
        <w:t xml:space="preserve">in Melbourne </w:t>
      </w:r>
      <w:r>
        <w:t xml:space="preserve">was for the franchisee to perform all relevant functions.  However, as in the UK, this proved problematic in relation to rail infrastructure – which has a pernicious characteristic of </w:t>
      </w:r>
      <w:r w:rsidR="002A4ED5">
        <w:t>an onset of failure not being visible</w:t>
      </w:r>
      <w:r>
        <w:t>.  The Government therefore retained an infrastructure oversight role</w:t>
      </w:r>
      <w:r w:rsidR="001E4AF8">
        <w:t>.</w:t>
      </w:r>
    </w:p>
    <w:p w14:paraId="233D4314" w14:textId="77777777" w:rsidR="00305348" w:rsidRDefault="00305348" w:rsidP="00931787">
      <w:pPr>
        <w:spacing w:after="0"/>
      </w:pPr>
    </w:p>
    <w:p w14:paraId="320B0D27" w14:textId="488BBE60" w:rsidR="00D4789C" w:rsidRDefault="00305348" w:rsidP="00931787">
      <w:pPr>
        <w:spacing w:after="0"/>
      </w:pPr>
      <w:r>
        <w:t xml:space="preserve">In order to perform all relevant functions, the franchisee - who gets paid rather than pays the Government </w:t>
      </w:r>
      <w:r w:rsidR="00D4789C">
        <w:t>–</w:t>
      </w:r>
      <w:r>
        <w:t xml:space="preserve"> </w:t>
      </w:r>
      <w:r w:rsidR="00D4789C">
        <w:t xml:space="preserve">does not make ‘commercial’ payments to the </w:t>
      </w:r>
      <w:r w:rsidR="00D40FDC">
        <w:t>(</w:t>
      </w:r>
      <w:r w:rsidR="00D4789C">
        <w:t>underlyin</w:t>
      </w:r>
      <w:r w:rsidR="002A4ED5">
        <w:t>g</w:t>
      </w:r>
      <w:r w:rsidR="00D40FDC">
        <w:t>)</w:t>
      </w:r>
      <w:r w:rsidR="00D4789C">
        <w:t xml:space="preserve"> asset owner.  That is </w:t>
      </w:r>
      <w:r w:rsidR="001E4AF8">
        <w:t>specified in</w:t>
      </w:r>
      <w:r w:rsidR="00D4789C">
        <w:t xml:space="preserve"> the Victorian legislation.  Victoria’s </w:t>
      </w:r>
      <w:r w:rsidR="005F7CE0">
        <w:t>transport d</w:t>
      </w:r>
      <w:r w:rsidR="00D4789C">
        <w:t>epartment leases assets from VicTrack and provides them to the franchisee for nominal consideration.  A Government Department pays a Government corporation.  It is not considered or reported as a commercial arrangement</w:t>
      </w:r>
      <w:r w:rsidR="00D40FDC">
        <w:t xml:space="preserve"> of the type found in transactions between private firms</w:t>
      </w:r>
      <w:r w:rsidR="00D4789C">
        <w:t>.</w:t>
      </w:r>
      <w:r w:rsidR="002A4ED5">
        <w:rPr>
          <w:rStyle w:val="FootnoteReference"/>
        </w:rPr>
        <w:footnoteReference w:id="72"/>
      </w:r>
    </w:p>
    <w:p w14:paraId="6A4ED4EC" w14:textId="6D4B4BE8" w:rsidR="00D4789C" w:rsidRDefault="00D4789C" w:rsidP="00931787">
      <w:pPr>
        <w:spacing w:after="0"/>
      </w:pPr>
    </w:p>
    <w:p w14:paraId="7CABEBE1" w14:textId="7A5DAE0E" w:rsidR="00D4789C" w:rsidRDefault="00D4789C" w:rsidP="00931787">
      <w:pPr>
        <w:spacing w:after="0"/>
      </w:pPr>
      <w:r>
        <w:t xml:space="preserve">The NSW Government’s narrative about Queensland, Victoria and for that matter the Australian Rail Track Corporation </w:t>
      </w:r>
      <w:r w:rsidR="006B2ED5">
        <w:t>providing some sort of valid precedent for the arrangements in NSW looks to be</w:t>
      </w:r>
      <w:r>
        <w:t xml:space="preserve"> false.</w:t>
      </w:r>
    </w:p>
    <w:p w14:paraId="2E9FB2CE" w14:textId="78498463" w:rsidR="004F23C4" w:rsidRDefault="00102103" w:rsidP="00931787">
      <w:pPr>
        <w:spacing w:after="0"/>
      </w:pPr>
      <w:r>
        <w:t xml:space="preserve">  </w:t>
      </w:r>
    </w:p>
    <w:p w14:paraId="0D7FD69C" w14:textId="160EF2F2" w:rsidR="008930DD" w:rsidRDefault="00007A31" w:rsidP="00931787">
      <w:pPr>
        <w:pStyle w:val="Heading4"/>
      </w:pPr>
      <w:r>
        <w:t>4</w:t>
      </w:r>
      <w:r w:rsidR="00FB2631">
        <w:t>.</w:t>
      </w:r>
      <w:r>
        <w:t>2</w:t>
      </w:r>
      <w:r w:rsidR="00FB2631">
        <w:t>.</w:t>
      </w:r>
      <w:r>
        <w:t>4</w:t>
      </w:r>
      <w:r w:rsidR="00FB2631">
        <w:tab/>
      </w:r>
      <w:r w:rsidR="00212E02">
        <w:t>Sydney situation</w:t>
      </w:r>
    </w:p>
    <w:p w14:paraId="3130F410" w14:textId="72EBD6CF" w:rsidR="00711031" w:rsidRDefault="00F6531D" w:rsidP="00931787">
      <w:pPr>
        <w:spacing w:after="0"/>
      </w:pPr>
      <w:r>
        <w:t>V</w:t>
      </w:r>
      <w:r w:rsidR="00711031">
        <w:t>ertical integration in railways has one organisation controlling all aspects of the tracks on which it predominately operates trains.  A vertically integrated rail operator does not access tracks, and does not use the tracks under an access agreement with another party.</w:t>
      </w:r>
      <w:r w:rsidR="00383BAC">
        <w:t xml:space="preserve">  </w:t>
      </w:r>
      <w:r w:rsidR="00C54E6F">
        <w:t xml:space="preserve">It decides maintenance levels and tasks.  </w:t>
      </w:r>
      <w:r w:rsidR="00383BAC">
        <w:t>A vertically integrated operator conducts network control functions.</w:t>
      </w:r>
    </w:p>
    <w:p w14:paraId="65F53367" w14:textId="0AC1DD99" w:rsidR="00383BAC" w:rsidRDefault="00383BAC" w:rsidP="00931787">
      <w:pPr>
        <w:spacing w:after="0"/>
      </w:pPr>
    </w:p>
    <w:p w14:paraId="6FBB267B" w14:textId="0429FC59" w:rsidR="00C54E6F" w:rsidRDefault="00383BAC" w:rsidP="00931787">
      <w:pPr>
        <w:spacing w:after="0"/>
      </w:pPr>
      <w:r>
        <w:t>Sydney Trains accesses tracks</w:t>
      </w:r>
      <w:r w:rsidR="00212E02">
        <w:t>, does not decide track maintenance</w:t>
      </w:r>
      <w:r>
        <w:t xml:space="preserve"> and does not conduct all network control functions.  The tracks are owned by the Entity.  The Standard Working Timetable – part of network control – is developed in Transport for NSW.   </w:t>
      </w:r>
      <w:r w:rsidR="00C54E6F">
        <w:t xml:space="preserve">Location of responsibility for the safeworking rules – another element of network control – is not explicitly mentioned.  </w:t>
      </w:r>
    </w:p>
    <w:p w14:paraId="5CEA1949" w14:textId="77777777" w:rsidR="00C54E6F" w:rsidRDefault="00C54E6F" w:rsidP="00931787">
      <w:pPr>
        <w:spacing w:after="0"/>
      </w:pPr>
    </w:p>
    <w:p w14:paraId="4A5EEEA1" w14:textId="1514DB51" w:rsidR="00383BAC" w:rsidRDefault="00383BAC" w:rsidP="00931787">
      <w:pPr>
        <w:spacing w:after="0"/>
      </w:pPr>
      <w:r>
        <w:t>Therefore, unlike Queensland Rail</w:t>
      </w:r>
      <w:r w:rsidR="002175EB">
        <w:t xml:space="preserve"> in Brisbane</w:t>
      </w:r>
      <w:r>
        <w:t xml:space="preserve">, </w:t>
      </w:r>
      <w:r w:rsidR="00D4789C">
        <w:t xml:space="preserve">or the </w:t>
      </w:r>
      <w:r w:rsidR="006B2ED5">
        <w:t>Melbourne</w:t>
      </w:r>
      <w:r w:rsidR="00D4789C">
        <w:t xml:space="preserve"> franchisee, </w:t>
      </w:r>
      <w:r>
        <w:t xml:space="preserve">Sydney </w:t>
      </w:r>
      <w:r w:rsidR="00686C99">
        <w:t>Trai</w:t>
      </w:r>
      <w:r>
        <w:t>ns is not a vertically integrated railway.</w:t>
      </w:r>
    </w:p>
    <w:p w14:paraId="56EB531F" w14:textId="1CE0C307" w:rsidR="005608CC" w:rsidRDefault="005608CC" w:rsidP="00931787">
      <w:pPr>
        <w:spacing w:after="0"/>
      </w:pPr>
    </w:p>
    <w:p w14:paraId="0189C690" w14:textId="628E6331" w:rsidR="00D4789C" w:rsidRDefault="005608CC" w:rsidP="00931787">
      <w:pPr>
        <w:spacing w:after="0"/>
      </w:pPr>
      <w:r>
        <w:t xml:space="preserve">In fact, among vertically separated railways it has an unusually </w:t>
      </w:r>
      <w:r w:rsidR="00686C99">
        <w:t xml:space="preserve">great extent of separations.  Sydney </w:t>
      </w:r>
      <w:r w:rsidR="006B2ED5">
        <w:t xml:space="preserve">is said to have </w:t>
      </w:r>
      <w:r>
        <w:t>a three-way split of the access function between the Entity (contracts), Transport for NSW (standard working timetable) and Sydney Trains (train control)</w:t>
      </w:r>
      <w:r w:rsidR="00190CBB">
        <w:t>.  It has</w:t>
      </w:r>
      <w:r w:rsidR="00686C99">
        <w:t xml:space="preserve"> a further split </w:t>
      </w:r>
      <w:r w:rsidR="00190CBB">
        <w:t>between</w:t>
      </w:r>
      <w:r w:rsidR="00686C99">
        <w:t xml:space="preserve"> maintenance </w:t>
      </w:r>
      <w:r w:rsidR="00190CBB">
        <w:t xml:space="preserve">tasks </w:t>
      </w:r>
      <w:r w:rsidR="00686C99">
        <w:t>(Sydney Trains – at present) and improvements (the Entity)</w:t>
      </w:r>
      <w:r>
        <w:t>.</w:t>
      </w:r>
    </w:p>
    <w:p w14:paraId="4CE1CDE3" w14:textId="69DDEAE8" w:rsidR="00270266" w:rsidRDefault="005608CC" w:rsidP="00931787">
      <w:pPr>
        <w:spacing w:after="0"/>
      </w:pPr>
      <w:r>
        <w:t xml:space="preserve"> </w:t>
      </w:r>
      <w:r w:rsidR="00686C99">
        <w:t xml:space="preserve"> </w:t>
      </w:r>
    </w:p>
    <w:p w14:paraId="17B30862" w14:textId="75700536" w:rsidR="00686C99" w:rsidRDefault="00686C99" w:rsidP="00931787">
      <w:pPr>
        <w:spacing w:after="0"/>
      </w:pPr>
      <w:r>
        <w:lastRenderedPageBreak/>
        <w:t xml:space="preserve">By comparison, for the vertically separated Hunter Valley and Interstate </w:t>
      </w:r>
      <w:r w:rsidR="00574CBD">
        <w:t>track</w:t>
      </w:r>
      <w:r>
        <w:t xml:space="preserve"> all access</w:t>
      </w:r>
      <w:r w:rsidR="00E241AA">
        <w:t>,</w:t>
      </w:r>
      <w:r>
        <w:t xml:space="preserve"> maintenance and improvement functions are control</w:t>
      </w:r>
      <w:r w:rsidR="00574CBD">
        <w:t xml:space="preserve">led by </w:t>
      </w:r>
      <w:r>
        <w:t>the Australian Rail Track Corporation.</w:t>
      </w:r>
      <w:r w:rsidR="00EB3FD8">
        <w:rPr>
          <w:rStyle w:val="FootnoteReference"/>
        </w:rPr>
        <w:footnoteReference w:id="73"/>
      </w:r>
    </w:p>
    <w:p w14:paraId="16331C8A" w14:textId="41DA995F" w:rsidR="00383BAC" w:rsidRDefault="00383BAC" w:rsidP="00931787">
      <w:pPr>
        <w:spacing w:after="0"/>
      </w:pPr>
    </w:p>
    <w:p w14:paraId="4A5485AB" w14:textId="2D2B9182" w:rsidR="00212E02" w:rsidRDefault="00007A31" w:rsidP="00931787">
      <w:pPr>
        <w:pStyle w:val="Heading4"/>
      </w:pPr>
      <w:r>
        <w:t>4</w:t>
      </w:r>
      <w:r w:rsidR="00FB2631">
        <w:t>.</w:t>
      </w:r>
      <w:r>
        <w:t>2</w:t>
      </w:r>
      <w:r w:rsidR="00FB2631">
        <w:t>.</w:t>
      </w:r>
      <w:r>
        <w:t>5</w:t>
      </w:r>
      <w:r w:rsidR="00FB2631">
        <w:tab/>
      </w:r>
      <w:r w:rsidR="00212E02">
        <w:t>Government beliefs</w:t>
      </w:r>
    </w:p>
    <w:p w14:paraId="1C5FCE45" w14:textId="24C8416F" w:rsidR="00C54E6F" w:rsidRDefault="00190CBB" w:rsidP="00931787">
      <w:pPr>
        <w:spacing w:after="0"/>
      </w:pPr>
      <w:r>
        <w:t>T</w:t>
      </w:r>
      <w:r w:rsidR="00383BAC">
        <w:t xml:space="preserve">he Government </w:t>
      </w:r>
      <w:r>
        <w:t xml:space="preserve">likely believes </w:t>
      </w:r>
      <w:r w:rsidR="00383BAC">
        <w:t xml:space="preserve">vertical integration </w:t>
      </w:r>
      <w:r w:rsidR="00C54E6F">
        <w:t>is</w:t>
      </w:r>
      <w:r w:rsidR="00383BAC">
        <w:t xml:space="preserve"> important</w:t>
      </w:r>
      <w:r w:rsidR="00C54E6F">
        <w:t>, including for safety reasons</w:t>
      </w:r>
      <w:r w:rsidR="00383BAC">
        <w:t xml:space="preserve">.  </w:t>
      </w:r>
      <w:r w:rsidR="006B2ED5">
        <w:t>T</w:t>
      </w:r>
      <w:r w:rsidR="00383BAC">
        <w:t xml:space="preserve">hat is </w:t>
      </w:r>
      <w:r w:rsidR="00C54E6F">
        <w:t xml:space="preserve">indicated </w:t>
      </w:r>
      <w:r w:rsidR="00E241AA">
        <w:t xml:space="preserve">by use of the term and </w:t>
      </w:r>
      <w:r w:rsidR="00C54E6F">
        <w:t xml:space="preserve">a section of the </w:t>
      </w:r>
      <w:r w:rsidR="00212E02">
        <w:t xml:space="preserve">2016 </w:t>
      </w:r>
      <w:r w:rsidR="00C54E6F">
        <w:t>Cabinet submission which promoted the idea that Sydney Trains should maintain the tracks on which it operates.</w:t>
      </w:r>
      <w:r w:rsidR="001B6519">
        <w:t xml:space="preserve">  It is confirmed by th</w:t>
      </w:r>
      <w:r w:rsidR="00007A31">
        <w:t>e</w:t>
      </w:r>
      <w:r w:rsidR="001B6519">
        <w:t xml:space="preserve"> idea becoming practice.</w:t>
      </w:r>
    </w:p>
    <w:p w14:paraId="7A3AB709" w14:textId="07AD3F3D" w:rsidR="00383BAC" w:rsidRDefault="00C54E6F" w:rsidP="00931787">
      <w:pPr>
        <w:spacing w:after="0"/>
      </w:pPr>
      <w:r>
        <w:t xml:space="preserve">   </w:t>
      </w:r>
    </w:p>
    <w:p w14:paraId="1DC3F80C" w14:textId="0D03D83F" w:rsidR="00EF6561" w:rsidRDefault="00D40FDC" w:rsidP="00931787">
      <w:pPr>
        <w:spacing w:after="0"/>
      </w:pPr>
      <w:r>
        <w:t>Yet t</w:t>
      </w:r>
      <w:r w:rsidR="00C54E6F">
        <w:t xml:space="preserve">he Government has not understood what vertical integration entails.  That has led to confusion about </w:t>
      </w:r>
      <w:r w:rsidR="001B6519">
        <w:t xml:space="preserve">track </w:t>
      </w:r>
      <w:r w:rsidR="00C54E6F">
        <w:t xml:space="preserve">maintenance responsibility – </w:t>
      </w:r>
      <w:r w:rsidR="00F6531D">
        <w:t xml:space="preserve">about </w:t>
      </w:r>
      <w:r w:rsidR="00C54E6F">
        <w:t>who decides maintenance.</w:t>
      </w:r>
      <w:r w:rsidR="001B6519">
        <w:t xml:space="preserve">  The fact Sydney Trains might maintain tracks does not mean it controls maintenance. </w:t>
      </w:r>
      <w:r w:rsidR="00EF6561">
        <w:t xml:space="preserve">  </w:t>
      </w:r>
    </w:p>
    <w:p w14:paraId="3014C6CE" w14:textId="77777777" w:rsidR="00EF6561" w:rsidRDefault="00EF6561" w:rsidP="00931787">
      <w:pPr>
        <w:spacing w:after="0"/>
      </w:pPr>
    </w:p>
    <w:p w14:paraId="2F83746C" w14:textId="651D1025" w:rsidR="004D432F" w:rsidRDefault="00EF6561" w:rsidP="00931787">
      <w:pPr>
        <w:spacing w:after="0"/>
      </w:pPr>
      <w:r>
        <w:t xml:space="preserve">Moreover, while Entity </w:t>
      </w:r>
      <w:r w:rsidR="00F6531D">
        <w:t>directors</w:t>
      </w:r>
      <w:r>
        <w:t xml:space="preserve"> asserted Sydney Trains et al – but not the Entity – have responsibility for maintenance</w:t>
      </w:r>
      <w:r w:rsidR="004D432F">
        <w:t xml:space="preserve">, they did not say </w:t>
      </w:r>
      <w:r w:rsidR="00D40FDC">
        <w:t xml:space="preserve">what </w:t>
      </w:r>
      <w:r w:rsidR="004E4044">
        <w:t>the nature of th</w:t>
      </w:r>
      <w:r w:rsidR="004D432F">
        <w:t xml:space="preserve">is responsibility </w:t>
      </w:r>
      <w:r w:rsidR="00D73D81">
        <w:t xml:space="preserve">might be </w:t>
      </w:r>
      <w:r w:rsidR="009406DC">
        <w:t>e.g.,</w:t>
      </w:r>
      <w:r w:rsidR="004E4044">
        <w:t xml:space="preserve"> to whom it </w:t>
      </w:r>
      <w:r w:rsidR="004D432F">
        <w:t>is owed.</w:t>
      </w:r>
      <w:r w:rsidR="00AA3627">
        <w:rPr>
          <w:rStyle w:val="FootnoteReference"/>
        </w:rPr>
        <w:footnoteReference w:id="74"/>
      </w:r>
    </w:p>
    <w:p w14:paraId="3F643981" w14:textId="77777777" w:rsidR="002175EB" w:rsidRDefault="002175EB" w:rsidP="00931787">
      <w:pPr>
        <w:spacing w:after="0"/>
      </w:pPr>
    </w:p>
    <w:p w14:paraId="296CD39F" w14:textId="6BD61208" w:rsidR="001B6519" w:rsidRDefault="00EB3FD8" w:rsidP="00931787">
      <w:pPr>
        <w:spacing w:after="0"/>
      </w:pPr>
      <w:r>
        <w:t xml:space="preserve">The </w:t>
      </w:r>
      <w:r w:rsidR="00F6531D">
        <w:t xml:space="preserve">November </w:t>
      </w:r>
      <w:r>
        <w:t xml:space="preserve">2020 </w:t>
      </w:r>
      <w:r w:rsidR="001B6519">
        <w:t xml:space="preserve">KPMG </w:t>
      </w:r>
      <w:r>
        <w:t xml:space="preserve">report to Transport for NSW </w:t>
      </w:r>
      <w:r w:rsidR="001B6519">
        <w:t>said the Entity is to ‘endorse’ maintenance levels.  While th</w:t>
      </w:r>
      <w:r w:rsidR="004E4044">
        <w:t>e</w:t>
      </w:r>
      <w:r w:rsidR="001B6519">
        <w:t xml:space="preserve"> </w:t>
      </w:r>
      <w:r w:rsidR="00E241AA">
        <w:t>term</w:t>
      </w:r>
      <w:r w:rsidR="001B6519">
        <w:t xml:space="preserve"> </w:t>
      </w:r>
      <w:r w:rsidR="00D73D81">
        <w:t xml:space="preserve">‘endorse’ </w:t>
      </w:r>
      <w:r w:rsidR="001B6519">
        <w:t>is ob</w:t>
      </w:r>
      <w:r w:rsidR="00E241AA">
        <w:t>tuse</w:t>
      </w:r>
      <w:r w:rsidR="00D40FDC">
        <w:t>,</w:t>
      </w:r>
      <w:r w:rsidR="001B6519">
        <w:t xml:space="preserve"> if the Entity is to exercise any control over its assets </w:t>
      </w:r>
      <w:r w:rsidR="006B2ED5">
        <w:t>the term</w:t>
      </w:r>
      <w:r w:rsidR="00D73D81">
        <w:t xml:space="preserve"> </w:t>
      </w:r>
      <w:r w:rsidR="001B6519">
        <w:t xml:space="preserve">must mean </w:t>
      </w:r>
      <w:r w:rsidR="006B2ED5">
        <w:t>‘</w:t>
      </w:r>
      <w:r w:rsidR="001B6519">
        <w:t>determine</w:t>
      </w:r>
      <w:r w:rsidR="006B2ED5">
        <w:t>’</w:t>
      </w:r>
      <w:r w:rsidR="001B6519">
        <w:t xml:space="preserve">.  </w:t>
      </w:r>
      <w:r w:rsidR="002175EB">
        <w:t xml:space="preserve"> That must mean Sydney Trains does not determine maintenance levels</w:t>
      </w:r>
      <w:r w:rsidR="002C0F86">
        <w:t xml:space="preserve">, and </w:t>
      </w:r>
      <w:r w:rsidR="006B2ED5">
        <w:t>suggests</w:t>
      </w:r>
      <w:r w:rsidR="00D40FDC">
        <w:t xml:space="preserve"> it </w:t>
      </w:r>
      <w:r w:rsidR="002C0F86">
        <w:t>can only be ‘responsible</w:t>
      </w:r>
      <w:r w:rsidR="00F32139">
        <w:t>’</w:t>
      </w:r>
      <w:r w:rsidR="002C0F86">
        <w:t xml:space="preserve"> – to the Entity – for </w:t>
      </w:r>
      <w:r w:rsidR="004E4044">
        <w:t xml:space="preserve">workmanship of the </w:t>
      </w:r>
      <w:r w:rsidR="002C0F86">
        <w:t>maintenance tasks it undertakes, not for the adequacy of maintenance</w:t>
      </w:r>
      <w:r w:rsidR="006B2ED5">
        <w:t>.</w:t>
      </w:r>
      <w:r w:rsidR="002175EB">
        <w:rPr>
          <w:rStyle w:val="FootnoteReference"/>
        </w:rPr>
        <w:footnoteReference w:id="75"/>
      </w:r>
    </w:p>
    <w:p w14:paraId="34A82641" w14:textId="77777777" w:rsidR="001B6519" w:rsidRDefault="001B6519" w:rsidP="00931787">
      <w:pPr>
        <w:spacing w:after="0"/>
      </w:pPr>
    </w:p>
    <w:p w14:paraId="6C5F1498" w14:textId="799E1238" w:rsidR="002175EB" w:rsidRDefault="00F6531D" w:rsidP="00931787">
      <w:pPr>
        <w:spacing w:after="0"/>
      </w:pPr>
      <w:r>
        <w:t xml:space="preserve">That KPMG report </w:t>
      </w:r>
      <w:r w:rsidR="002175EB">
        <w:t>also said the Entity is to ‘endorse’ bids – presumably for Government funds – for maintenance of its assets.  This indicates the Entity has a higher degree of control and influence at Government level than if it merely set maintenance levels according to its financial resources.</w:t>
      </w:r>
      <w:r w:rsidR="00E241AA">
        <w:t xml:space="preserve">  It indicates the Entity has </w:t>
      </w:r>
      <w:r w:rsidR="004E4044">
        <w:t xml:space="preserve">formal </w:t>
      </w:r>
      <w:r w:rsidR="00E241AA">
        <w:t xml:space="preserve">policy </w:t>
      </w:r>
      <w:r w:rsidR="004E4044">
        <w:t xml:space="preserve">advisory </w:t>
      </w:r>
      <w:r w:rsidR="00E241AA">
        <w:t>functions</w:t>
      </w:r>
      <w:r w:rsidR="004E4044">
        <w:t>.  Such functions are</w:t>
      </w:r>
      <w:r w:rsidR="00E241AA">
        <w:t xml:space="preserve"> inconsistent with it being a State-owned Corporation.</w:t>
      </w:r>
      <w:r w:rsidR="002175EB">
        <w:rPr>
          <w:rStyle w:val="FootnoteReference"/>
        </w:rPr>
        <w:footnoteReference w:id="76"/>
      </w:r>
      <w:r w:rsidR="002175EB">
        <w:t xml:space="preserve"> </w:t>
      </w:r>
    </w:p>
    <w:p w14:paraId="76FAAF0D" w14:textId="77777777" w:rsidR="002175EB" w:rsidRDefault="002175EB" w:rsidP="00931787">
      <w:pPr>
        <w:spacing w:after="0"/>
      </w:pPr>
    </w:p>
    <w:p w14:paraId="199C61E6" w14:textId="7899892B" w:rsidR="008F5968" w:rsidRDefault="00FB2631" w:rsidP="00931787">
      <w:pPr>
        <w:spacing w:after="0"/>
      </w:pPr>
      <w:r>
        <w:t xml:space="preserve">The </w:t>
      </w:r>
      <w:r w:rsidR="00F6531D">
        <w:t xml:space="preserve">report </w:t>
      </w:r>
      <w:r w:rsidR="002175EB">
        <w:t>further</w:t>
      </w:r>
      <w:r w:rsidR="001B6519">
        <w:t xml:space="preserve"> indicated the split of ‘capital and recurrent maintenance’ is to be decided by Transport for NSW and Sydney Trains.   </w:t>
      </w:r>
    </w:p>
    <w:p w14:paraId="35301D6C" w14:textId="77777777" w:rsidR="004B194F" w:rsidRDefault="004B194F" w:rsidP="00931787">
      <w:pPr>
        <w:spacing w:after="0"/>
      </w:pPr>
    </w:p>
    <w:p w14:paraId="0D664724" w14:textId="51829509" w:rsidR="001B6519" w:rsidRDefault="001B6519" w:rsidP="00931787">
      <w:pPr>
        <w:spacing w:after="0"/>
      </w:pPr>
      <w:r>
        <w:t>The presence of Transport for NSW i</w:t>
      </w:r>
      <w:r w:rsidR="004E4044">
        <w:t>n</w:t>
      </w:r>
      <w:r>
        <w:t xml:space="preserve"> such a decision means </w:t>
      </w:r>
      <w:r w:rsidR="002175EB">
        <w:t>selection of maintenance</w:t>
      </w:r>
      <w:r>
        <w:t xml:space="preserve"> </w:t>
      </w:r>
      <w:r w:rsidR="002175EB">
        <w:t xml:space="preserve">tasks </w:t>
      </w:r>
      <w:r>
        <w:t>is not a matter only for Sydney Trains.  That also is inconsistent with vertical integration.</w:t>
      </w:r>
      <w:r w:rsidR="002175EB">
        <w:rPr>
          <w:rStyle w:val="FootnoteReference"/>
        </w:rPr>
        <w:footnoteReference w:id="77"/>
      </w:r>
    </w:p>
    <w:p w14:paraId="06B1DBB9" w14:textId="77777777" w:rsidR="00F32139" w:rsidRDefault="00F32139" w:rsidP="00931787">
      <w:pPr>
        <w:spacing w:after="0"/>
      </w:pPr>
    </w:p>
    <w:p w14:paraId="6BD3EE76" w14:textId="0FA03B07" w:rsidR="000211BB" w:rsidRDefault="00007A31" w:rsidP="00931787">
      <w:pPr>
        <w:pStyle w:val="Heading4"/>
      </w:pPr>
      <w:r>
        <w:t>4</w:t>
      </w:r>
      <w:r w:rsidR="00FB2631">
        <w:t>.</w:t>
      </w:r>
      <w:r>
        <w:t>2</w:t>
      </w:r>
      <w:r w:rsidR="00FB2631">
        <w:t>.</w:t>
      </w:r>
      <w:r>
        <w:t>6</w:t>
      </w:r>
      <w:r w:rsidR="00FB2631">
        <w:tab/>
      </w:r>
      <w:r w:rsidR="00212E02">
        <w:t>Relevance o</w:t>
      </w:r>
      <w:r w:rsidR="000211BB">
        <w:t>f vertical integration</w:t>
      </w:r>
    </w:p>
    <w:p w14:paraId="145DAF15" w14:textId="536B8EE4" w:rsidR="00270266" w:rsidRDefault="00711031" w:rsidP="00931787">
      <w:pPr>
        <w:spacing w:after="0"/>
      </w:pPr>
      <w:r>
        <w:t xml:space="preserve">The importance of the definition of vertical integration arises from </w:t>
      </w:r>
      <w:r w:rsidR="00D73D81">
        <w:t xml:space="preserve">(avoiding) </w:t>
      </w:r>
      <w:r>
        <w:t>operational and planning inefficiencies arising from interfaces among several organisations</w:t>
      </w:r>
      <w:r w:rsidR="00270266">
        <w:t>.</w:t>
      </w:r>
    </w:p>
    <w:p w14:paraId="33555A20" w14:textId="77777777" w:rsidR="00D4789C" w:rsidRDefault="00D4789C" w:rsidP="00931787">
      <w:pPr>
        <w:spacing w:after="0"/>
      </w:pPr>
    </w:p>
    <w:p w14:paraId="3E0FCB3A" w14:textId="62046984" w:rsidR="00711031" w:rsidRDefault="00270266" w:rsidP="00931787">
      <w:pPr>
        <w:spacing w:after="0"/>
      </w:pPr>
      <w:r>
        <w:t>In particular</w:t>
      </w:r>
      <w:r w:rsidR="00007A31">
        <w:t>,</w:t>
      </w:r>
      <w:r w:rsidR="005F438F">
        <w:t xml:space="preserve"> </w:t>
      </w:r>
      <w:r w:rsidR="00D73D81">
        <w:t xml:space="preserve">avoiding organisational </w:t>
      </w:r>
      <w:r w:rsidR="00007A31">
        <w:t xml:space="preserve">interfaces between </w:t>
      </w:r>
      <w:r w:rsidR="005F438F">
        <w:t>train operator and track controller</w:t>
      </w:r>
      <w:r w:rsidR="00711031">
        <w:t xml:space="preserve">.  Even were their objectives aligned, game theory points to technical inefficiencies where separate organisations are involved in a rail operation – where there is vertical separation.  </w:t>
      </w:r>
    </w:p>
    <w:p w14:paraId="3812394A" w14:textId="77777777" w:rsidR="00E946B8" w:rsidRDefault="00E946B8" w:rsidP="00931787">
      <w:pPr>
        <w:spacing w:after="0"/>
      </w:pPr>
    </w:p>
    <w:p w14:paraId="2CCE3619" w14:textId="77777777" w:rsidR="002175EB" w:rsidRDefault="00711031" w:rsidP="00931787">
      <w:pPr>
        <w:spacing w:after="0"/>
      </w:pPr>
      <w:r>
        <w:t xml:space="preserve">To the extent objectives differ, further technical inefficiencies are likely to arise.  Whether there is a net loss in economic efficiency depends on end markets and conditions for optimality in use and provision of track – whether potential gains from competition for track space outweigh technical inefficiencies.  </w:t>
      </w:r>
    </w:p>
    <w:p w14:paraId="17D96399" w14:textId="77777777" w:rsidR="002175EB" w:rsidRDefault="002175EB" w:rsidP="00931787">
      <w:pPr>
        <w:spacing w:after="0"/>
      </w:pPr>
    </w:p>
    <w:p w14:paraId="7EF4397F" w14:textId="284B3125" w:rsidR="00711031" w:rsidRDefault="00711031" w:rsidP="00931787">
      <w:pPr>
        <w:spacing w:after="0"/>
      </w:pPr>
      <w:r>
        <w:t xml:space="preserve">Given the nature of urban </w:t>
      </w:r>
      <w:r w:rsidR="004E4044">
        <w:t xml:space="preserve">passenger tasks, </w:t>
      </w:r>
      <w:r>
        <w:t xml:space="preserve">it is </w:t>
      </w:r>
      <w:r w:rsidR="00D73D81">
        <w:t xml:space="preserve">generally </w:t>
      </w:r>
      <w:r>
        <w:t>accepted potential gains from competition are far less than technical problems.  Hence vertical integration – with a train operator controlling all aspects of trains and tracks - is preferred.</w:t>
      </w:r>
    </w:p>
    <w:p w14:paraId="02A4D2F6" w14:textId="77777777" w:rsidR="00E946B8" w:rsidRDefault="00E946B8" w:rsidP="00931787">
      <w:pPr>
        <w:spacing w:after="0"/>
      </w:pPr>
    </w:p>
    <w:p w14:paraId="45919E35" w14:textId="77777777" w:rsidR="00E946B8" w:rsidRDefault="005F438F" w:rsidP="00931787">
      <w:pPr>
        <w:spacing w:after="0"/>
      </w:pPr>
      <w:r>
        <w:t xml:space="preserve">It is irrelevant to vertical integration that a train operator performs track maintenance tasks.  </w:t>
      </w:r>
    </w:p>
    <w:p w14:paraId="764BDD47" w14:textId="77777777" w:rsidR="00E20C1C" w:rsidRDefault="00E20C1C" w:rsidP="00931787">
      <w:pPr>
        <w:spacing w:after="0"/>
      </w:pPr>
      <w:bookmarkStart w:id="19" w:name="_Hlk89614823"/>
    </w:p>
    <w:p w14:paraId="7798E219" w14:textId="3561B042" w:rsidR="00A752BF" w:rsidRDefault="00007A31" w:rsidP="00931787">
      <w:pPr>
        <w:pStyle w:val="Heading3"/>
      </w:pPr>
      <w:bookmarkStart w:id="20" w:name="_Toc93085766"/>
      <w:r>
        <w:t>4</w:t>
      </w:r>
      <w:r w:rsidR="00A752BF">
        <w:t>.</w:t>
      </w:r>
      <w:r w:rsidR="00B73D60">
        <w:t>3</w:t>
      </w:r>
      <w:r w:rsidR="00A752BF">
        <w:tab/>
        <w:t xml:space="preserve">Safety </w:t>
      </w:r>
      <w:r w:rsidR="00827086">
        <w:t>management</w:t>
      </w:r>
      <w:bookmarkEnd w:id="20"/>
    </w:p>
    <w:p w14:paraId="4E402603" w14:textId="2B0EBD60" w:rsidR="00785BD1" w:rsidRDefault="00007A31" w:rsidP="00931787">
      <w:pPr>
        <w:pStyle w:val="Heading4"/>
      </w:pPr>
      <w:r>
        <w:t>4</w:t>
      </w:r>
      <w:r w:rsidR="00FB2631">
        <w:t>.</w:t>
      </w:r>
      <w:r w:rsidR="00B73D60">
        <w:t>3</w:t>
      </w:r>
      <w:r w:rsidR="00FB2631">
        <w:t>.1</w:t>
      </w:r>
      <w:r w:rsidR="00FB2631">
        <w:tab/>
      </w:r>
      <w:r w:rsidR="00785BD1">
        <w:t>Assurance nonsense</w:t>
      </w:r>
    </w:p>
    <w:p w14:paraId="7A4EBDA3" w14:textId="5833974C" w:rsidR="00510B9E" w:rsidRDefault="00F32139" w:rsidP="00931787">
      <w:pPr>
        <w:spacing w:after="0"/>
      </w:pPr>
      <w:r>
        <w:t xml:space="preserve">It </w:t>
      </w:r>
      <w:r w:rsidR="00DE4148">
        <w:t>is</w:t>
      </w:r>
      <w:r>
        <w:t xml:space="preserve"> claimed</w:t>
      </w:r>
      <w:r w:rsidR="00711031">
        <w:t xml:space="preserve"> the Entity, and its </w:t>
      </w:r>
      <w:r w:rsidR="00492A8B">
        <w:t>b</w:t>
      </w:r>
      <w:r w:rsidR="00711031">
        <w:t xml:space="preserve">oard, provide an additional level of safety oversight </w:t>
      </w:r>
      <w:r w:rsidR="00AD1825">
        <w:t xml:space="preserve">– ‘assurance’ - </w:t>
      </w:r>
      <w:r w:rsidR="00711031">
        <w:t xml:space="preserve">on the rail assets – there </w:t>
      </w:r>
      <w:r w:rsidR="00DE4148">
        <w:t xml:space="preserve">now </w:t>
      </w:r>
      <w:r w:rsidR="00711031">
        <w:t xml:space="preserve">being </w:t>
      </w:r>
      <w:r w:rsidR="00DE4148">
        <w:t xml:space="preserve">at least four </w:t>
      </w:r>
      <w:r w:rsidR="00711031">
        <w:t xml:space="preserve">levels: </w:t>
      </w:r>
      <w:r w:rsidR="00DE4148">
        <w:t xml:space="preserve">the national regulator, </w:t>
      </w:r>
      <w:r w:rsidR="00711031">
        <w:t>Sydney Trains, Transport for NSW and the Entity.</w:t>
      </w:r>
      <w:r w:rsidR="0069317A">
        <w:rPr>
          <w:rStyle w:val="FootnoteReference"/>
        </w:rPr>
        <w:footnoteReference w:id="78"/>
      </w:r>
      <w:r w:rsidR="00711031">
        <w:t xml:space="preserve">  </w:t>
      </w:r>
    </w:p>
    <w:p w14:paraId="105EB6EF" w14:textId="77777777" w:rsidR="00E946B8" w:rsidRDefault="00E946B8" w:rsidP="00931787">
      <w:pPr>
        <w:spacing w:after="0"/>
      </w:pPr>
    </w:p>
    <w:p w14:paraId="39CE03D6" w14:textId="007176B1" w:rsidR="00711031" w:rsidRDefault="00711031" w:rsidP="00931787">
      <w:pPr>
        <w:spacing w:after="0"/>
      </w:pPr>
      <w:r>
        <w:t xml:space="preserve">That </w:t>
      </w:r>
      <w:r w:rsidR="0043442B">
        <w:t xml:space="preserve">claim </w:t>
      </w:r>
      <w:r>
        <w:t>is nonsense.  It may be dangerous nonsense.</w:t>
      </w:r>
      <w:r w:rsidR="00B208FE">
        <w:t xml:space="preserve">  Not least because </w:t>
      </w:r>
      <w:r w:rsidR="00242E45">
        <w:t>it introduces</w:t>
      </w:r>
      <w:r w:rsidR="0043442B">
        <w:t xml:space="preserve"> doubt about </w:t>
      </w:r>
      <w:r w:rsidR="00AF6CB8">
        <w:t>who is responsible to whom for what</w:t>
      </w:r>
      <w:r w:rsidR="00B208FE">
        <w:t>.</w:t>
      </w:r>
      <w:r w:rsidR="00B208FE">
        <w:rPr>
          <w:rStyle w:val="FootnoteReference"/>
        </w:rPr>
        <w:footnoteReference w:id="79"/>
      </w:r>
    </w:p>
    <w:p w14:paraId="55B599CC" w14:textId="77777777" w:rsidR="002529C1" w:rsidRDefault="002529C1" w:rsidP="00931787">
      <w:pPr>
        <w:spacing w:after="0"/>
      </w:pPr>
    </w:p>
    <w:p w14:paraId="75901E0F" w14:textId="0802C165" w:rsidR="0030759C" w:rsidRDefault="003D6C0A" w:rsidP="00931787">
      <w:pPr>
        <w:pStyle w:val="Heading4"/>
      </w:pPr>
      <w:r>
        <w:t>4</w:t>
      </w:r>
      <w:r w:rsidR="00FB2631">
        <w:t>.</w:t>
      </w:r>
      <w:r>
        <w:t>3</w:t>
      </w:r>
      <w:r w:rsidR="00FB2631">
        <w:t>.2</w:t>
      </w:r>
      <w:r w:rsidR="00FB2631">
        <w:tab/>
      </w:r>
      <w:r w:rsidR="0030759C">
        <w:t>Experience</w:t>
      </w:r>
    </w:p>
    <w:p w14:paraId="2F75F8B1" w14:textId="5B75EDC1" w:rsidR="00711031" w:rsidRDefault="0043442B" w:rsidP="00931787">
      <w:pPr>
        <w:spacing w:after="0"/>
      </w:pPr>
      <w:r>
        <w:t>The</w:t>
      </w:r>
      <w:r w:rsidR="00711031">
        <w:t xml:space="preserve"> </w:t>
      </w:r>
      <w:r w:rsidR="00D73D81">
        <w:t xml:space="preserve">short biographies of the </w:t>
      </w:r>
      <w:r w:rsidR="00D32A10">
        <w:t>Ent</w:t>
      </w:r>
      <w:r w:rsidR="00711031">
        <w:t xml:space="preserve">ity’s </w:t>
      </w:r>
      <w:r w:rsidR="00D73D81">
        <w:t>director</w:t>
      </w:r>
      <w:r w:rsidR="00711031">
        <w:t xml:space="preserve">s </w:t>
      </w:r>
      <w:r w:rsidR="00DE160E">
        <w:t xml:space="preserve">do </w:t>
      </w:r>
      <w:r w:rsidR="00711031">
        <w:t xml:space="preserve">not </w:t>
      </w:r>
      <w:r w:rsidR="00D73D81">
        <w:t>show</w:t>
      </w:r>
      <w:r w:rsidR="00711031">
        <w:t xml:space="preserve"> </w:t>
      </w:r>
      <w:r w:rsidR="00DC59CF">
        <w:t xml:space="preserve">commuter </w:t>
      </w:r>
      <w:r w:rsidR="00711031">
        <w:t>railway experience.  The</w:t>
      </w:r>
      <w:r w:rsidR="00AF6CB8">
        <w:t xml:space="preserve"> </w:t>
      </w:r>
      <w:r w:rsidR="00242E45">
        <w:t xml:space="preserve">Parliamentary </w:t>
      </w:r>
      <w:r w:rsidR="00AF6CB8">
        <w:t xml:space="preserve">Inquiry </w:t>
      </w:r>
      <w:r w:rsidR="00DC59CF">
        <w:t xml:space="preserve">chair said this is consistent with the </w:t>
      </w:r>
      <w:r w:rsidR="00D500BB">
        <w:t xml:space="preserve">Government’s </w:t>
      </w:r>
      <w:r w:rsidR="00DC59CF">
        <w:t>intent.</w:t>
      </w:r>
      <w:r w:rsidR="00D32A10">
        <w:t xml:space="preserve">  </w:t>
      </w:r>
      <w:r w:rsidR="002529C1">
        <w:t>Yet w</w:t>
      </w:r>
      <w:r w:rsidR="00D32A10">
        <w:t xml:space="preserve">ithout such experience </w:t>
      </w:r>
      <w:r w:rsidR="00030726">
        <w:t>there would be a question as</w:t>
      </w:r>
      <w:r w:rsidR="00D32A10">
        <w:t xml:space="preserve"> to </w:t>
      </w:r>
      <w:r w:rsidR="00030726">
        <w:t>what</w:t>
      </w:r>
      <w:r w:rsidR="00D32A10">
        <w:t xml:space="preserve"> ‘assurance’</w:t>
      </w:r>
      <w:r w:rsidR="00030726">
        <w:t xml:space="preserve"> can be credibly claimed</w:t>
      </w:r>
      <w:r w:rsidR="00D32A10">
        <w:t>.</w:t>
      </w:r>
      <w:r w:rsidR="00A752BF">
        <w:rPr>
          <w:rStyle w:val="FootnoteReference"/>
        </w:rPr>
        <w:footnoteReference w:id="80"/>
      </w:r>
    </w:p>
    <w:p w14:paraId="06811C09" w14:textId="77777777" w:rsidR="00D32A10" w:rsidRDefault="00D32A10" w:rsidP="00931787">
      <w:pPr>
        <w:spacing w:after="0"/>
      </w:pPr>
    </w:p>
    <w:p w14:paraId="57B7AFE0" w14:textId="686A81C0" w:rsidR="00F32139" w:rsidRDefault="00D32A10" w:rsidP="00931787">
      <w:pPr>
        <w:spacing w:after="0"/>
      </w:pPr>
      <w:r>
        <w:lastRenderedPageBreak/>
        <w:t>In evidence to the Inquiry</w:t>
      </w:r>
      <w:r w:rsidR="00AF6CB8">
        <w:t>, director</w:t>
      </w:r>
      <w:r w:rsidR="00D500BB">
        <w:t>s</w:t>
      </w:r>
      <w:r w:rsidR="00AF6CB8">
        <w:t xml:space="preserve"> </w:t>
      </w:r>
      <w:r w:rsidR="004E4044">
        <w:t>disclaimed</w:t>
      </w:r>
      <w:r w:rsidR="00F32139">
        <w:t xml:space="preserve"> the </w:t>
      </w:r>
      <w:r w:rsidR="00AF6CB8">
        <w:t>organisation</w:t>
      </w:r>
      <w:r w:rsidR="00F32139">
        <w:t xml:space="preserve">’s responsibility for </w:t>
      </w:r>
      <w:r w:rsidR="0043442B">
        <w:t>(</w:t>
      </w:r>
      <w:r w:rsidR="00F32139">
        <w:t>maintenance of</w:t>
      </w:r>
      <w:r w:rsidR="0043442B">
        <w:t>)</w:t>
      </w:r>
      <w:r w:rsidR="00F32139">
        <w:t xml:space="preserve"> its assets,</w:t>
      </w:r>
      <w:r w:rsidR="009744EF">
        <w:t xml:space="preserve"> yet</w:t>
      </w:r>
      <w:r w:rsidR="00F32139">
        <w:t xml:space="preserve"> </w:t>
      </w:r>
      <w:r>
        <w:t>w</w:t>
      </w:r>
      <w:r w:rsidR="00D500BB">
        <w:t>ere</w:t>
      </w:r>
      <w:r>
        <w:t xml:space="preserve"> unable to say</w:t>
      </w:r>
      <w:r w:rsidR="00F32139">
        <w:t xml:space="preserve"> where </w:t>
      </w:r>
      <w:r w:rsidR="00C67F26">
        <w:t>(</w:t>
      </w:r>
      <w:r w:rsidR="00BD3802">
        <w:t>legal</w:t>
      </w:r>
      <w:r w:rsidR="00C67F26">
        <w:t>)</w:t>
      </w:r>
      <w:r w:rsidR="00BD3802">
        <w:t xml:space="preserve"> </w:t>
      </w:r>
      <w:r w:rsidR="00F32139">
        <w:t>responsibility lies</w:t>
      </w:r>
      <w:r w:rsidR="009744EF">
        <w:t xml:space="preserve">.  </w:t>
      </w:r>
      <w:r w:rsidR="00C67F26">
        <w:t xml:space="preserve">The </w:t>
      </w:r>
      <w:r w:rsidR="00DA7C41">
        <w:t xml:space="preserve">lack of knowledge </w:t>
      </w:r>
      <w:r w:rsidR="00C67F26">
        <w:t>w</w:t>
      </w:r>
      <w:r w:rsidR="00771115">
        <w:t>a</w:t>
      </w:r>
      <w:r w:rsidR="00DE4148">
        <w:t xml:space="preserve">s </w:t>
      </w:r>
      <w:r w:rsidR="00C67F26">
        <w:t xml:space="preserve">sought to be explained as </w:t>
      </w:r>
      <w:r w:rsidR="00111CA9">
        <w:t>a matter of</w:t>
      </w:r>
      <w:r w:rsidR="00DE4148">
        <w:t xml:space="preserve"> lack of legal training.  </w:t>
      </w:r>
      <w:r w:rsidR="00030726">
        <w:t>There may be a difficulty with that: it may imply</w:t>
      </w:r>
      <w:r w:rsidR="00BD3802">
        <w:t xml:space="preserve"> responsibility is some extra-legal concept</w:t>
      </w:r>
      <w:r w:rsidR="00111CA9">
        <w:t xml:space="preserve">, and </w:t>
      </w:r>
      <w:r>
        <w:t>the</w:t>
      </w:r>
      <w:r w:rsidR="00111CA9">
        <w:t xml:space="preserve"> Entity’s so-called </w:t>
      </w:r>
      <w:r>
        <w:t xml:space="preserve">‘assurance’ </w:t>
      </w:r>
      <w:r w:rsidR="00111CA9">
        <w:t xml:space="preserve">function can be undertaken </w:t>
      </w:r>
      <w:r>
        <w:t>w</w:t>
      </w:r>
      <w:r w:rsidR="00111CA9">
        <w:t xml:space="preserve">hile it </w:t>
      </w:r>
      <w:r w:rsidR="00C67F26">
        <w:t>does not know</w:t>
      </w:r>
      <w:r w:rsidR="00111CA9">
        <w:t xml:space="preserve"> </w:t>
      </w:r>
      <w:r>
        <w:t>where responsibility rests</w:t>
      </w:r>
      <w:r w:rsidR="00C67F26">
        <w:t>, and who needs to do what</w:t>
      </w:r>
      <w:r>
        <w:t>.</w:t>
      </w:r>
      <w:r w:rsidR="00F32139">
        <w:rPr>
          <w:rStyle w:val="FootnoteReference"/>
        </w:rPr>
        <w:footnoteReference w:id="81"/>
      </w:r>
    </w:p>
    <w:p w14:paraId="177FAD90" w14:textId="18322D74" w:rsidR="00DE4148" w:rsidRDefault="00DE4148" w:rsidP="00931787">
      <w:pPr>
        <w:spacing w:after="0"/>
      </w:pPr>
    </w:p>
    <w:p w14:paraId="69015755" w14:textId="63FFD62D" w:rsidR="0030759C" w:rsidRDefault="003D6C0A" w:rsidP="00931787">
      <w:pPr>
        <w:pStyle w:val="Heading4"/>
      </w:pPr>
      <w:r>
        <w:t>4.3.</w:t>
      </w:r>
      <w:r w:rsidR="001257A9">
        <w:t>3</w:t>
      </w:r>
      <w:r w:rsidR="00FB2631">
        <w:tab/>
      </w:r>
      <w:r w:rsidR="0030759C">
        <w:t>Sub-committee</w:t>
      </w:r>
    </w:p>
    <w:p w14:paraId="1B92C8EF" w14:textId="1E901288" w:rsidR="00771115" w:rsidRDefault="00C67F26" w:rsidP="00931787">
      <w:pPr>
        <w:spacing w:after="0"/>
      </w:pPr>
      <w:r>
        <w:t xml:space="preserve">It was </w:t>
      </w:r>
      <w:r w:rsidR="00DE4148">
        <w:t>claim</w:t>
      </w:r>
      <w:r w:rsidR="00AF6CB8">
        <w:t>ed</w:t>
      </w:r>
      <w:r w:rsidR="00DE4148">
        <w:t xml:space="preserve"> </w:t>
      </w:r>
      <w:r w:rsidR="00724072">
        <w:t xml:space="preserve">the Entity does </w:t>
      </w:r>
      <w:r w:rsidR="00DE4148">
        <w:t xml:space="preserve">not have </w:t>
      </w:r>
      <w:r w:rsidR="00724072">
        <w:t>‘</w:t>
      </w:r>
      <w:r w:rsidR="00724072" w:rsidRPr="00D32A10">
        <w:rPr>
          <w:i/>
          <w:iCs/>
        </w:rPr>
        <w:t>ultimate</w:t>
      </w:r>
      <w:r w:rsidR="00DE4148" w:rsidRPr="00D32A10">
        <w:rPr>
          <w:i/>
          <w:iCs/>
        </w:rPr>
        <w:t xml:space="preserve"> responsibility</w:t>
      </w:r>
      <w:r w:rsidR="00724072">
        <w:t>’</w:t>
      </w:r>
      <w:r w:rsidR="00DE4148">
        <w:t xml:space="preserve"> for safety </w:t>
      </w:r>
      <w:r w:rsidR="00AF6CB8">
        <w:t>yet</w:t>
      </w:r>
      <w:r w:rsidR="00724072">
        <w:t xml:space="preserve"> </w:t>
      </w:r>
      <w:r>
        <w:t xml:space="preserve">this was </w:t>
      </w:r>
      <w:r w:rsidR="00771115">
        <w:t xml:space="preserve">prefaced </w:t>
      </w:r>
      <w:r>
        <w:t xml:space="preserve">by </w:t>
      </w:r>
      <w:r w:rsidR="00771115">
        <w:t>comments th</w:t>
      </w:r>
      <w:r>
        <w:t xml:space="preserve">ere is a </w:t>
      </w:r>
      <w:r w:rsidR="00492A8B">
        <w:t>b</w:t>
      </w:r>
      <w:r w:rsidR="00724072">
        <w:t xml:space="preserve">oard </w:t>
      </w:r>
      <w:r w:rsidR="00765331">
        <w:t>(sub)</w:t>
      </w:r>
      <w:r w:rsidR="00724072">
        <w:t>committee</w:t>
      </w:r>
      <w:r w:rsidR="00AF6CB8">
        <w:t xml:space="preserve"> that deals with safety</w:t>
      </w:r>
      <w:r w:rsidR="00724072">
        <w:t xml:space="preserve">. </w:t>
      </w:r>
      <w:r w:rsidR="00DA7C41">
        <w:t xml:space="preserve"> </w:t>
      </w:r>
    </w:p>
    <w:p w14:paraId="6E031771" w14:textId="77777777" w:rsidR="00771115" w:rsidRDefault="00771115" w:rsidP="00931787">
      <w:pPr>
        <w:spacing w:after="0"/>
      </w:pPr>
    </w:p>
    <w:p w14:paraId="01C35841" w14:textId="01E72B04" w:rsidR="0043442B" w:rsidRDefault="00771115" w:rsidP="00931787">
      <w:pPr>
        <w:spacing w:after="0"/>
      </w:pPr>
      <w:r>
        <w:t>The</w:t>
      </w:r>
      <w:r w:rsidR="005C198B">
        <w:t xml:space="preserve"> purpose of </w:t>
      </w:r>
      <w:r w:rsidR="00AF6CB8">
        <w:t xml:space="preserve">such </w:t>
      </w:r>
      <w:r w:rsidR="005C198B">
        <w:t xml:space="preserve">a </w:t>
      </w:r>
      <w:r w:rsidR="00111CA9">
        <w:t>sub-</w:t>
      </w:r>
      <w:r w:rsidR="005C198B">
        <w:t xml:space="preserve">committee in an organisation without safety responsibilities is unclear.  </w:t>
      </w:r>
      <w:r w:rsidR="0043442B">
        <w:t>G</w:t>
      </w:r>
      <w:r w:rsidR="00DA7C41">
        <w:t xml:space="preserve">iven the </w:t>
      </w:r>
      <w:r w:rsidR="00492A8B">
        <w:t>b</w:t>
      </w:r>
      <w:r w:rsidR="00DA7C41">
        <w:t>oard has only four members</w:t>
      </w:r>
      <w:r w:rsidR="0043442B">
        <w:t xml:space="preserve"> it </w:t>
      </w:r>
      <w:r w:rsidR="00C67F26">
        <w:t>may</w:t>
      </w:r>
      <w:r w:rsidR="0043442B">
        <w:t xml:space="preserve"> surpris</w:t>
      </w:r>
      <w:r w:rsidR="00C67F26">
        <w:t>e</w:t>
      </w:r>
      <w:r w:rsidR="0043442B">
        <w:t xml:space="preserve"> </w:t>
      </w:r>
      <w:r w:rsidR="00111CA9">
        <w:t xml:space="preserve">it has </w:t>
      </w:r>
      <w:r w:rsidR="005C198B">
        <w:t>any sub-</w:t>
      </w:r>
      <w:r w:rsidR="0043442B">
        <w:t>committee</w:t>
      </w:r>
      <w:r w:rsidR="005C198B">
        <w:t>s</w:t>
      </w:r>
      <w:r w:rsidR="00DA7C41">
        <w:t xml:space="preserve">.  </w:t>
      </w:r>
      <w:r w:rsidR="0043442B">
        <w:t>There are other surprises</w:t>
      </w:r>
      <w:r w:rsidR="0050365A">
        <w:t xml:space="preserve"> about the </w:t>
      </w:r>
      <w:r w:rsidR="00111CA9">
        <w:t>safety etc. sub-</w:t>
      </w:r>
      <w:r w:rsidR="0050365A">
        <w:t>committee</w:t>
      </w:r>
      <w:r w:rsidR="0043442B">
        <w:t>.</w:t>
      </w:r>
      <w:r w:rsidR="009D6A34">
        <w:rPr>
          <w:rStyle w:val="FootnoteReference"/>
        </w:rPr>
        <w:footnoteReference w:id="82"/>
      </w:r>
    </w:p>
    <w:p w14:paraId="08EDEDB0" w14:textId="77777777" w:rsidR="0043442B" w:rsidRDefault="0043442B" w:rsidP="00931787">
      <w:pPr>
        <w:spacing w:after="0"/>
      </w:pPr>
    </w:p>
    <w:p w14:paraId="5634141D" w14:textId="5A8C29C3" w:rsidR="00492A8B" w:rsidRDefault="0043442B" w:rsidP="00931787">
      <w:pPr>
        <w:spacing w:after="0"/>
      </w:pPr>
      <w:r>
        <w:t>Among these</w:t>
      </w:r>
      <w:r w:rsidR="00AF6CB8">
        <w:t>:</w:t>
      </w:r>
      <w:r>
        <w:t xml:space="preserve"> </w:t>
      </w:r>
      <w:r w:rsidR="00C31370">
        <w:t xml:space="preserve">at the time of writing – December 2021 - </w:t>
      </w:r>
      <w:r w:rsidR="00765331">
        <w:t>its</w:t>
      </w:r>
      <w:r w:rsidR="00DA7C41">
        <w:t xml:space="preserve"> membership </w:t>
      </w:r>
      <w:r w:rsidR="00C113BB">
        <w:t>wa</w:t>
      </w:r>
      <w:r w:rsidR="00AF6CB8">
        <w:t>s not</w:t>
      </w:r>
      <w:r w:rsidR="00AD7871">
        <w:t xml:space="preserve"> </w:t>
      </w:r>
      <w:r>
        <w:t>publicly available</w:t>
      </w:r>
      <w:r w:rsidR="00DA7C41">
        <w:t xml:space="preserve"> but apparently includes at least one person who is not </w:t>
      </w:r>
      <w:r w:rsidR="00C67F26">
        <w:t>a director</w:t>
      </w:r>
      <w:r w:rsidR="00492A8B">
        <w:t xml:space="preserve"> – who </w:t>
      </w:r>
      <w:r w:rsidR="00C67F26">
        <w:t>is said to</w:t>
      </w:r>
      <w:r w:rsidR="00492A8B">
        <w:t xml:space="preserve"> provide</w:t>
      </w:r>
      <w:r w:rsidR="00C67F26">
        <w:t xml:space="preserve"> </w:t>
      </w:r>
      <w:r w:rsidR="00492A8B">
        <w:t>rail expertise</w:t>
      </w:r>
      <w:r w:rsidR="00111CA9">
        <w:t xml:space="preserve">.  That </w:t>
      </w:r>
      <w:r w:rsidR="00492A8B">
        <w:t>suggest</w:t>
      </w:r>
      <w:r w:rsidR="00111CA9">
        <w:t>s</w:t>
      </w:r>
      <w:r w:rsidR="00492A8B">
        <w:t xml:space="preserve"> the board lacks </w:t>
      </w:r>
      <w:r w:rsidR="00111CA9">
        <w:t>a</w:t>
      </w:r>
      <w:r w:rsidR="00C113BB">
        <w:t>n important</w:t>
      </w:r>
      <w:r w:rsidR="00492A8B">
        <w:t xml:space="preserve"> capability</w:t>
      </w:r>
      <w:r w:rsidR="00DA7C41">
        <w:t>.</w:t>
      </w:r>
      <w:r w:rsidR="00492A8B">
        <w:rPr>
          <w:rStyle w:val="FootnoteReference"/>
        </w:rPr>
        <w:footnoteReference w:id="83"/>
      </w:r>
    </w:p>
    <w:p w14:paraId="0ACD19CB" w14:textId="77777777" w:rsidR="00492A8B" w:rsidRDefault="00492A8B" w:rsidP="00931787">
      <w:pPr>
        <w:spacing w:after="0"/>
      </w:pPr>
    </w:p>
    <w:p w14:paraId="747BB8E6" w14:textId="6A69B954" w:rsidR="009D6A34" w:rsidRDefault="0050365A" w:rsidP="00931787">
      <w:pPr>
        <w:spacing w:after="0"/>
      </w:pPr>
      <w:r>
        <w:t xml:space="preserve">Another </w:t>
      </w:r>
      <w:r w:rsidR="00111CA9">
        <w:t xml:space="preserve">surprise </w:t>
      </w:r>
      <w:r>
        <w:t>is</w:t>
      </w:r>
      <w:r w:rsidR="00DA7C41">
        <w:t xml:space="preserve"> </w:t>
      </w:r>
      <w:r>
        <w:t xml:space="preserve">the only information about </w:t>
      </w:r>
      <w:r w:rsidR="00AD7871">
        <w:t xml:space="preserve">the </w:t>
      </w:r>
      <w:r w:rsidR="00111CA9">
        <w:t>sub-</w:t>
      </w:r>
      <w:r w:rsidR="00AD7871">
        <w:t xml:space="preserve">committee </w:t>
      </w:r>
      <w:r>
        <w:t xml:space="preserve">on </w:t>
      </w:r>
      <w:r w:rsidR="00AD7871">
        <w:t>the Entity’s</w:t>
      </w:r>
      <w:r>
        <w:t xml:space="preserve"> website relates to an ‘operating model’ </w:t>
      </w:r>
      <w:r w:rsidR="007E1B02">
        <w:t xml:space="preserve">– a stylised flow-chart on a single page - </w:t>
      </w:r>
      <w:r>
        <w:t xml:space="preserve">which is </w:t>
      </w:r>
      <w:r w:rsidR="00716EFF">
        <w:t xml:space="preserve">so </w:t>
      </w:r>
      <w:r w:rsidR="00111CA9">
        <w:t>vague</w:t>
      </w:r>
      <w:r w:rsidR="00716EFF">
        <w:t xml:space="preserve"> </w:t>
      </w:r>
      <w:r w:rsidR="00111CA9">
        <w:t>as to be worthless</w:t>
      </w:r>
      <w:r w:rsidR="009D6A34">
        <w:t>.</w:t>
      </w:r>
      <w:r w:rsidR="00111CA9">
        <w:t xml:space="preserve">  </w:t>
      </w:r>
      <w:r w:rsidR="007E1B02">
        <w:t>T</w:t>
      </w:r>
      <w:r w:rsidR="00111CA9">
        <w:t xml:space="preserve">he </w:t>
      </w:r>
      <w:r w:rsidR="007E1B02">
        <w:t>‘</w:t>
      </w:r>
      <w:r w:rsidR="00111CA9">
        <w:t>operating model</w:t>
      </w:r>
      <w:r w:rsidR="007E1B02">
        <w:t>’</w:t>
      </w:r>
      <w:r w:rsidR="00111CA9">
        <w:t xml:space="preserve"> does not refer to the sub-committee.</w:t>
      </w:r>
      <w:r w:rsidR="009D6A34">
        <w:rPr>
          <w:rStyle w:val="FootnoteReference"/>
        </w:rPr>
        <w:footnoteReference w:id="84"/>
      </w:r>
    </w:p>
    <w:p w14:paraId="334FCF16" w14:textId="77777777" w:rsidR="007E1B02" w:rsidRDefault="007E1B02" w:rsidP="00931787">
      <w:pPr>
        <w:spacing w:after="0"/>
      </w:pPr>
    </w:p>
    <w:p w14:paraId="5851BC6E" w14:textId="419B896D" w:rsidR="00AD7871" w:rsidRDefault="001506BC" w:rsidP="00931787">
      <w:pPr>
        <w:spacing w:after="0"/>
      </w:pPr>
      <w:r>
        <w:t xml:space="preserve">There </w:t>
      </w:r>
      <w:r w:rsidR="007E1B02">
        <w:t xml:space="preserve">is </w:t>
      </w:r>
      <w:r>
        <w:t>a</w:t>
      </w:r>
      <w:r w:rsidR="007E1B02">
        <w:t xml:space="preserve"> </w:t>
      </w:r>
      <w:r w:rsidR="00EF3A00">
        <w:t xml:space="preserve">claim </w:t>
      </w:r>
      <w:r w:rsidR="00AD7871">
        <w:t xml:space="preserve">the Entity </w:t>
      </w:r>
      <w:r w:rsidR="00DA7C41">
        <w:t>conducts audits including o</w:t>
      </w:r>
      <w:r w:rsidR="00D500BB">
        <w:t>f</w:t>
      </w:r>
      <w:r w:rsidR="00DA7C41">
        <w:t xml:space="preserve"> </w:t>
      </w:r>
      <w:r w:rsidR="00EF3A00">
        <w:t xml:space="preserve">the work </w:t>
      </w:r>
      <w:r w:rsidR="00C113BB">
        <w:t xml:space="preserve">under control </w:t>
      </w:r>
      <w:r w:rsidR="00EF3A00">
        <w:t xml:space="preserve">of </w:t>
      </w:r>
      <w:r w:rsidR="00216D4B">
        <w:t>one director</w:t>
      </w:r>
      <w:r w:rsidR="00EF3A00">
        <w:t xml:space="preserve"> – the Secretary of Transport for NSW</w:t>
      </w:r>
      <w:r w:rsidR="00DA7C41">
        <w:t xml:space="preserve">.  </w:t>
      </w:r>
      <w:r w:rsidR="00EF3A00">
        <w:t xml:space="preserve">That </w:t>
      </w:r>
      <w:r w:rsidR="00C31370">
        <w:t xml:space="preserve">appears to be a </w:t>
      </w:r>
      <w:r w:rsidR="007E1B02">
        <w:t>c</w:t>
      </w:r>
      <w:r w:rsidR="00EF3A00">
        <w:t xml:space="preserve">onflict of interest </w:t>
      </w:r>
      <w:r w:rsidR="00C31370">
        <w:t xml:space="preserve">which may be </w:t>
      </w:r>
      <w:r w:rsidR="00EF3A00">
        <w:t>irreconcilable because the Secretary’s appointment to the board is a statutory requirement.</w:t>
      </w:r>
    </w:p>
    <w:p w14:paraId="4794772A" w14:textId="77777777" w:rsidR="00AD7871" w:rsidRDefault="00AD7871" w:rsidP="00931787">
      <w:pPr>
        <w:spacing w:after="0"/>
      </w:pPr>
    </w:p>
    <w:p w14:paraId="71574C45" w14:textId="3F75D2EF" w:rsidR="007E1B02" w:rsidRDefault="00EF3A00" w:rsidP="00931787">
      <w:pPr>
        <w:spacing w:after="0"/>
      </w:pPr>
      <w:r>
        <w:t>Yet an</w:t>
      </w:r>
      <w:r w:rsidR="0050365A">
        <w:t xml:space="preserve">other </w:t>
      </w:r>
      <w:r>
        <w:t>surprise is that while</w:t>
      </w:r>
      <w:r w:rsidR="00B208FE">
        <w:t xml:space="preserve"> such audits might </w:t>
      </w:r>
      <w:r w:rsidR="00C113BB">
        <w:t xml:space="preserve">be though to </w:t>
      </w:r>
      <w:r w:rsidR="00B208FE">
        <w:t>fall within the province of</w:t>
      </w:r>
      <w:r w:rsidR="0050365A">
        <w:t>, or be of particular interest to</w:t>
      </w:r>
      <w:r w:rsidR="00A174DD">
        <w:t>,</w:t>
      </w:r>
      <w:r w:rsidR="00B208FE">
        <w:t xml:space="preserve"> the national regulator</w:t>
      </w:r>
      <w:r w:rsidR="0050365A">
        <w:t xml:space="preserve"> the Entity </w:t>
      </w:r>
      <w:r w:rsidR="00C67F26">
        <w:t>may</w:t>
      </w:r>
      <w:r w:rsidR="0050365A">
        <w:t xml:space="preserve"> not feel a need to seek permission from the regulator to so operate. </w:t>
      </w:r>
      <w:r w:rsidR="00E80B48">
        <w:t xml:space="preserve">  That is even more surprising given the Entity </w:t>
      </w:r>
      <w:r w:rsidR="007E1B02">
        <w:t>says</w:t>
      </w:r>
      <w:r w:rsidR="00E80B48">
        <w:t xml:space="preserve"> some of its work </w:t>
      </w:r>
      <w:r w:rsidR="007E1B02">
        <w:t>is subject to oversight by the regulator viz:</w:t>
      </w:r>
    </w:p>
    <w:p w14:paraId="3D15D659" w14:textId="73EB1B48" w:rsidR="007E1B02" w:rsidRPr="00E80B48" w:rsidRDefault="007E1B02" w:rsidP="00931787">
      <w:pPr>
        <w:spacing w:after="0"/>
        <w:ind w:left="720"/>
        <w:rPr>
          <w:i/>
          <w:iCs/>
        </w:rPr>
      </w:pPr>
      <w:r w:rsidRPr="00E80B48">
        <w:rPr>
          <w:i/>
          <w:iCs/>
        </w:rPr>
        <w:t>‘All…..maintenance decisions are subject to ……oversight from the Office of the National Rail Safety Regulator’</w:t>
      </w:r>
      <w:r>
        <w:rPr>
          <w:i/>
          <w:iCs/>
        </w:rPr>
        <w:t>.</w:t>
      </w:r>
      <w:r w:rsidRPr="00E80B48">
        <w:rPr>
          <w:rStyle w:val="FootnoteReference"/>
          <w:i/>
          <w:iCs/>
        </w:rPr>
        <w:footnoteReference w:id="85"/>
      </w:r>
    </w:p>
    <w:p w14:paraId="11DCCC1D" w14:textId="247138B5" w:rsidR="00E80B48" w:rsidRDefault="00E80B48" w:rsidP="00931787">
      <w:pPr>
        <w:spacing w:after="0"/>
      </w:pPr>
    </w:p>
    <w:p w14:paraId="1089DE97" w14:textId="252BFCD3" w:rsidR="00F9021C" w:rsidRDefault="00EF3A00" w:rsidP="00931787">
      <w:pPr>
        <w:spacing w:after="0"/>
      </w:pPr>
      <w:r>
        <w:t xml:space="preserve">There is </w:t>
      </w:r>
      <w:r w:rsidR="00C31370">
        <w:t xml:space="preserve">a </w:t>
      </w:r>
      <w:r>
        <w:t>question of what the Entity’s management might be doing.  Typically, boards oversee</w:t>
      </w:r>
      <w:r w:rsidR="00F9021C">
        <w:t xml:space="preserve"> but do no substitute for management.  </w:t>
      </w:r>
      <w:r w:rsidR="00D53E47">
        <w:t>B</w:t>
      </w:r>
      <w:r w:rsidR="00A174DD">
        <w:t>oard (</w:t>
      </w:r>
      <w:r w:rsidR="00F9021C">
        <w:t>sub</w:t>
      </w:r>
      <w:r w:rsidR="00A174DD">
        <w:t>)</w:t>
      </w:r>
      <w:r w:rsidR="00F9021C">
        <w:t xml:space="preserve">committees review work conducted by the organisation, rather than undertake work </w:t>
      </w:r>
      <w:r w:rsidR="007E1B02">
        <w:t>themselves</w:t>
      </w:r>
      <w:r w:rsidR="00F9021C">
        <w:t xml:space="preserve">.  Yet </w:t>
      </w:r>
      <w:r w:rsidR="00A174DD">
        <w:t xml:space="preserve">evidence to the Inquiry </w:t>
      </w:r>
      <w:r w:rsidR="007E1B02">
        <w:t>did not</w:t>
      </w:r>
      <w:r w:rsidR="00F9021C">
        <w:t xml:space="preserve"> mention what activities the </w:t>
      </w:r>
      <w:r w:rsidR="00A174DD">
        <w:t xml:space="preserve">Entity’s </w:t>
      </w:r>
      <w:r w:rsidR="00F9021C">
        <w:t xml:space="preserve">board expects management to undertake.  </w:t>
      </w:r>
      <w:r w:rsidR="00C31370">
        <w:t>A possible</w:t>
      </w:r>
      <w:r w:rsidR="00F9021C">
        <w:t xml:space="preserve"> impression</w:t>
      </w:r>
      <w:r w:rsidR="00A174DD">
        <w:t>:</w:t>
      </w:r>
      <w:r w:rsidR="00F9021C">
        <w:t xml:space="preserve"> the sub-committee is operating as management</w:t>
      </w:r>
      <w:r w:rsidR="00A174DD">
        <w:t xml:space="preserve">.  </w:t>
      </w:r>
    </w:p>
    <w:p w14:paraId="137209F6" w14:textId="18F4DCBD" w:rsidR="00B31828" w:rsidRDefault="00B31828" w:rsidP="00931787">
      <w:pPr>
        <w:spacing w:after="0"/>
      </w:pPr>
    </w:p>
    <w:p w14:paraId="77364779" w14:textId="6DE36474" w:rsidR="0030759C" w:rsidRDefault="003D6C0A" w:rsidP="00931787">
      <w:pPr>
        <w:pStyle w:val="Heading4"/>
        <w:rPr>
          <w:bdr w:val="none" w:sz="0" w:space="0" w:color="auto" w:frame="1"/>
        </w:rPr>
      </w:pPr>
      <w:r>
        <w:rPr>
          <w:bdr w:val="none" w:sz="0" w:space="0" w:color="auto" w:frame="1"/>
        </w:rPr>
        <w:t>4.3.</w:t>
      </w:r>
      <w:r w:rsidR="001257A9">
        <w:rPr>
          <w:bdr w:val="none" w:sz="0" w:space="0" w:color="auto" w:frame="1"/>
        </w:rPr>
        <w:t>4</w:t>
      </w:r>
      <w:r w:rsidR="00FB2631">
        <w:rPr>
          <w:bdr w:val="none" w:sz="0" w:space="0" w:color="auto" w:frame="1"/>
        </w:rPr>
        <w:tab/>
      </w:r>
      <w:r w:rsidR="0030759C">
        <w:rPr>
          <w:bdr w:val="none" w:sz="0" w:space="0" w:color="auto" w:frame="1"/>
        </w:rPr>
        <w:t>Railways as systems</w:t>
      </w:r>
    </w:p>
    <w:p w14:paraId="1D9F6474" w14:textId="4D73837A" w:rsidR="00B31828" w:rsidRDefault="00D658F4" w:rsidP="00931787">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lang w:val="en-GB"/>
        </w:rPr>
        <w:t xml:space="preserve">Beyond </w:t>
      </w:r>
      <w:r w:rsidR="00D53E47">
        <w:rPr>
          <w:rFonts w:ascii="Calibri" w:hAnsi="Calibri" w:cs="Calibri"/>
          <w:color w:val="000000"/>
          <w:sz w:val="22"/>
          <w:szCs w:val="22"/>
          <w:bdr w:val="none" w:sz="0" w:space="0" w:color="auto" w:frame="1"/>
          <w:lang w:val="en-GB"/>
        </w:rPr>
        <w:t>such</w:t>
      </w:r>
      <w:r>
        <w:rPr>
          <w:rFonts w:ascii="Calibri" w:hAnsi="Calibri" w:cs="Calibri"/>
          <w:color w:val="000000"/>
          <w:sz w:val="22"/>
          <w:szCs w:val="22"/>
          <w:bdr w:val="none" w:sz="0" w:space="0" w:color="auto" w:frame="1"/>
          <w:lang w:val="en-GB"/>
        </w:rPr>
        <w:t xml:space="preserve"> </w:t>
      </w:r>
      <w:r w:rsidR="00FB2631">
        <w:rPr>
          <w:rFonts w:ascii="Calibri" w:hAnsi="Calibri" w:cs="Calibri"/>
          <w:color w:val="000000"/>
          <w:sz w:val="22"/>
          <w:szCs w:val="22"/>
          <w:bdr w:val="none" w:sz="0" w:space="0" w:color="auto" w:frame="1"/>
          <w:lang w:val="en-GB"/>
        </w:rPr>
        <w:t>issues</w:t>
      </w:r>
      <w:r w:rsidR="00B31828">
        <w:rPr>
          <w:rFonts w:ascii="Calibri" w:hAnsi="Calibri" w:cs="Calibri"/>
          <w:color w:val="000000"/>
          <w:sz w:val="22"/>
          <w:szCs w:val="22"/>
          <w:bdr w:val="none" w:sz="0" w:space="0" w:color="auto" w:frame="1"/>
          <w:lang w:val="en-GB"/>
        </w:rPr>
        <w:t xml:space="preserve">, </w:t>
      </w:r>
      <w:r w:rsidR="00D53E47">
        <w:rPr>
          <w:rFonts w:ascii="Calibri" w:hAnsi="Calibri" w:cs="Calibri"/>
          <w:color w:val="000000"/>
          <w:sz w:val="22"/>
          <w:szCs w:val="22"/>
          <w:bdr w:val="none" w:sz="0" w:space="0" w:color="auto" w:frame="1"/>
          <w:lang w:val="en-GB"/>
        </w:rPr>
        <w:t xml:space="preserve">Government </w:t>
      </w:r>
      <w:r w:rsidR="00B31828">
        <w:rPr>
          <w:rFonts w:ascii="Calibri" w:hAnsi="Calibri" w:cs="Calibri"/>
          <w:color w:val="000000"/>
          <w:sz w:val="22"/>
          <w:szCs w:val="22"/>
          <w:bdr w:val="none" w:sz="0" w:space="0" w:color="auto" w:frame="1"/>
          <w:lang w:val="en-GB"/>
        </w:rPr>
        <w:t>views about ‘asset safety’ seem to reflect a lack of knowledge of how railways operate.  </w:t>
      </w:r>
      <w:r w:rsidR="00B31828">
        <w:rPr>
          <w:rFonts w:ascii="Calibri" w:hAnsi="Calibri" w:cs="Calibri"/>
          <w:color w:val="000000"/>
          <w:sz w:val="22"/>
          <w:szCs w:val="22"/>
          <w:bdr w:val="none" w:sz="0" w:space="0" w:color="auto" w:frame="1"/>
          <w:lang w:val="en-GB"/>
        </w:rPr>
        <w:br/>
      </w:r>
    </w:p>
    <w:p w14:paraId="1647AF7F" w14:textId="739B559C" w:rsidR="0030759C" w:rsidRDefault="00B31828" w:rsidP="00931787">
      <w:pPr>
        <w:pStyle w:val="xmsonormal"/>
        <w:shd w:val="clear" w:color="auto" w:fill="FFFFFF"/>
        <w:spacing w:before="0" w:beforeAutospacing="0" w:after="0" w:afterAutospacing="0" w:line="235" w:lineRule="atLeast"/>
        <w:rPr>
          <w:rFonts w:ascii="Calibri" w:hAnsi="Calibri" w:cs="Calibri"/>
          <w:color w:val="000000"/>
          <w:sz w:val="22"/>
          <w:szCs w:val="22"/>
          <w:bdr w:val="none" w:sz="0" w:space="0" w:color="auto" w:frame="1"/>
          <w:lang w:val="en-GB"/>
        </w:rPr>
      </w:pPr>
      <w:r>
        <w:rPr>
          <w:rFonts w:ascii="Calibri" w:hAnsi="Calibri" w:cs="Calibri"/>
          <w:color w:val="000000"/>
          <w:sz w:val="22"/>
          <w:szCs w:val="22"/>
          <w:bdr w:val="none" w:sz="0" w:space="0" w:color="auto" w:frame="1"/>
          <w:lang w:val="en-GB"/>
        </w:rPr>
        <w:t>In cases where a</w:t>
      </w:r>
      <w:r w:rsidR="00D53E47">
        <w:rPr>
          <w:rFonts w:ascii="Calibri" w:hAnsi="Calibri" w:cs="Calibri"/>
          <w:color w:val="000000"/>
          <w:sz w:val="22"/>
          <w:szCs w:val="22"/>
          <w:bdr w:val="none" w:sz="0" w:space="0" w:color="auto" w:frame="1"/>
          <w:lang w:val="en-GB"/>
        </w:rPr>
        <w:t xml:space="preserve"> railway</w:t>
      </w:r>
      <w:r>
        <w:rPr>
          <w:rFonts w:ascii="Calibri" w:hAnsi="Calibri" w:cs="Calibri"/>
          <w:color w:val="000000"/>
          <w:sz w:val="22"/>
          <w:szCs w:val="22"/>
          <w:bdr w:val="none" w:sz="0" w:space="0" w:color="auto" w:frame="1"/>
          <w:lang w:val="en-GB"/>
        </w:rPr>
        <w:t xml:space="preserve"> infrastructure asset is not in its nominally rated condition, an operating restriction </w:t>
      </w:r>
      <w:r w:rsidR="00536E85">
        <w:rPr>
          <w:rFonts w:ascii="Calibri" w:hAnsi="Calibri" w:cs="Calibri"/>
          <w:color w:val="000000"/>
          <w:sz w:val="22"/>
          <w:szCs w:val="22"/>
          <w:bdr w:val="none" w:sz="0" w:space="0" w:color="auto" w:frame="1"/>
          <w:lang w:val="en-GB"/>
        </w:rPr>
        <w:t>may</w:t>
      </w:r>
      <w:r>
        <w:rPr>
          <w:rFonts w:ascii="Calibri" w:hAnsi="Calibri" w:cs="Calibri"/>
          <w:color w:val="000000"/>
          <w:sz w:val="22"/>
          <w:szCs w:val="22"/>
          <w:bdr w:val="none" w:sz="0" w:space="0" w:color="auto" w:frame="1"/>
          <w:lang w:val="en-GB"/>
        </w:rPr>
        <w:t xml:space="preserve"> be imposed on its use to mitigate direct risk.  For example, a restriction on the speed of trains may be imposed over a track section which has a defect.  While </w:t>
      </w:r>
      <w:r w:rsidR="00536E85">
        <w:rPr>
          <w:rFonts w:ascii="Calibri" w:hAnsi="Calibri" w:cs="Calibri"/>
          <w:color w:val="000000"/>
          <w:sz w:val="22"/>
          <w:szCs w:val="22"/>
          <w:bdr w:val="none" w:sz="0" w:space="0" w:color="auto" w:frame="1"/>
          <w:lang w:val="en-GB"/>
        </w:rPr>
        <w:t xml:space="preserve">such </w:t>
      </w:r>
      <w:r>
        <w:rPr>
          <w:rFonts w:ascii="Calibri" w:hAnsi="Calibri" w:cs="Calibri"/>
          <w:color w:val="000000"/>
          <w:sz w:val="22"/>
          <w:szCs w:val="22"/>
          <w:bdr w:val="none" w:sz="0" w:space="0" w:color="auto" w:frame="1"/>
          <w:lang w:val="en-GB"/>
        </w:rPr>
        <w:t xml:space="preserve">restrictions may </w:t>
      </w:r>
      <w:r w:rsidR="00D53E47">
        <w:rPr>
          <w:rFonts w:ascii="Calibri" w:hAnsi="Calibri" w:cs="Calibri"/>
          <w:color w:val="000000"/>
          <w:sz w:val="22"/>
          <w:szCs w:val="22"/>
          <w:bdr w:val="none" w:sz="0" w:space="0" w:color="auto" w:frame="1"/>
          <w:lang w:val="en-GB"/>
        </w:rPr>
        <w:t>reduce</w:t>
      </w:r>
      <w:r>
        <w:rPr>
          <w:rFonts w:ascii="Calibri" w:hAnsi="Calibri" w:cs="Calibri"/>
          <w:color w:val="000000"/>
          <w:sz w:val="22"/>
          <w:szCs w:val="22"/>
          <w:bdr w:val="none" w:sz="0" w:space="0" w:color="auto" w:frame="1"/>
          <w:lang w:val="en-GB"/>
        </w:rPr>
        <w:t xml:space="preserve"> direct risk, other risks arise </w:t>
      </w:r>
      <w:r w:rsidR="00C31370">
        <w:rPr>
          <w:rFonts w:ascii="Calibri" w:hAnsi="Calibri" w:cs="Calibri"/>
          <w:color w:val="000000"/>
          <w:sz w:val="22"/>
          <w:szCs w:val="22"/>
          <w:bdr w:val="none" w:sz="0" w:space="0" w:color="auto" w:frame="1"/>
          <w:lang w:val="en-GB"/>
        </w:rPr>
        <w:t xml:space="preserve">- </w:t>
      </w:r>
      <w:r>
        <w:rPr>
          <w:rFonts w:ascii="Calibri" w:hAnsi="Calibri" w:cs="Calibri"/>
          <w:color w:val="000000"/>
          <w:sz w:val="22"/>
          <w:szCs w:val="22"/>
          <w:bdr w:val="none" w:sz="0" w:space="0" w:color="auto" w:frame="1"/>
          <w:lang w:val="en-GB"/>
        </w:rPr>
        <w:t xml:space="preserve">such as trains </w:t>
      </w:r>
      <w:r w:rsidR="00C31370">
        <w:rPr>
          <w:rFonts w:ascii="Calibri" w:hAnsi="Calibri" w:cs="Calibri"/>
          <w:color w:val="000000"/>
          <w:sz w:val="22"/>
          <w:szCs w:val="22"/>
          <w:bdr w:val="none" w:sz="0" w:space="0" w:color="auto" w:frame="1"/>
          <w:lang w:val="en-GB"/>
        </w:rPr>
        <w:t xml:space="preserve">developing a habit of </w:t>
      </w:r>
      <w:r>
        <w:rPr>
          <w:rFonts w:ascii="Calibri" w:hAnsi="Calibri" w:cs="Calibri"/>
          <w:color w:val="000000"/>
          <w:sz w:val="22"/>
          <w:szCs w:val="22"/>
          <w:bdr w:val="none" w:sz="0" w:space="0" w:color="auto" w:frame="1"/>
          <w:lang w:val="en-GB"/>
        </w:rPr>
        <w:t>not obeying restriction</w:t>
      </w:r>
      <w:r w:rsidR="00C31370">
        <w:rPr>
          <w:rFonts w:ascii="Calibri" w:hAnsi="Calibri" w:cs="Calibri"/>
          <w:color w:val="000000"/>
          <w:sz w:val="22"/>
          <w:szCs w:val="22"/>
          <w:bdr w:val="none" w:sz="0" w:space="0" w:color="auto" w:frame="1"/>
          <w:lang w:val="en-GB"/>
        </w:rPr>
        <w:t>s</w:t>
      </w:r>
      <w:r>
        <w:rPr>
          <w:rFonts w:ascii="Calibri" w:hAnsi="Calibri" w:cs="Calibri"/>
          <w:color w:val="000000"/>
          <w:sz w:val="22"/>
          <w:szCs w:val="22"/>
          <w:bdr w:val="none" w:sz="0" w:space="0" w:color="auto" w:frame="1"/>
          <w:lang w:val="en-GB"/>
        </w:rPr>
        <w:t xml:space="preserve">.  </w:t>
      </w:r>
    </w:p>
    <w:p w14:paraId="0C16CF60" w14:textId="77777777" w:rsidR="00785BD1" w:rsidRDefault="00785BD1" w:rsidP="00931787">
      <w:pPr>
        <w:pStyle w:val="xmsonormal"/>
        <w:shd w:val="clear" w:color="auto" w:fill="FFFFFF"/>
        <w:spacing w:before="0" w:beforeAutospacing="0" w:after="0" w:afterAutospacing="0" w:line="235" w:lineRule="atLeast"/>
        <w:rPr>
          <w:rFonts w:ascii="Calibri" w:hAnsi="Calibri" w:cs="Calibri"/>
          <w:color w:val="000000"/>
          <w:sz w:val="22"/>
          <w:szCs w:val="22"/>
          <w:bdr w:val="none" w:sz="0" w:space="0" w:color="auto" w:frame="1"/>
          <w:lang w:val="en-GB"/>
        </w:rPr>
      </w:pPr>
    </w:p>
    <w:p w14:paraId="06DD7B14" w14:textId="22D4019A" w:rsidR="00B31828" w:rsidRDefault="00B31828" w:rsidP="00931787">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lang w:val="en-GB"/>
        </w:rPr>
        <w:t xml:space="preserve">These </w:t>
      </w:r>
      <w:r w:rsidR="0030759C">
        <w:rPr>
          <w:rFonts w:ascii="Calibri" w:hAnsi="Calibri" w:cs="Calibri"/>
          <w:color w:val="000000"/>
          <w:sz w:val="22"/>
          <w:szCs w:val="22"/>
          <w:bdr w:val="none" w:sz="0" w:space="0" w:color="auto" w:frame="1"/>
          <w:lang w:val="en-GB"/>
        </w:rPr>
        <w:t xml:space="preserve">other </w:t>
      </w:r>
      <w:r>
        <w:rPr>
          <w:rFonts w:ascii="Calibri" w:hAnsi="Calibri" w:cs="Calibri"/>
          <w:color w:val="000000"/>
          <w:sz w:val="22"/>
          <w:szCs w:val="22"/>
          <w:bdr w:val="none" w:sz="0" w:space="0" w:color="auto" w:frame="1"/>
          <w:lang w:val="en-GB"/>
        </w:rPr>
        <w:t xml:space="preserve">risks may </w:t>
      </w:r>
      <w:r w:rsidR="00536E85">
        <w:rPr>
          <w:rFonts w:ascii="Calibri" w:hAnsi="Calibri" w:cs="Calibri"/>
          <w:color w:val="000000"/>
          <w:sz w:val="22"/>
          <w:szCs w:val="22"/>
          <w:bdr w:val="none" w:sz="0" w:space="0" w:color="auto" w:frame="1"/>
          <w:lang w:val="en-GB"/>
        </w:rPr>
        <w:t>relate to</w:t>
      </w:r>
      <w:r>
        <w:rPr>
          <w:rFonts w:ascii="Calibri" w:hAnsi="Calibri" w:cs="Calibri"/>
          <w:color w:val="000000"/>
          <w:sz w:val="22"/>
          <w:szCs w:val="22"/>
          <w:bdr w:val="none" w:sz="0" w:space="0" w:color="auto" w:frame="1"/>
          <w:lang w:val="en-GB"/>
        </w:rPr>
        <w:t xml:space="preserve"> the prevalence of restrictions.  Risk mitigation in such cases depends not only on assessing </w:t>
      </w:r>
      <w:r w:rsidR="00536E85">
        <w:rPr>
          <w:rFonts w:ascii="Calibri" w:hAnsi="Calibri" w:cs="Calibri"/>
          <w:color w:val="000000"/>
          <w:sz w:val="22"/>
          <w:szCs w:val="22"/>
          <w:bdr w:val="none" w:sz="0" w:space="0" w:color="auto" w:frame="1"/>
          <w:lang w:val="en-GB"/>
        </w:rPr>
        <w:t xml:space="preserve">the condition of </w:t>
      </w:r>
      <w:r w:rsidR="00D53E47">
        <w:rPr>
          <w:rFonts w:ascii="Calibri" w:hAnsi="Calibri" w:cs="Calibri"/>
          <w:color w:val="000000"/>
          <w:sz w:val="22"/>
          <w:szCs w:val="22"/>
          <w:bdr w:val="none" w:sz="0" w:space="0" w:color="auto" w:frame="1"/>
          <w:lang w:val="en-GB"/>
        </w:rPr>
        <w:t xml:space="preserve">individual </w:t>
      </w:r>
      <w:r>
        <w:rPr>
          <w:rFonts w:ascii="Calibri" w:hAnsi="Calibri" w:cs="Calibri"/>
          <w:color w:val="000000"/>
          <w:sz w:val="22"/>
          <w:szCs w:val="22"/>
          <w:bdr w:val="none" w:sz="0" w:space="0" w:color="auto" w:frame="1"/>
          <w:lang w:val="en-GB"/>
        </w:rPr>
        <w:t xml:space="preserve">assets but also on </w:t>
      </w:r>
      <w:r w:rsidR="00D53E47">
        <w:rPr>
          <w:rFonts w:ascii="Calibri" w:hAnsi="Calibri" w:cs="Calibri"/>
          <w:color w:val="000000"/>
          <w:sz w:val="22"/>
          <w:szCs w:val="22"/>
          <w:bdr w:val="none" w:sz="0" w:space="0" w:color="auto" w:frame="1"/>
          <w:lang w:val="en-GB"/>
        </w:rPr>
        <w:t xml:space="preserve">the extent, </w:t>
      </w:r>
      <w:r>
        <w:rPr>
          <w:rFonts w:ascii="Calibri" w:hAnsi="Calibri" w:cs="Calibri"/>
          <w:color w:val="000000"/>
          <w:sz w:val="22"/>
          <w:szCs w:val="22"/>
          <w:bdr w:val="none" w:sz="0" w:space="0" w:color="auto" w:frame="1"/>
          <w:lang w:val="en-GB"/>
        </w:rPr>
        <w:t>imposition</w:t>
      </w:r>
      <w:r w:rsidR="00D53E47">
        <w:rPr>
          <w:rFonts w:ascii="Calibri" w:hAnsi="Calibri" w:cs="Calibri"/>
          <w:color w:val="000000"/>
          <w:sz w:val="22"/>
          <w:szCs w:val="22"/>
          <w:bdr w:val="none" w:sz="0" w:space="0" w:color="auto" w:frame="1"/>
          <w:lang w:val="en-GB"/>
        </w:rPr>
        <w:t xml:space="preserve"> and observation of </w:t>
      </w:r>
      <w:r>
        <w:rPr>
          <w:rFonts w:ascii="Calibri" w:hAnsi="Calibri" w:cs="Calibri"/>
          <w:color w:val="000000"/>
          <w:sz w:val="22"/>
          <w:szCs w:val="22"/>
          <w:bdr w:val="none" w:sz="0" w:space="0" w:color="auto" w:frame="1"/>
          <w:lang w:val="en-GB"/>
        </w:rPr>
        <w:t>restrictions.</w:t>
      </w:r>
      <w:r w:rsidR="00785BD1">
        <w:rPr>
          <w:rFonts w:ascii="Calibri" w:hAnsi="Calibri" w:cs="Calibri"/>
          <w:color w:val="000000"/>
          <w:sz w:val="22"/>
          <w:szCs w:val="22"/>
          <w:bdr w:val="none" w:sz="0" w:space="0" w:color="auto" w:frame="1"/>
          <w:lang w:val="en-GB"/>
        </w:rPr>
        <w:t xml:space="preserve">  In an urban railway those other risks may be particularly important because operational restrictions will make it more difficult for trains to keep to timetable.   </w:t>
      </w:r>
      <w:r w:rsidR="00216D4B">
        <w:rPr>
          <w:rFonts w:ascii="Calibri" w:hAnsi="Calibri" w:cs="Calibri"/>
          <w:color w:val="000000"/>
          <w:sz w:val="22"/>
          <w:szCs w:val="22"/>
          <w:bdr w:val="none" w:sz="0" w:space="0" w:color="auto" w:frame="1"/>
          <w:lang w:val="en-GB"/>
        </w:rPr>
        <w:t>Indeed</w:t>
      </w:r>
      <w:r w:rsidR="00785BD1">
        <w:rPr>
          <w:rFonts w:ascii="Calibri" w:hAnsi="Calibri" w:cs="Calibri"/>
          <w:color w:val="000000"/>
          <w:sz w:val="22"/>
          <w:szCs w:val="22"/>
          <w:bdr w:val="none" w:sz="0" w:space="0" w:color="auto" w:frame="1"/>
          <w:lang w:val="en-GB"/>
        </w:rPr>
        <w:t>, timetables will be designed around a maximum level of operating restrictions.</w:t>
      </w:r>
      <w:r w:rsidR="00D658F4">
        <w:rPr>
          <w:rStyle w:val="FootnoteReference"/>
          <w:rFonts w:ascii="Calibri" w:hAnsi="Calibri" w:cs="Calibri"/>
          <w:color w:val="000000"/>
          <w:sz w:val="22"/>
          <w:szCs w:val="22"/>
          <w:bdr w:val="none" w:sz="0" w:space="0" w:color="auto" w:frame="1"/>
          <w:lang w:val="en-GB"/>
        </w:rPr>
        <w:footnoteReference w:id="86"/>
      </w:r>
      <w:r>
        <w:rPr>
          <w:rFonts w:ascii="Calibri" w:hAnsi="Calibri" w:cs="Calibri"/>
          <w:color w:val="000000"/>
          <w:sz w:val="22"/>
          <w:szCs w:val="22"/>
          <w:bdr w:val="none" w:sz="0" w:space="0" w:color="auto" w:frame="1"/>
          <w:lang w:val="en-GB"/>
        </w:rPr>
        <w:t>  </w:t>
      </w:r>
    </w:p>
    <w:p w14:paraId="68B2BB14" w14:textId="6923C60C" w:rsidR="00B31828" w:rsidRDefault="00B31828" w:rsidP="00931787">
      <w:pPr>
        <w:pStyle w:val="xmsonormal"/>
        <w:shd w:val="clear" w:color="auto" w:fill="FFFFFF"/>
        <w:spacing w:before="0" w:beforeAutospacing="0" w:after="0" w:afterAutospacing="0" w:line="235" w:lineRule="atLeast"/>
        <w:rPr>
          <w:rFonts w:ascii="Calibri" w:hAnsi="Calibri" w:cs="Calibri"/>
          <w:color w:val="000000"/>
          <w:sz w:val="22"/>
          <w:szCs w:val="22"/>
        </w:rPr>
      </w:pPr>
      <w:r>
        <w:rPr>
          <w:rFonts w:ascii="Calibri" w:hAnsi="Calibri" w:cs="Calibri"/>
          <w:color w:val="000000"/>
          <w:sz w:val="22"/>
          <w:szCs w:val="22"/>
          <w:bdr w:val="none" w:sz="0" w:space="0" w:color="auto" w:frame="1"/>
          <w:lang w:val="en-GB"/>
        </w:rPr>
        <w:t>  </w:t>
      </w:r>
    </w:p>
    <w:p w14:paraId="2BBFDF7C" w14:textId="62F2630A" w:rsidR="00B31828" w:rsidRDefault="00B31828" w:rsidP="00931787">
      <w:pPr>
        <w:pStyle w:val="xmsonormal"/>
        <w:shd w:val="clear" w:color="auto" w:fill="FFFFFF"/>
        <w:spacing w:before="0" w:beforeAutospacing="0" w:after="0" w:afterAutospacing="0" w:line="235" w:lineRule="atLeast"/>
        <w:rPr>
          <w:rFonts w:ascii="Calibri" w:hAnsi="Calibri" w:cs="Calibri"/>
          <w:color w:val="000000"/>
          <w:sz w:val="22"/>
          <w:szCs w:val="22"/>
          <w:bdr w:val="none" w:sz="0" w:space="0" w:color="auto" w:frame="1"/>
          <w:lang w:val="en-GB"/>
        </w:rPr>
      </w:pPr>
      <w:r>
        <w:rPr>
          <w:rFonts w:ascii="Calibri" w:hAnsi="Calibri" w:cs="Calibri"/>
          <w:color w:val="000000"/>
          <w:sz w:val="22"/>
          <w:szCs w:val="22"/>
          <w:bdr w:val="none" w:sz="0" w:space="0" w:color="auto" w:frame="1"/>
          <w:lang w:val="en-GB"/>
        </w:rPr>
        <w:t>Because railways operate as system</w:t>
      </w:r>
      <w:r w:rsidR="0027254C">
        <w:rPr>
          <w:rFonts w:ascii="Calibri" w:hAnsi="Calibri" w:cs="Calibri"/>
          <w:color w:val="000000"/>
          <w:sz w:val="22"/>
          <w:szCs w:val="22"/>
          <w:bdr w:val="none" w:sz="0" w:space="0" w:color="auto" w:frame="1"/>
          <w:lang w:val="en-GB"/>
        </w:rPr>
        <w:t>s</w:t>
      </w:r>
      <w:r>
        <w:rPr>
          <w:rFonts w:ascii="Calibri" w:hAnsi="Calibri" w:cs="Calibri"/>
          <w:color w:val="000000"/>
          <w:sz w:val="22"/>
          <w:szCs w:val="22"/>
          <w:bdr w:val="none" w:sz="0" w:space="0" w:color="auto" w:frame="1"/>
          <w:lang w:val="en-GB"/>
        </w:rPr>
        <w:t xml:space="preserve">, safety is addressed through a management system which underpins all operations.  For that reason, safety is a matter for all, not – as some suggest – just the ‘safety staff’.  In such a system, assurances about asset safety </w:t>
      </w:r>
      <w:r w:rsidR="00F66AD7">
        <w:rPr>
          <w:rFonts w:ascii="Calibri" w:hAnsi="Calibri" w:cs="Calibri"/>
          <w:color w:val="000000"/>
          <w:sz w:val="22"/>
          <w:szCs w:val="22"/>
          <w:bdr w:val="none" w:sz="0" w:space="0" w:color="auto" w:frame="1"/>
          <w:lang w:val="en-GB"/>
        </w:rPr>
        <w:t xml:space="preserve">are simplistic and </w:t>
      </w:r>
      <w:r>
        <w:rPr>
          <w:rFonts w:ascii="Calibri" w:hAnsi="Calibri" w:cs="Calibri"/>
          <w:color w:val="000000"/>
          <w:sz w:val="22"/>
          <w:szCs w:val="22"/>
          <w:bdr w:val="none" w:sz="0" w:space="0" w:color="auto" w:frame="1"/>
          <w:lang w:val="en-GB"/>
        </w:rPr>
        <w:t>miss th</w:t>
      </w:r>
      <w:r w:rsidR="00F66AD7">
        <w:rPr>
          <w:rFonts w:ascii="Calibri" w:hAnsi="Calibri" w:cs="Calibri"/>
          <w:color w:val="000000"/>
          <w:sz w:val="22"/>
          <w:szCs w:val="22"/>
          <w:bdr w:val="none" w:sz="0" w:space="0" w:color="auto" w:frame="1"/>
          <w:lang w:val="en-GB"/>
        </w:rPr>
        <w:t>e essential</w:t>
      </w:r>
      <w:r>
        <w:rPr>
          <w:rFonts w:ascii="Calibri" w:hAnsi="Calibri" w:cs="Calibri"/>
          <w:color w:val="000000"/>
          <w:sz w:val="22"/>
          <w:szCs w:val="22"/>
          <w:bdr w:val="none" w:sz="0" w:space="0" w:color="auto" w:frame="1"/>
          <w:lang w:val="en-GB"/>
        </w:rPr>
        <w:t xml:space="preserve"> point. </w:t>
      </w:r>
    </w:p>
    <w:p w14:paraId="465E0714" w14:textId="3A14F8C2" w:rsidR="00B31828" w:rsidRDefault="00B31828" w:rsidP="00931787">
      <w:pPr>
        <w:pStyle w:val="xmsonormal"/>
        <w:shd w:val="clear" w:color="auto" w:fill="FFFFFF"/>
        <w:spacing w:before="0" w:beforeAutospacing="0" w:after="0" w:afterAutospacing="0" w:line="235" w:lineRule="atLeast"/>
        <w:rPr>
          <w:rFonts w:ascii="Calibri" w:hAnsi="Calibri" w:cs="Calibri"/>
          <w:color w:val="000000"/>
          <w:sz w:val="22"/>
          <w:szCs w:val="22"/>
        </w:rPr>
      </w:pPr>
    </w:p>
    <w:p w14:paraId="519802AB" w14:textId="39CB59C9" w:rsidR="0030759C" w:rsidRDefault="003D6C0A" w:rsidP="00931787">
      <w:pPr>
        <w:pStyle w:val="Heading4"/>
      </w:pPr>
      <w:r>
        <w:t>4.3.</w:t>
      </w:r>
      <w:r w:rsidR="001257A9">
        <w:t>5</w:t>
      </w:r>
      <w:r w:rsidR="00FB2631">
        <w:tab/>
      </w:r>
      <w:r w:rsidR="0030759C">
        <w:t>Layers of responsibility</w:t>
      </w:r>
    </w:p>
    <w:p w14:paraId="5BD270DF" w14:textId="53794959" w:rsidR="00711031" w:rsidRDefault="00D658F4" w:rsidP="00931787">
      <w:pPr>
        <w:spacing w:after="0"/>
      </w:pPr>
      <w:r>
        <w:t>The</w:t>
      </w:r>
      <w:r w:rsidR="00B40CFF">
        <w:t xml:space="preserve"> </w:t>
      </w:r>
      <w:r w:rsidR="00FB2631">
        <w:t xml:space="preserve">idea </w:t>
      </w:r>
      <w:r w:rsidR="00711031">
        <w:t xml:space="preserve">multiple layers of responsibility will improve safety </w:t>
      </w:r>
      <w:r w:rsidR="000304EF">
        <w:t xml:space="preserve">seems to be a </w:t>
      </w:r>
      <w:r w:rsidR="00711031">
        <w:t xml:space="preserve">fundamental misunderstanding of transport safety principles.  These principles are based on allocating particular responsibilities to unique – single – parties.  And to avoid </w:t>
      </w:r>
      <w:r w:rsidR="000304EF">
        <w:t>allocating</w:t>
      </w:r>
      <w:r w:rsidR="00711031">
        <w:t xml:space="preserve"> the same responsibility</w:t>
      </w:r>
      <w:r w:rsidR="000304EF">
        <w:t xml:space="preserve"> to multiple parties</w:t>
      </w:r>
      <w:r w:rsidR="00711031">
        <w:t>.</w:t>
      </w:r>
      <w:r w:rsidR="009316F9">
        <w:rPr>
          <w:rStyle w:val="FootnoteReference"/>
        </w:rPr>
        <w:footnoteReference w:id="87"/>
      </w:r>
      <w:r w:rsidR="00711031">
        <w:t xml:space="preserve">  </w:t>
      </w:r>
    </w:p>
    <w:p w14:paraId="6EEA4E08" w14:textId="77777777" w:rsidR="00E946B8" w:rsidRDefault="00E946B8" w:rsidP="00931787">
      <w:pPr>
        <w:spacing w:after="0"/>
      </w:pPr>
    </w:p>
    <w:p w14:paraId="569AB12D" w14:textId="433BB298" w:rsidR="00B40CFF" w:rsidRDefault="00711031" w:rsidP="00931787">
      <w:pPr>
        <w:spacing w:after="0"/>
      </w:pPr>
      <w:r>
        <w:t xml:space="preserve">The reason </w:t>
      </w:r>
      <w:r w:rsidR="00B40CFF">
        <w:t xml:space="preserve">to avoid </w:t>
      </w:r>
      <w:r w:rsidR="00E946B8">
        <w:t xml:space="preserve">multiple layers of responsibility </w:t>
      </w:r>
      <w:r>
        <w:t>is the interface problem.  The risk of allocating two parties the same task is not that it will be done twice, but it will not be done at all.  As, game theory</w:t>
      </w:r>
      <w:r w:rsidR="00773B22">
        <w:t xml:space="preserve"> teaches</w:t>
      </w:r>
      <w:r>
        <w:t xml:space="preserve">, each party expects the other to do the task. </w:t>
      </w:r>
    </w:p>
    <w:p w14:paraId="3795CEF0" w14:textId="09309712" w:rsidR="0069317A" w:rsidRDefault="0069317A" w:rsidP="00931787">
      <w:pPr>
        <w:spacing w:after="0"/>
      </w:pPr>
    </w:p>
    <w:p w14:paraId="202D42CA" w14:textId="78EF286C" w:rsidR="0030759C" w:rsidRDefault="0069317A" w:rsidP="00931787">
      <w:pPr>
        <w:spacing w:after="0"/>
      </w:pPr>
      <w:r>
        <w:t xml:space="preserve">Concern about </w:t>
      </w:r>
      <w:r w:rsidR="00216D4B">
        <w:t xml:space="preserve">potential for </w:t>
      </w:r>
      <w:r>
        <w:t xml:space="preserve">such a misunderstanding </w:t>
      </w:r>
      <w:r w:rsidR="000D5BF8">
        <w:t>should be</w:t>
      </w:r>
      <w:r>
        <w:t xml:space="preserve"> heightened by </w:t>
      </w:r>
      <w:r w:rsidR="009F3BA3">
        <w:t>misapprehension</w:t>
      </w:r>
      <w:r>
        <w:t xml:space="preserve"> </w:t>
      </w:r>
      <w:r w:rsidR="009F3BA3">
        <w:t>of participants in th</w:t>
      </w:r>
      <w:r w:rsidR="000304EF">
        <w:t>e present</w:t>
      </w:r>
      <w:r w:rsidR="009F3BA3">
        <w:t xml:space="preserve"> debate </w:t>
      </w:r>
      <w:r>
        <w:t xml:space="preserve">about </w:t>
      </w:r>
      <w:r w:rsidR="00AD7871">
        <w:t xml:space="preserve">the rail structural </w:t>
      </w:r>
      <w:r>
        <w:t xml:space="preserve">recommendation from </w:t>
      </w:r>
      <w:r w:rsidR="00AD7871">
        <w:t xml:space="preserve">the NSW </w:t>
      </w:r>
      <w:r>
        <w:t xml:space="preserve">accident inquiries </w:t>
      </w:r>
      <w:r w:rsidR="0030759C">
        <w:t>(</w:t>
      </w:r>
      <w:r>
        <w:t>i</w:t>
      </w:r>
      <w:r w:rsidR="00BD3802">
        <w:t>dentified in the first update</w:t>
      </w:r>
      <w:r w:rsidR="0030759C">
        <w:t>, and in next subsection)</w:t>
      </w:r>
      <w:r>
        <w:t xml:space="preserve">. </w:t>
      </w:r>
      <w:r w:rsidR="00AD7871">
        <w:t xml:space="preserve"> </w:t>
      </w:r>
    </w:p>
    <w:p w14:paraId="468EEB93" w14:textId="77777777" w:rsidR="0030759C" w:rsidRDefault="0030759C" w:rsidP="00931787">
      <w:pPr>
        <w:spacing w:after="0"/>
      </w:pPr>
    </w:p>
    <w:p w14:paraId="282044C3" w14:textId="3F3D95CB" w:rsidR="0069317A" w:rsidRDefault="00AD7871" w:rsidP="00931787">
      <w:pPr>
        <w:spacing w:after="0"/>
      </w:pPr>
      <w:r>
        <w:lastRenderedPageBreak/>
        <w:t xml:space="preserve">The point of that recommendation – the infrastructure owner should maintain the assets – is to overcome different, unclear and possibly contrary-to-law perceptions that arise when </w:t>
      </w:r>
      <w:r w:rsidR="000D5BF8">
        <w:t xml:space="preserve">some people employed by the </w:t>
      </w:r>
      <w:r>
        <w:t xml:space="preserve">owner </w:t>
      </w:r>
      <w:r w:rsidR="001D23EA">
        <w:t xml:space="preserve">feel it </w:t>
      </w:r>
      <w:r>
        <w:t xml:space="preserve">is not </w:t>
      </w:r>
      <w:r w:rsidR="0030759C">
        <w:t xml:space="preserve">ultimately </w:t>
      </w:r>
      <w:r>
        <w:t xml:space="preserve">responsible for maintenance. </w:t>
      </w:r>
    </w:p>
    <w:p w14:paraId="49A1D943" w14:textId="0F48D7DD" w:rsidR="00F9021C" w:rsidRDefault="00F9021C" w:rsidP="00931787">
      <w:pPr>
        <w:spacing w:after="0"/>
      </w:pPr>
    </w:p>
    <w:p w14:paraId="788DF96C" w14:textId="42A46658" w:rsidR="0030759C" w:rsidRDefault="003D6C0A" w:rsidP="00931787">
      <w:pPr>
        <w:pStyle w:val="Heading4"/>
      </w:pPr>
      <w:r>
        <w:t>4.3.</w:t>
      </w:r>
      <w:r w:rsidR="001257A9">
        <w:t>6</w:t>
      </w:r>
      <w:r w:rsidR="00FB2631">
        <w:tab/>
      </w:r>
      <w:r w:rsidR="0030759C">
        <w:t>An instructive example</w:t>
      </w:r>
    </w:p>
    <w:p w14:paraId="3A5381D4" w14:textId="0EF12795" w:rsidR="000D5BF8" w:rsidRDefault="0030759C" w:rsidP="00931787">
      <w:pPr>
        <w:spacing w:after="0"/>
      </w:pPr>
      <w:r>
        <w:t>T</w:t>
      </w:r>
      <w:r w:rsidR="009F3BA3">
        <w:t xml:space="preserve">he widespread misapprehension </w:t>
      </w:r>
      <w:r w:rsidR="00DE160E">
        <w:t xml:space="preserve">about the </w:t>
      </w:r>
      <w:r w:rsidR="00FB2631">
        <w:t xml:space="preserve">NSW </w:t>
      </w:r>
      <w:r w:rsidR="00DE160E">
        <w:t xml:space="preserve">accident </w:t>
      </w:r>
      <w:r w:rsidR="00FB2631">
        <w:t>Commissions</w:t>
      </w:r>
      <w:r w:rsidR="00DE160E">
        <w:t xml:space="preserve"> </w:t>
      </w:r>
      <w:r w:rsidR="009F3BA3">
        <w:t>is likely the result of multiple layers of responsibility for advice to Cabinet.</w:t>
      </w:r>
    </w:p>
    <w:p w14:paraId="57C0EC74" w14:textId="45932DDE" w:rsidR="00FE6E00" w:rsidRDefault="009F3BA3" w:rsidP="00931787">
      <w:pPr>
        <w:spacing w:after="0"/>
      </w:pPr>
      <w:r>
        <w:t xml:space="preserve">  </w:t>
      </w:r>
    </w:p>
    <w:p w14:paraId="2CA4B85C" w14:textId="7FACA863" w:rsidR="006C7230" w:rsidRDefault="007D1122" w:rsidP="00931787">
      <w:pPr>
        <w:spacing w:after="0"/>
      </w:pPr>
      <w:r>
        <w:t>T</w:t>
      </w:r>
      <w:r w:rsidR="009F3BA3">
        <w:t xml:space="preserve">he Treasury Secretary defended Cabinet submissions about the Entity </w:t>
      </w:r>
      <w:r>
        <w:t>as</w:t>
      </w:r>
      <w:r w:rsidR="009F3BA3">
        <w:t xml:space="preserve"> </w:t>
      </w:r>
      <w:r>
        <w:t>‘endorsed’</w:t>
      </w:r>
      <w:r w:rsidR="009F3BA3">
        <w:t xml:space="preserve"> by </w:t>
      </w:r>
      <w:r w:rsidR="00DE160E">
        <w:t xml:space="preserve">many - </w:t>
      </w:r>
      <w:r w:rsidR="009F3BA3">
        <w:t>senior officers, Secretaries and Ministers</w:t>
      </w:r>
      <w:r>
        <w:t xml:space="preserve"> of both departments</w:t>
      </w:r>
      <w:r w:rsidR="009F3BA3">
        <w:t xml:space="preserve">.  </w:t>
      </w:r>
    </w:p>
    <w:p w14:paraId="56BE468F" w14:textId="77777777" w:rsidR="006C7230" w:rsidRDefault="006C7230" w:rsidP="00931787">
      <w:pPr>
        <w:spacing w:after="0"/>
      </w:pPr>
    </w:p>
    <w:p w14:paraId="21060485" w14:textId="49A50328" w:rsidR="00B40CFF" w:rsidRDefault="009F3BA3" w:rsidP="00931787">
      <w:pPr>
        <w:spacing w:after="0"/>
      </w:pPr>
      <w:r>
        <w:t>I suggest every</w:t>
      </w:r>
      <w:r w:rsidR="00DE160E">
        <w:t>one named by the Secretary</w:t>
      </w:r>
      <w:r>
        <w:t xml:space="preserve"> assumed someone else had checked the accuracy of the information relating to the accident </w:t>
      </w:r>
      <w:r w:rsidR="00FB2631">
        <w:t>Commissions</w:t>
      </w:r>
      <w:r w:rsidR="00DE160E">
        <w:t xml:space="preserve"> and</w:t>
      </w:r>
      <w:r w:rsidR="00FD2F08">
        <w:t xml:space="preserve"> </w:t>
      </w:r>
      <w:r w:rsidR="00DE160E">
        <w:t xml:space="preserve">did not </w:t>
      </w:r>
      <w:r w:rsidR="00FD2F08">
        <w:t xml:space="preserve">bother to </w:t>
      </w:r>
      <w:r w:rsidR="00DE160E">
        <w:t xml:space="preserve">check for themselves.  </w:t>
      </w:r>
      <w:r w:rsidR="000304EF">
        <w:t>That</w:t>
      </w:r>
      <w:r w:rsidR="00DE160E">
        <w:t xml:space="preserve"> demonstrat</w:t>
      </w:r>
      <w:r w:rsidR="000304EF">
        <w:t>es</w:t>
      </w:r>
      <w:r w:rsidR="00DE160E">
        <w:t xml:space="preserve"> the danger </w:t>
      </w:r>
      <w:r w:rsidR="000304EF">
        <w:t>of</w:t>
      </w:r>
      <w:r w:rsidR="00DE160E">
        <w:t xml:space="preserve"> </w:t>
      </w:r>
      <w:r w:rsidR="007D1122">
        <w:t xml:space="preserve">a </w:t>
      </w:r>
      <w:r w:rsidR="00DE160E">
        <w:t>scheme of multiple responsibilities</w:t>
      </w:r>
      <w:r w:rsidR="007D1122">
        <w:t xml:space="preserve"> where </w:t>
      </w:r>
      <w:r w:rsidR="000304EF">
        <w:t xml:space="preserve">several </w:t>
      </w:r>
      <w:r w:rsidR="007D1122">
        <w:t>‘endorse’</w:t>
      </w:r>
      <w:r w:rsidR="000304EF">
        <w:t xml:space="preserve"> or ‘assure’,</w:t>
      </w:r>
      <w:r w:rsidR="007D1122">
        <w:t xml:space="preserve"> but nobody does – all chiefs and no indians</w:t>
      </w:r>
      <w:r w:rsidR="00DE160E">
        <w:t>.</w:t>
      </w:r>
      <w:r w:rsidR="007D1122">
        <w:rPr>
          <w:rStyle w:val="FootnoteReference"/>
        </w:rPr>
        <w:footnoteReference w:id="88"/>
      </w:r>
    </w:p>
    <w:p w14:paraId="2A64BC47" w14:textId="7597BB9E" w:rsidR="00DE160E" w:rsidRDefault="00DE160E" w:rsidP="00931787">
      <w:pPr>
        <w:spacing w:after="0"/>
      </w:pPr>
    </w:p>
    <w:p w14:paraId="3D010741" w14:textId="13FDF3D3" w:rsidR="00284FB0" w:rsidRDefault="00DE160E" w:rsidP="00B15D89">
      <w:pPr>
        <w:spacing w:after="0"/>
      </w:pPr>
      <w:r>
        <w:t>The next sub-section provides more background to what the accident inquiries actually recommended.</w:t>
      </w:r>
      <w:bookmarkEnd w:id="19"/>
    </w:p>
    <w:p w14:paraId="107FAC50" w14:textId="77777777" w:rsidR="00B15D89" w:rsidRDefault="00B15D89" w:rsidP="00B15D89">
      <w:pPr>
        <w:spacing w:after="0"/>
      </w:pPr>
    </w:p>
    <w:p w14:paraId="68798E18" w14:textId="477D18B3" w:rsidR="00DB76E6" w:rsidRDefault="003D6C0A" w:rsidP="00931787">
      <w:pPr>
        <w:pStyle w:val="Heading3"/>
      </w:pPr>
      <w:bookmarkStart w:id="21" w:name="_Toc93085767"/>
      <w:r>
        <w:t>4.4</w:t>
      </w:r>
      <w:r w:rsidR="00DB76E6">
        <w:tab/>
      </w:r>
      <w:r w:rsidR="00A22263">
        <w:t xml:space="preserve">Recommendations of </w:t>
      </w:r>
      <w:r w:rsidR="004B194F">
        <w:t>rail crash</w:t>
      </w:r>
      <w:r w:rsidR="00DB76E6">
        <w:t xml:space="preserve"> inquiries</w:t>
      </w:r>
      <w:bookmarkEnd w:id="21"/>
    </w:p>
    <w:p w14:paraId="0904A9D0" w14:textId="586C63CA" w:rsidR="002A6E7E" w:rsidRDefault="003D6C0A" w:rsidP="00931787">
      <w:pPr>
        <w:pStyle w:val="Heading4"/>
      </w:pPr>
      <w:r>
        <w:t>4.4</w:t>
      </w:r>
      <w:r w:rsidR="00FB2631">
        <w:t>.1</w:t>
      </w:r>
      <w:r w:rsidR="00FB2631">
        <w:tab/>
      </w:r>
      <w:r w:rsidR="002A6E7E">
        <w:t>The mistake</w:t>
      </w:r>
    </w:p>
    <w:p w14:paraId="54C0C789" w14:textId="2C96E97A" w:rsidR="002A6E7E" w:rsidRDefault="00DB76E6" w:rsidP="00931787">
      <w:pPr>
        <w:spacing w:after="0"/>
      </w:pPr>
      <w:r>
        <w:t xml:space="preserve">The </w:t>
      </w:r>
      <w:r w:rsidR="00BD3802">
        <w:t>first update identified a fundamental mistake in the</w:t>
      </w:r>
      <w:r w:rsidR="00FB2631">
        <w:t xml:space="preserve"> </w:t>
      </w:r>
      <w:r w:rsidR="00BD3802">
        <w:t xml:space="preserve">2016 </w:t>
      </w:r>
      <w:r>
        <w:t>Cabinet submission</w:t>
      </w:r>
      <w:r w:rsidR="00BD3802">
        <w:t xml:space="preserve"> that led to the creation of the Entity.  </w:t>
      </w:r>
    </w:p>
    <w:p w14:paraId="45A083ED" w14:textId="77777777" w:rsidR="002A6E7E" w:rsidRDefault="002A6E7E" w:rsidP="00931787">
      <w:pPr>
        <w:spacing w:after="0"/>
      </w:pPr>
    </w:p>
    <w:p w14:paraId="1FE6086E" w14:textId="506B5639" w:rsidR="00BD3802" w:rsidRDefault="00BD3802" w:rsidP="00931787">
      <w:pPr>
        <w:spacing w:after="0"/>
      </w:pPr>
      <w:r>
        <w:t xml:space="preserve">The Cabinet submission assumed </w:t>
      </w:r>
      <w:r w:rsidR="002851A1">
        <w:t xml:space="preserve">the Glenbrook and Waterfall </w:t>
      </w:r>
      <w:r w:rsidR="006C7230">
        <w:t>Commissions</w:t>
      </w:r>
      <w:r>
        <w:t xml:space="preserve"> had asked for maintenance and operations to be conducted by the same organisation.  That </w:t>
      </w:r>
      <w:r w:rsidR="00FE6E00">
        <w:t>resulted in</w:t>
      </w:r>
      <w:r>
        <w:t xml:space="preserve"> the scheme of Sydney Trains conducting maintenance on the Entity’s assets.</w:t>
      </w:r>
    </w:p>
    <w:p w14:paraId="5A8A4A2D" w14:textId="064C89DA" w:rsidR="00BD3802" w:rsidRDefault="00BD3802" w:rsidP="00931787">
      <w:pPr>
        <w:spacing w:after="0"/>
      </w:pPr>
    </w:p>
    <w:p w14:paraId="1A9F9BDF" w14:textId="01B5C056" w:rsidR="00FE6E00" w:rsidRDefault="00BD3802" w:rsidP="00931787">
      <w:pPr>
        <w:spacing w:after="0"/>
      </w:pPr>
      <w:r>
        <w:t xml:space="preserve">However, the </w:t>
      </w:r>
      <w:r w:rsidR="006C7230">
        <w:t>Commissions</w:t>
      </w:r>
      <w:r>
        <w:t xml:space="preserve"> </w:t>
      </w:r>
      <w:r w:rsidR="006D4E9D">
        <w:t>recommended</w:t>
      </w:r>
      <w:r>
        <w:t xml:space="preserve"> infrastructure maintenance be conducted by the asset</w:t>
      </w:r>
      <w:r w:rsidR="00012C6C">
        <w:t xml:space="preserve"> </w:t>
      </w:r>
      <w:r>
        <w:t xml:space="preserve">owner, and the asset owner </w:t>
      </w:r>
      <w:r w:rsidR="006D4E9D">
        <w:t xml:space="preserve">should </w:t>
      </w:r>
      <w:r>
        <w:t>be a pubic authority not a State-owned corporation.</w:t>
      </w:r>
      <w:r w:rsidR="00012C6C">
        <w:t xml:space="preserve">  </w:t>
      </w:r>
      <w:r w:rsidR="00FE6E00">
        <w:t xml:space="preserve">The </w:t>
      </w:r>
      <w:r w:rsidR="006C7230">
        <w:t>Commissions</w:t>
      </w:r>
      <w:r w:rsidR="00FE6E00">
        <w:t xml:space="preserve"> also recommended the passenger train operator be responsible for network control in the metropolitan area.</w:t>
      </w:r>
    </w:p>
    <w:p w14:paraId="38F6B956" w14:textId="77777777" w:rsidR="00FE6E00" w:rsidRDefault="00FE6E00" w:rsidP="00931787">
      <w:pPr>
        <w:spacing w:after="0"/>
      </w:pPr>
    </w:p>
    <w:p w14:paraId="28B12170" w14:textId="376A1437" w:rsidR="000E260E" w:rsidRDefault="00012C6C" w:rsidP="00931787">
      <w:pPr>
        <w:spacing w:after="0"/>
        <w:rPr>
          <w:rStyle w:val="FootnoteReference"/>
          <w:rFonts w:ascii="Calibri" w:hAnsi="Calibri" w:cs="Calibri"/>
          <w:i/>
          <w:iCs/>
          <w:color w:val="000000"/>
        </w:rPr>
      </w:pPr>
      <w:r>
        <w:t xml:space="preserve">The </w:t>
      </w:r>
      <w:r w:rsidR="006C7230">
        <w:t>Commissions</w:t>
      </w:r>
      <w:r>
        <w:t xml:space="preserve"> recommended against schemes </w:t>
      </w:r>
      <w:r w:rsidR="002851A1">
        <w:t>like</w:t>
      </w:r>
      <w:r>
        <w:t xml:space="preserve"> that </w:t>
      </w:r>
      <w:r w:rsidR="002A6E7E">
        <w:t>now in place</w:t>
      </w:r>
      <w:r w:rsidR="000304EF">
        <w:t xml:space="preserve"> in NSW commuter rail</w:t>
      </w:r>
      <w:r>
        <w:t>.</w:t>
      </w:r>
      <w:r w:rsidR="006D4E9D" w:rsidRPr="006D4E9D">
        <w:rPr>
          <w:rStyle w:val="FootnoteReference"/>
          <w:rFonts w:ascii="Calibri" w:hAnsi="Calibri" w:cs="Calibri"/>
          <w:i/>
          <w:iCs/>
          <w:color w:val="000000"/>
        </w:rPr>
        <w:t xml:space="preserve"> </w:t>
      </w:r>
      <w:r w:rsidR="006D4E9D">
        <w:rPr>
          <w:rStyle w:val="FootnoteReference"/>
          <w:rFonts w:ascii="Calibri" w:hAnsi="Calibri" w:cs="Calibri"/>
          <w:i/>
          <w:iCs/>
          <w:color w:val="000000"/>
        </w:rPr>
        <w:footnoteReference w:id="89"/>
      </w:r>
    </w:p>
    <w:p w14:paraId="2FF3EBA7" w14:textId="77777777" w:rsidR="000E260E" w:rsidRDefault="000E260E" w:rsidP="00931787">
      <w:pPr>
        <w:spacing w:after="0"/>
      </w:pPr>
    </w:p>
    <w:p w14:paraId="05DD241D" w14:textId="0A24542C" w:rsidR="00F66AD7" w:rsidRDefault="00E61E27" w:rsidP="00931787">
      <w:pPr>
        <w:spacing w:after="0"/>
      </w:pPr>
      <w:r>
        <w:t>An</w:t>
      </w:r>
      <w:r w:rsidR="008B018F">
        <w:t xml:space="preserve"> </w:t>
      </w:r>
      <w:r>
        <w:t>identical</w:t>
      </w:r>
      <w:r w:rsidR="008B018F">
        <w:t xml:space="preserve"> </w:t>
      </w:r>
      <w:r>
        <w:t>concern</w:t>
      </w:r>
      <w:r w:rsidR="008B018F">
        <w:t xml:space="preserve"> </w:t>
      </w:r>
      <w:r w:rsidR="00216D4B">
        <w:t xml:space="preserve">– about separating infrastructure ownership and maintenance - </w:t>
      </w:r>
      <w:r>
        <w:t>arose</w:t>
      </w:r>
      <w:r w:rsidR="008B018F">
        <w:t xml:space="preserve"> in the United Kingdom following the series of rail </w:t>
      </w:r>
      <w:r w:rsidR="004B194F">
        <w:t>crashes</w:t>
      </w:r>
      <w:r w:rsidR="008B018F">
        <w:t xml:space="preserve"> in the late 1990s and early 2000s.  </w:t>
      </w:r>
    </w:p>
    <w:p w14:paraId="3432EE21" w14:textId="77777777" w:rsidR="00F66AD7" w:rsidRDefault="00F66AD7" w:rsidP="00931787">
      <w:pPr>
        <w:spacing w:after="0"/>
      </w:pPr>
    </w:p>
    <w:p w14:paraId="542DFC0C" w14:textId="3311DFB9" w:rsidR="008B018F" w:rsidRDefault="008B018F" w:rsidP="00931787">
      <w:pPr>
        <w:spacing w:after="0"/>
      </w:pPr>
      <w:r>
        <w:t xml:space="preserve">In response, the </w:t>
      </w:r>
      <w:r w:rsidR="00F66AD7">
        <w:t xml:space="preserve">UK </w:t>
      </w:r>
      <w:r>
        <w:t xml:space="preserve">track owner was </w:t>
      </w:r>
      <w:r w:rsidR="006D4E9D">
        <w:t>nationalised</w:t>
      </w:r>
      <w:r>
        <w:t xml:space="preserve"> and </w:t>
      </w:r>
      <w:r w:rsidR="00E61E27">
        <w:t>brought</w:t>
      </w:r>
      <w:r>
        <w:t xml:space="preserve"> maintenance </w:t>
      </w:r>
      <w:r w:rsidR="00E61E27">
        <w:t xml:space="preserve">back </w:t>
      </w:r>
      <w:r>
        <w:t>in house</w:t>
      </w:r>
      <w:r w:rsidR="00E61E27">
        <w:t xml:space="preserve"> rather than contracting </w:t>
      </w:r>
      <w:r w:rsidR="003A6454">
        <w:t>i</w:t>
      </w:r>
      <w:r w:rsidR="00E61E27">
        <w:t>t out</w:t>
      </w:r>
      <w:r>
        <w:t>.</w:t>
      </w:r>
      <w:r w:rsidR="0069317A">
        <w:rPr>
          <w:rStyle w:val="FootnoteReference"/>
        </w:rPr>
        <w:footnoteReference w:id="90"/>
      </w:r>
      <w:r>
        <w:t xml:space="preserve">  </w:t>
      </w:r>
    </w:p>
    <w:p w14:paraId="227F2571" w14:textId="77777777" w:rsidR="000E260E" w:rsidRDefault="000E260E" w:rsidP="00931787">
      <w:pPr>
        <w:spacing w:after="0"/>
      </w:pPr>
    </w:p>
    <w:p w14:paraId="5FB5533D" w14:textId="5BA304F5" w:rsidR="00270266" w:rsidRDefault="008B018F" w:rsidP="00931787">
      <w:pPr>
        <w:spacing w:after="0"/>
      </w:pPr>
      <w:r>
        <w:lastRenderedPageBreak/>
        <w:t xml:space="preserve">There remains </w:t>
      </w:r>
      <w:r w:rsidR="00E8744E">
        <w:t xml:space="preserve">a </w:t>
      </w:r>
      <w:r>
        <w:t xml:space="preserve">controversy about a split of </w:t>
      </w:r>
      <w:r w:rsidR="003A6454">
        <w:t xml:space="preserve">maintenance from </w:t>
      </w:r>
      <w:r w:rsidR="00794DC1">
        <w:t xml:space="preserve">train </w:t>
      </w:r>
      <w:r>
        <w:t>operations in the United Kingdom.  However, th</w:t>
      </w:r>
      <w:r w:rsidR="0086428B">
        <w:t>at</w:t>
      </w:r>
      <w:r>
        <w:t xml:space="preserve"> split persists.</w:t>
      </w:r>
      <w:r w:rsidR="006D4E9D">
        <w:t xml:space="preserve">  </w:t>
      </w:r>
    </w:p>
    <w:p w14:paraId="7CE82A66" w14:textId="77777777" w:rsidR="00794DC1" w:rsidRDefault="00794DC1" w:rsidP="00931787">
      <w:pPr>
        <w:spacing w:after="0"/>
      </w:pPr>
    </w:p>
    <w:p w14:paraId="12FA4B42" w14:textId="0B6A5234" w:rsidR="002048A2" w:rsidRDefault="00FB5828" w:rsidP="00931787">
      <w:pPr>
        <w:spacing w:after="0"/>
      </w:pPr>
      <w:r>
        <w:t>Many rail commentators, and this</w:t>
      </w:r>
      <w:r w:rsidR="008B018F">
        <w:t xml:space="preserve"> author</w:t>
      </w:r>
      <w:r w:rsidR="00E61E27">
        <w:t xml:space="preserve">, </w:t>
      </w:r>
      <w:r>
        <w:t xml:space="preserve">agree </w:t>
      </w:r>
      <w:r w:rsidR="003A6454">
        <w:t>maintenance – and network control -</w:t>
      </w:r>
      <w:r w:rsidR="00E61E27">
        <w:t xml:space="preserve"> should not be split </w:t>
      </w:r>
      <w:r w:rsidR="003A6454">
        <w:t>from</w:t>
      </w:r>
      <w:r w:rsidR="00E61E27">
        <w:t xml:space="preserve"> operations </w:t>
      </w:r>
      <w:r w:rsidR="003A6454">
        <w:t>i</w:t>
      </w:r>
      <w:r w:rsidR="00E61E27">
        <w:t>n a commuter railway.</w:t>
      </w:r>
      <w:r w:rsidR="00012C6C">
        <w:t xml:space="preserve">  Th</w:t>
      </w:r>
      <w:r w:rsidR="00794DC1">
        <w:t>ey argue</w:t>
      </w:r>
      <w:r w:rsidR="00012C6C">
        <w:t xml:space="preserve"> a commuter railway should be </w:t>
      </w:r>
      <w:r w:rsidR="000304EF">
        <w:t xml:space="preserve">wholly </w:t>
      </w:r>
      <w:r w:rsidR="00012C6C">
        <w:t>vertically integrated.  However</w:t>
      </w:r>
      <w:r w:rsidR="007278FE">
        <w:t xml:space="preserve"> desirable that might be</w:t>
      </w:r>
      <w:r w:rsidR="00012C6C">
        <w:t xml:space="preserve">, the NSW (and UK) </w:t>
      </w:r>
      <w:r w:rsidR="004B194F">
        <w:t>crash</w:t>
      </w:r>
      <w:r w:rsidR="00012C6C">
        <w:t xml:space="preserve"> </w:t>
      </w:r>
      <w:r w:rsidR="006C7230">
        <w:t>Commissions</w:t>
      </w:r>
      <w:r w:rsidR="00012C6C">
        <w:t xml:space="preserve"> did not recommend that.</w:t>
      </w:r>
    </w:p>
    <w:p w14:paraId="264F272A" w14:textId="77777777" w:rsidR="00EA159A" w:rsidRDefault="00EA159A" w:rsidP="00931787">
      <w:pPr>
        <w:spacing w:after="0"/>
      </w:pPr>
    </w:p>
    <w:p w14:paraId="604C3C1D" w14:textId="1A8824C0" w:rsidR="00EA159A" w:rsidRDefault="00EA159A" w:rsidP="00931787">
      <w:pPr>
        <w:spacing w:after="0"/>
      </w:pPr>
      <w:r>
        <w:t xml:space="preserve">True, the </w:t>
      </w:r>
      <w:r w:rsidR="004B194F">
        <w:t>crash</w:t>
      </w:r>
      <w:r>
        <w:t xml:space="preserve"> Commissions were more than fifteen years ago – </w:t>
      </w:r>
      <w:r w:rsidR="00CA414A">
        <w:t>more than</w:t>
      </w:r>
      <w:r>
        <w:t xml:space="preserve"> a decade </w:t>
      </w:r>
      <w:r w:rsidR="00CA414A">
        <w:t>before</w:t>
      </w:r>
      <w:r>
        <w:t xml:space="preserve"> the 2016 Cabinet submission to create the Entity.  They might be regarded as ancient history</w:t>
      </w:r>
      <w:r w:rsidR="00794DC1">
        <w:t xml:space="preserve"> whose</w:t>
      </w:r>
      <w:r>
        <w:t xml:space="preserve"> specific recommendations </w:t>
      </w:r>
      <w:r w:rsidR="00794DC1">
        <w:t xml:space="preserve">can be </w:t>
      </w:r>
      <w:r>
        <w:t xml:space="preserve">forgotten – but for the Cabinet submission claiming the recommendations required a particular railway structure.   </w:t>
      </w:r>
    </w:p>
    <w:p w14:paraId="1B771D20" w14:textId="459E2DB4" w:rsidR="00FB5828" w:rsidRDefault="00E61E27" w:rsidP="00931787">
      <w:pPr>
        <w:spacing w:after="0"/>
      </w:pPr>
      <w:r>
        <w:t xml:space="preserve">  </w:t>
      </w:r>
    </w:p>
    <w:p w14:paraId="7C25F8A3" w14:textId="267E54D6" w:rsidR="00E377A1" w:rsidRDefault="003D6C0A" w:rsidP="00931787">
      <w:pPr>
        <w:pStyle w:val="Heading4"/>
      </w:pPr>
      <w:r>
        <w:t>4.4</w:t>
      </w:r>
      <w:r w:rsidR="002851A1">
        <w:t>.2</w:t>
      </w:r>
      <w:r w:rsidR="002851A1">
        <w:tab/>
      </w:r>
      <w:r w:rsidR="00E377A1">
        <w:t>The mistake continues</w:t>
      </w:r>
    </w:p>
    <w:p w14:paraId="15AEAE49" w14:textId="77777777" w:rsidR="006C7230" w:rsidRDefault="003A6454" w:rsidP="00931787">
      <w:pPr>
        <w:spacing w:after="0"/>
      </w:pPr>
      <w:r>
        <w:t xml:space="preserve">It is remarkable the </w:t>
      </w:r>
      <w:r w:rsidR="00E8744E">
        <w:t xml:space="preserve">Cabinet </w:t>
      </w:r>
      <w:r>
        <w:t xml:space="preserve">submission was wrong on such a fundamental </w:t>
      </w:r>
      <w:r w:rsidR="00E8744E">
        <w:t>point</w:t>
      </w:r>
      <w:r>
        <w:t>.</w:t>
      </w:r>
      <w:r w:rsidR="00E8744E">
        <w:t xml:space="preserve">  </w:t>
      </w:r>
    </w:p>
    <w:p w14:paraId="47C52D33" w14:textId="77777777" w:rsidR="006C7230" w:rsidRDefault="006C7230" w:rsidP="00931787">
      <w:pPr>
        <w:spacing w:after="0"/>
      </w:pPr>
    </w:p>
    <w:p w14:paraId="4265EAF4" w14:textId="54AEE60C" w:rsidR="00E377A1" w:rsidRDefault="00E377A1" w:rsidP="00931787">
      <w:pPr>
        <w:spacing w:after="0"/>
      </w:pPr>
      <w:r>
        <w:t xml:space="preserve">More remarkable is </w:t>
      </w:r>
      <w:r w:rsidR="00CA414A">
        <w:t>the</w:t>
      </w:r>
      <w:r>
        <w:t xml:space="preserve"> recent defence of the </w:t>
      </w:r>
      <w:r w:rsidR="002851A1">
        <w:t xml:space="preserve">Cabinet </w:t>
      </w:r>
      <w:r>
        <w:t>submission</w:t>
      </w:r>
      <w:r w:rsidR="00CA414A">
        <w:t xml:space="preserve"> of it being</w:t>
      </w:r>
      <w:r>
        <w:t xml:space="preserve"> endorse</w:t>
      </w:r>
      <w:r w:rsidR="00CA414A">
        <w:t>d</w:t>
      </w:r>
      <w:r>
        <w:t xml:space="preserve"> by senior officers, Secretaries and </w:t>
      </w:r>
      <w:r w:rsidR="00CA414A">
        <w:t>of its</w:t>
      </w:r>
      <w:r>
        <w:t xml:space="preserve"> contents</w:t>
      </w:r>
      <w:r w:rsidR="008E1C91">
        <w:t xml:space="preserve"> </w:t>
      </w:r>
      <w:r w:rsidR="00CA414A">
        <w:t>being</w:t>
      </w:r>
      <w:r w:rsidR="008E1C91">
        <w:t xml:space="preserve"> </w:t>
      </w:r>
      <w:r>
        <w:t>affirmed</w:t>
      </w:r>
      <w:r w:rsidR="008E1C91">
        <w:t xml:space="preserve"> and later </w:t>
      </w:r>
      <w:r>
        <w:t>reviewed and confirmed.</w:t>
      </w:r>
      <w:r>
        <w:rPr>
          <w:rStyle w:val="FootnoteReference"/>
        </w:rPr>
        <w:footnoteReference w:id="91"/>
      </w:r>
    </w:p>
    <w:p w14:paraId="47CEF9C5" w14:textId="77777777" w:rsidR="00E377A1" w:rsidRDefault="00E377A1" w:rsidP="00931787">
      <w:pPr>
        <w:spacing w:after="0"/>
      </w:pPr>
    </w:p>
    <w:p w14:paraId="400F5BB3" w14:textId="2E2A907D" w:rsidR="00FA2B5C" w:rsidRDefault="008E1C91" w:rsidP="00931787">
      <w:pPr>
        <w:spacing w:after="0"/>
      </w:pPr>
      <w:r>
        <w:t>T</w:t>
      </w:r>
      <w:r w:rsidR="00012C6C">
        <w:t xml:space="preserve">he mistake has not been </w:t>
      </w:r>
      <w:r w:rsidR="00CA414A">
        <w:t xml:space="preserve">specifically </w:t>
      </w:r>
      <w:r w:rsidR="00012C6C">
        <w:t>identified</w:t>
      </w:r>
      <w:r w:rsidR="00CA414A">
        <w:t>.  It</w:t>
      </w:r>
      <w:r w:rsidR="00012C6C">
        <w:t xml:space="preserve"> continues to be </w:t>
      </w:r>
      <w:r w:rsidR="00284FB0">
        <w:t xml:space="preserve">regarded and </w:t>
      </w:r>
      <w:r w:rsidR="00012C6C">
        <w:t>presented as fact.</w:t>
      </w:r>
      <w:r w:rsidR="00E377A1">
        <w:t xml:space="preserve">  </w:t>
      </w:r>
      <w:r w:rsidR="00012C6C">
        <w:t xml:space="preserve"> </w:t>
      </w:r>
    </w:p>
    <w:p w14:paraId="3162C105" w14:textId="77777777" w:rsidR="00FA2B5C" w:rsidRDefault="00FA2B5C" w:rsidP="00931787">
      <w:pPr>
        <w:spacing w:after="0"/>
      </w:pPr>
    </w:p>
    <w:p w14:paraId="48BA6EC3" w14:textId="2A4C4456" w:rsidR="00012C6C" w:rsidRDefault="00012C6C" w:rsidP="00931787">
      <w:pPr>
        <w:spacing w:after="0"/>
      </w:pPr>
      <w:r>
        <w:t xml:space="preserve">For example, the former KPMG partner’s evidence did not </w:t>
      </w:r>
      <w:r w:rsidR="0086428B">
        <w:t xml:space="preserve">refer to the </w:t>
      </w:r>
      <w:r w:rsidR="00725221">
        <w:t xml:space="preserve">specific </w:t>
      </w:r>
      <w:r w:rsidR="0086428B">
        <w:t xml:space="preserve">danger the recommendations </w:t>
      </w:r>
      <w:r w:rsidR="009125D7">
        <w:t>(</w:t>
      </w:r>
      <w:r w:rsidR="0086428B">
        <w:t xml:space="preserve">of the </w:t>
      </w:r>
      <w:r w:rsidR="00FA54AE">
        <w:t>Commissions</w:t>
      </w:r>
      <w:r w:rsidR="009125D7">
        <w:t>)</w:t>
      </w:r>
      <w:r w:rsidR="0086428B">
        <w:t xml:space="preserve"> sought to avert.</w:t>
      </w:r>
      <w:r w:rsidR="0086428B">
        <w:rPr>
          <w:rStyle w:val="FootnoteReference"/>
        </w:rPr>
        <w:footnoteReference w:id="92"/>
      </w:r>
    </w:p>
    <w:p w14:paraId="2BBE38F7" w14:textId="3B9C1833" w:rsidR="00131C7C" w:rsidRDefault="00131C7C" w:rsidP="00931787">
      <w:pPr>
        <w:spacing w:after="0"/>
      </w:pPr>
    </w:p>
    <w:p w14:paraId="291E36ED" w14:textId="3CB81F1D" w:rsidR="00B8360F" w:rsidRDefault="00131C7C" w:rsidP="00931787">
      <w:pPr>
        <w:spacing w:after="0"/>
        <w:rPr>
          <w:rStyle w:val="FootnoteReference"/>
        </w:rPr>
      </w:pPr>
      <w:r>
        <w:t xml:space="preserve">KPMG’s mid 2020 report </w:t>
      </w:r>
      <w:r w:rsidR="00725221">
        <w:t xml:space="preserve">– authored by the former partner - </w:t>
      </w:r>
      <w:r>
        <w:t xml:space="preserve">included </w:t>
      </w:r>
      <w:r w:rsidR="00725221">
        <w:t>‘</w:t>
      </w:r>
      <w:r>
        <w:t>safety case studies</w:t>
      </w:r>
      <w:r w:rsidR="00725221">
        <w:t>’</w:t>
      </w:r>
      <w:r w:rsidR="00FA2B5C">
        <w:t xml:space="preserve"> from NSW and the UK.  </w:t>
      </w:r>
      <w:r w:rsidR="008E1C91">
        <w:t>His</w:t>
      </w:r>
      <w:r w:rsidR="001D23EA">
        <w:t xml:space="preserve"> evidence </w:t>
      </w:r>
      <w:r w:rsidR="008E1C91">
        <w:t xml:space="preserve">to the Parliamentary Inquiry </w:t>
      </w:r>
      <w:r w:rsidR="001D23EA">
        <w:t>was th</w:t>
      </w:r>
      <w:r w:rsidR="00CA414A">
        <w:t>is</w:t>
      </w:r>
      <w:r w:rsidR="00794DC1">
        <w:t xml:space="preserve"> </w:t>
      </w:r>
      <w:r w:rsidR="001D23EA">
        <w:t xml:space="preserve">infuriated NSW Treasury.  </w:t>
      </w:r>
      <w:r w:rsidR="00B8360F">
        <w:t xml:space="preserve">The report said </w:t>
      </w:r>
      <w:r w:rsidR="00CA414A">
        <w:t xml:space="preserve">the </w:t>
      </w:r>
      <w:r w:rsidR="00B8360F">
        <w:t xml:space="preserve">Glenbrook </w:t>
      </w:r>
      <w:r w:rsidR="006C7230">
        <w:t>Commission</w:t>
      </w:r>
      <w:r w:rsidR="00B8360F">
        <w:t xml:space="preserve"> </w:t>
      </w:r>
      <w:r w:rsidR="00CA414A">
        <w:t xml:space="preserve">recommended a merger of </w:t>
      </w:r>
      <w:r w:rsidR="00B8360F">
        <w:t>Rail Access and Rail Services.</w:t>
      </w:r>
      <w:r w:rsidR="00B8360F">
        <w:rPr>
          <w:rStyle w:val="FootnoteReference"/>
        </w:rPr>
        <w:footnoteReference w:id="93"/>
      </w:r>
    </w:p>
    <w:p w14:paraId="0680C1E5" w14:textId="77777777" w:rsidR="00B8360F" w:rsidRDefault="00B8360F" w:rsidP="00931787">
      <w:pPr>
        <w:spacing w:after="0"/>
      </w:pPr>
    </w:p>
    <w:p w14:paraId="614496A6" w14:textId="54CF700D" w:rsidR="00F171D4" w:rsidRDefault="006C7230" w:rsidP="00931787">
      <w:pPr>
        <w:spacing w:after="0"/>
      </w:pPr>
      <w:r>
        <w:t xml:space="preserve">In my view it </w:t>
      </w:r>
      <w:r w:rsidR="001D23EA">
        <w:t>could</w:t>
      </w:r>
      <w:r>
        <w:t xml:space="preserve"> have been more pointed.  It could have</w:t>
      </w:r>
      <w:r w:rsidR="001D23EA">
        <w:t xml:space="preserve"> said: the </w:t>
      </w:r>
      <w:r w:rsidR="00A22263">
        <w:t>(</w:t>
      </w:r>
      <w:r w:rsidR="002A6E7E">
        <w:t>pr</w:t>
      </w:r>
      <w:r w:rsidR="00A22263">
        <w:t>esent)</w:t>
      </w:r>
      <w:r w:rsidR="002A6E7E">
        <w:t xml:space="preserve"> scheme</w:t>
      </w:r>
      <w:r w:rsidR="001D23EA">
        <w:t xml:space="preserve"> is contrary to the first recommendation of the Glenbrook </w:t>
      </w:r>
      <w:r>
        <w:t>Commission (2</w:t>
      </w:r>
      <w:r w:rsidRPr="006C7230">
        <w:rPr>
          <w:vertAlign w:val="superscript"/>
        </w:rPr>
        <w:t>nd</w:t>
      </w:r>
      <w:r>
        <w:t xml:space="preserve"> interim report) which was t</w:t>
      </w:r>
      <w:r w:rsidR="00FA2B5C">
        <w:t>he asset owner should conduct maintenance in</w:t>
      </w:r>
      <w:r w:rsidR="002A6E7E">
        <w:t>-</w:t>
      </w:r>
      <w:r w:rsidR="00FA2B5C">
        <w:t>house and not be a State-owned corporation.</w:t>
      </w:r>
      <w:r w:rsidR="008E1C91">
        <w:t xml:space="preserve"> </w:t>
      </w:r>
      <w:r w:rsidR="002851A1">
        <w:t xml:space="preserve"> </w:t>
      </w:r>
      <w:r w:rsidR="00F171D4">
        <w:t xml:space="preserve">It could also have said </w:t>
      </w:r>
      <w:r w:rsidR="00834FED">
        <w:t xml:space="preserve">the scheme is contrary to the third recommendation which was </w:t>
      </w:r>
      <w:r w:rsidR="00F171D4">
        <w:t>the operator of commuter trains in the metropolitan area should have the network control functions.</w:t>
      </w:r>
    </w:p>
    <w:p w14:paraId="02BC6BF0" w14:textId="77777777" w:rsidR="00FA2B5C" w:rsidRDefault="00FA2B5C" w:rsidP="00931787">
      <w:pPr>
        <w:spacing w:after="0"/>
      </w:pPr>
    </w:p>
    <w:p w14:paraId="5795CD9C" w14:textId="2B2948DD" w:rsidR="008E1C91" w:rsidRDefault="003D6C0A" w:rsidP="00931787">
      <w:pPr>
        <w:pStyle w:val="Heading3"/>
      </w:pPr>
      <w:bookmarkStart w:id="22" w:name="_Toc93085768"/>
      <w:r>
        <w:t>4.5</w:t>
      </w:r>
      <w:r w:rsidR="002851A1">
        <w:tab/>
      </w:r>
      <w:r w:rsidR="00192266">
        <w:t xml:space="preserve">History </w:t>
      </w:r>
      <w:r w:rsidR="00E749E6">
        <w:t>–</w:t>
      </w:r>
      <w:r w:rsidR="00192266">
        <w:t xml:space="preserve"> </w:t>
      </w:r>
      <w:r w:rsidR="002D178C">
        <w:t>a</w:t>
      </w:r>
      <w:r w:rsidR="008E1C91">
        <w:t>ccident</w:t>
      </w:r>
      <w:r w:rsidR="00192266">
        <w:t>s</w:t>
      </w:r>
      <w:r w:rsidR="00E749E6">
        <w:t xml:space="preserve"> and railway structure</w:t>
      </w:r>
      <w:bookmarkEnd w:id="22"/>
    </w:p>
    <w:p w14:paraId="651472D3" w14:textId="5AB77627" w:rsidR="004F6D91" w:rsidRDefault="00A22263" w:rsidP="00931787">
      <w:pPr>
        <w:spacing w:after="0"/>
      </w:pPr>
      <w:r>
        <w:t>The history provides some</w:t>
      </w:r>
      <w:r w:rsidR="004F6D91">
        <w:t xml:space="preserve"> context.</w:t>
      </w:r>
    </w:p>
    <w:p w14:paraId="1B3FC00E" w14:textId="77777777" w:rsidR="004F6D91" w:rsidRDefault="004F6D91" w:rsidP="00931787">
      <w:pPr>
        <w:spacing w:after="0"/>
      </w:pPr>
    </w:p>
    <w:p w14:paraId="0E18262F" w14:textId="679781E0" w:rsidR="00192266" w:rsidRDefault="003D6C0A" w:rsidP="00931787">
      <w:pPr>
        <w:pStyle w:val="Heading4"/>
      </w:pPr>
      <w:r>
        <w:t>4.5.1</w:t>
      </w:r>
      <w:r w:rsidR="00192266">
        <w:tab/>
        <w:t>Glenbrook accident and recommendations</w:t>
      </w:r>
    </w:p>
    <w:p w14:paraId="4212C28A" w14:textId="4A66A0A8" w:rsidR="00F171D4" w:rsidRDefault="004F6D91" w:rsidP="00931787">
      <w:pPr>
        <w:spacing w:after="0"/>
      </w:pPr>
      <w:r>
        <w:t xml:space="preserve">The Glenbrook </w:t>
      </w:r>
      <w:r w:rsidR="00C232F9">
        <w:t>crash</w:t>
      </w:r>
      <w:r>
        <w:t xml:space="preserve"> occurred </w:t>
      </w:r>
      <w:r w:rsidR="00130E80">
        <w:t>on 2 December</w:t>
      </w:r>
      <w:r>
        <w:t xml:space="preserve"> 1999.  It involved a commuter train running into the back of the Indian Pacific.  Just prior to that it had passed through a red signal.  </w:t>
      </w:r>
    </w:p>
    <w:p w14:paraId="34BFCE6D" w14:textId="77777777" w:rsidR="00834FED" w:rsidRDefault="00834FED" w:rsidP="00931787">
      <w:pPr>
        <w:spacing w:after="0"/>
      </w:pPr>
    </w:p>
    <w:p w14:paraId="3315761E" w14:textId="4AE06414" w:rsidR="00B14745" w:rsidRDefault="004F6D91" w:rsidP="00931787">
      <w:pPr>
        <w:spacing w:after="0"/>
      </w:pPr>
      <w:r>
        <w:t>The train driver had sought permission to do so, permission being given by a signaller who believed the signal was defective -</w:t>
      </w:r>
      <w:r w:rsidR="00130E80">
        <w:t xml:space="preserve"> </w:t>
      </w:r>
      <w:r>
        <w:t>and ‘failed to red’</w:t>
      </w:r>
      <w:r w:rsidR="00F66EF8">
        <w:t xml:space="preserve"> – as had frequently occurred</w:t>
      </w:r>
      <w:r>
        <w:t>.</w:t>
      </w:r>
      <w:r w:rsidR="00B14745">
        <w:rPr>
          <w:rStyle w:val="FootnoteReference"/>
        </w:rPr>
        <w:footnoteReference w:id="94"/>
      </w:r>
    </w:p>
    <w:p w14:paraId="0047504E" w14:textId="77777777" w:rsidR="00B14745" w:rsidRDefault="00B14745" w:rsidP="00931787">
      <w:pPr>
        <w:spacing w:after="0"/>
      </w:pPr>
    </w:p>
    <w:p w14:paraId="6122DBF5" w14:textId="77FF9105" w:rsidR="00130E80" w:rsidRDefault="00F66EF8" w:rsidP="00931787">
      <w:pPr>
        <w:spacing w:after="0"/>
      </w:pPr>
      <w:r>
        <w:t>A Special Commission of Inquiry was established.  I</w:t>
      </w:r>
      <w:r w:rsidR="00130E80">
        <w:t>n June 2000 i</w:t>
      </w:r>
      <w:r>
        <w:t xml:space="preserve">t produced a first report </w:t>
      </w:r>
      <w:r w:rsidR="00F171D4">
        <w:t xml:space="preserve">- </w:t>
      </w:r>
      <w:r>
        <w:t xml:space="preserve">on the immediate causes of the accident.  </w:t>
      </w:r>
    </w:p>
    <w:p w14:paraId="3E16E212" w14:textId="77777777" w:rsidR="00130E80" w:rsidRDefault="00130E80" w:rsidP="00931787">
      <w:pPr>
        <w:spacing w:after="0"/>
      </w:pPr>
    </w:p>
    <w:p w14:paraId="4CE0D0FF" w14:textId="65F713F4" w:rsidR="0051574B" w:rsidRDefault="00F66EF8" w:rsidP="00931787">
      <w:pPr>
        <w:spacing w:after="0"/>
      </w:pPr>
      <w:r>
        <w:t>At the time</w:t>
      </w:r>
      <w:r w:rsidR="002851A1">
        <w:t>,</w:t>
      </w:r>
      <w:r>
        <w:t xml:space="preserve"> there was public controversy about whether the 1996 rail structure </w:t>
      </w:r>
      <w:r w:rsidR="00A22263">
        <w:t xml:space="preserve">- </w:t>
      </w:r>
      <w:r>
        <w:t xml:space="preserve">with four NSW </w:t>
      </w:r>
      <w:r w:rsidR="00794DC1">
        <w:t xml:space="preserve">Government </w:t>
      </w:r>
      <w:r>
        <w:t>organisations</w:t>
      </w:r>
      <w:r w:rsidR="00F171D4">
        <w:t xml:space="preserve"> </w:t>
      </w:r>
      <w:r w:rsidR="00794DC1">
        <w:t xml:space="preserve">- </w:t>
      </w:r>
      <w:r w:rsidR="00F171D4">
        <w:t xml:space="preserve">was a contributor.  There was a particular focus on Rail Access - </w:t>
      </w:r>
      <w:r>
        <w:t>a State</w:t>
      </w:r>
      <w:r w:rsidR="00130E80">
        <w:t>-</w:t>
      </w:r>
      <w:r>
        <w:t>owned Corporation</w:t>
      </w:r>
      <w:r w:rsidR="000230B4">
        <w:t xml:space="preserve"> owning the infrastructure</w:t>
      </w:r>
      <w:r w:rsidR="00A22263">
        <w:t xml:space="preserve"> </w:t>
      </w:r>
      <w:r w:rsidR="00FB1D26">
        <w:t xml:space="preserve">– while </w:t>
      </w:r>
      <w:r w:rsidR="00A22263">
        <w:t xml:space="preserve">a </w:t>
      </w:r>
      <w:r w:rsidR="00FB1D26">
        <w:t xml:space="preserve">separate </w:t>
      </w:r>
      <w:r w:rsidR="00834FED">
        <w:t>organisation, Rail Services,</w:t>
      </w:r>
      <w:r w:rsidR="00A22263">
        <w:t xml:space="preserve"> conduct</w:t>
      </w:r>
      <w:r w:rsidR="00FB1D26">
        <w:t>ed</w:t>
      </w:r>
      <w:r w:rsidR="00A22263">
        <w:t xml:space="preserve"> maintenance on its assets</w:t>
      </w:r>
      <w:r>
        <w:t xml:space="preserve">.  </w:t>
      </w:r>
    </w:p>
    <w:p w14:paraId="16A95F4C" w14:textId="77777777" w:rsidR="0051574B" w:rsidRDefault="0051574B" w:rsidP="00931787">
      <w:pPr>
        <w:spacing w:after="0"/>
      </w:pPr>
    </w:p>
    <w:p w14:paraId="6AA89DAB" w14:textId="77777777" w:rsidR="00FB1D26" w:rsidRDefault="00F66EF8" w:rsidP="00931787">
      <w:pPr>
        <w:spacing w:after="0"/>
      </w:pPr>
      <w:r>
        <w:t xml:space="preserve">In </w:t>
      </w:r>
      <w:r w:rsidR="0058606A">
        <w:t xml:space="preserve">mid-August 2000, the Premier requested the Commission provide an interim report </w:t>
      </w:r>
      <w:r w:rsidR="00A22263">
        <w:t xml:space="preserve">by end October </w:t>
      </w:r>
      <w:r w:rsidR="0058606A">
        <w:t xml:space="preserve">on </w:t>
      </w:r>
      <w:r w:rsidR="00A22263">
        <w:t>i</w:t>
      </w:r>
      <w:r w:rsidR="0058606A">
        <w:t>mportant measures that require legislati</w:t>
      </w:r>
      <w:r w:rsidR="0051574B">
        <w:t>on</w:t>
      </w:r>
      <w:r w:rsidR="0058606A">
        <w:t xml:space="preserve">.  </w:t>
      </w:r>
    </w:p>
    <w:p w14:paraId="0F5087C2" w14:textId="77777777" w:rsidR="00FB1D26" w:rsidRDefault="00FB1D26" w:rsidP="00931787">
      <w:pPr>
        <w:spacing w:after="0"/>
      </w:pPr>
    </w:p>
    <w:p w14:paraId="57F602DB" w14:textId="61B59CE2" w:rsidR="0058606A" w:rsidRDefault="0058606A" w:rsidP="00931787">
      <w:pPr>
        <w:spacing w:after="0"/>
      </w:pPr>
      <w:r>
        <w:t>In response the Commission made a second interim report on the structure of the rail industry on 1 November.  The first recommendation of that report was:</w:t>
      </w:r>
    </w:p>
    <w:p w14:paraId="5EB68A09" w14:textId="73A3A140" w:rsidR="0058606A" w:rsidRPr="00752483" w:rsidRDefault="00752483" w:rsidP="00931787">
      <w:pPr>
        <w:spacing w:after="0"/>
        <w:ind w:left="720"/>
        <w:rPr>
          <w:i/>
          <w:iCs/>
        </w:rPr>
      </w:pPr>
      <w:r w:rsidRPr="00752483">
        <w:rPr>
          <w:i/>
          <w:iCs/>
        </w:rPr>
        <w:t>1. That the infrastructure owner RAC and the infrastructure maintainer RSA cease to be State owned corporations and that their property and functions be merged into a single statutory authority, to be known as the Rail Infrastructure Authority, responsible to the Minister for Transport.</w:t>
      </w:r>
      <w:r w:rsidR="001E3412" w:rsidRPr="001E3412">
        <w:rPr>
          <w:rStyle w:val="FootnoteReference"/>
          <w:i/>
          <w:iCs/>
        </w:rPr>
        <w:t xml:space="preserve"> </w:t>
      </w:r>
      <w:r w:rsidR="001E3412">
        <w:rPr>
          <w:rStyle w:val="FootnoteReference"/>
          <w:i/>
          <w:iCs/>
        </w:rPr>
        <w:footnoteReference w:id="95"/>
      </w:r>
    </w:p>
    <w:p w14:paraId="73238448" w14:textId="77777777" w:rsidR="0058606A" w:rsidRDefault="0058606A" w:rsidP="00931787">
      <w:pPr>
        <w:spacing w:after="0"/>
      </w:pPr>
    </w:p>
    <w:p w14:paraId="6F226E12" w14:textId="77777777" w:rsidR="004B5A10" w:rsidRDefault="004B5A10" w:rsidP="00931787">
      <w:pPr>
        <w:spacing w:after="0"/>
      </w:pPr>
      <w:r>
        <w:t>The third recommendation concerned network control:</w:t>
      </w:r>
    </w:p>
    <w:p w14:paraId="7F236542" w14:textId="082FF1DA" w:rsidR="004B5A10" w:rsidRDefault="004B5A10" w:rsidP="00931787">
      <w:pPr>
        <w:spacing w:after="0"/>
        <w:ind w:left="720"/>
        <w:rPr>
          <w:i/>
          <w:iCs/>
        </w:rPr>
      </w:pPr>
      <w:r w:rsidRPr="004B5A10">
        <w:rPr>
          <w:i/>
          <w:iCs/>
        </w:rPr>
        <w:t>3. That SRA be responsible for the control and management of timetabling and train movements and other functions of network control within the area of operation of the present CityRail network.</w:t>
      </w:r>
      <w:r>
        <w:rPr>
          <w:rStyle w:val="FootnoteReference"/>
          <w:i/>
          <w:iCs/>
        </w:rPr>
        <w:footnoteReference w:id="96"/>
      </w:r>
    </w:p>
    <w:p w14:paraId="0BF20535" w14:textId="77777777" w:rsidR="00B14745" w:rsidRDefault="00B14745" w:rsidP="00931787">
      <w:pPr>
        <w:spacing w:after="0"/>
      </w:pPr>
    </w:p>
    <w:p w14:paraId="395DE850" w14:textId="226B5D96" w:rsidR="004B5A10" w:rsidRDefault="004B5A10" w:rsidP="00931787">
      <w:pPr>
        <w:spacing w:after="0"/>
      </w:pPr>
      <w:r>
        <w:t xml:space="preserve">These recommendations reflected advice from the most senior rail officials. </w:t>
      </w:r>
    </w:p>
    <w:p w14:paraId="1616E278" w14:textId="77777777" w:rsidR="004B5A10" w:rsidRDefault="004B5A10" w:rsidP="00931787">
      <w:pPr>
        <w:spacing w:after="0"/>
      </w:pPr>
    </w:p>
    <w:p w14:paraId="62F0F60C" w14:textId="3C2A9556" w:rsidR="00192266" w:rsidRDefault="003D6C0A" w:rsidP="00931787">
      <w:pPr>
        <w:pStyle w:val="Heading4"/>
      </w:pPr>
      <w:r>
        <w:t>4.5.2</w:t>
      </w:r>
      <w:r w:rsidR="00192266">
        <w:tab/>
      </w:r>
      <w:r w:rsidR="00E749E6">
        <w:t>Evidence at</w:t>
      </w:r>
      <w:r w:rsidR="00192266">
        <w:t xml:space="preserve"> Glenbrook Commission</w:t>
      </w:r>
    </w:p>
    <w:p w14:paraId="183B23A9" w14:textId="2D2E43EF" w:rsidR="001E3412" w:rsidRDefault="00FB1D26" w:rsidP="00931787">
      <w:pPr>
        <w:spacing w:after="0"/>
      </w:pPr>
      <w:r>
        <w:t>Prior, i</w:t>
      </w:r>
      <w:r w:rsidR="001E3412">
        <w:t xml:space="preserve">n early June 2000, in the lead up to the Olympic Games, </w:t>
      </w:r>
      <w:r w:rsidR="00F66EF8">
        <w:t>the Governm</w:t>
      </w:r>
      <w:r w:rsidR="001E3412">
        <w:t>e</w:t>
      </w:r>
      <w:r w:rsidR="00F66EF8">
        <w:t xml:space="preserve">nt </w:t>
      </w:r>
      <w:r w:rsidR="0051574B">
        <w:t xml:space="preserve">had </w:t>
      </w:r>
      <w:r w:rsidR="00F66EF8">
        <w:t xml:space="preserve">appointed a Coordinator General of Rail with powers ostensibly to override the </w:t>
      </w:r>
      <w:r w:rsidR="001E3412">
        <w:t xml:space="preserve">rail </w:t>
      </w:r>
      <w:r w:rsidR="000230B4">
        <w:t>organisations</w:t>
      </w:r>
      <w:r w:rsidR="001E3412">
        <w:t>.</w:t>
      </w:r>
      <w:r w:rsidR="001E3412">
        <w:rPr>
          <w:rStyle w:val="FootnoteReference"/>
          <w:i/>
          <w:iCs/>
        </w:rPr>
        <w:footnoteReference w:id="97"/>
      </w:r>
    </w:p>
    <w:p w14:paraId="413D7F23" w14:textId="77777777" w:rsidR="001E3412" w:rsidRDefault="001E3412" w:rsidP="00931787">
      <w:pPr>
        <w:spacing w:after="0"/>
      </w:pPr>
    </w:p>
    <w:p w14:paraId="5C2679CE" w14:textId="105F90DE" w:rsidR="001E3412" w:rsidRDefault="0051574B" w:rsidP="00931787">
      <w:pPr>
        <w:spacing w:after="0"/>
      </w:pPr>
      <w:r>
        <w:lastRenderedPageBreak/>
        <w:t xml:space="preserve">in mid-October, after the </w:t>
      </w:r>
      <w:r w:rsidR="00B14745">
        <w:t xml:space="preserve">Sydney </w:t>
      </w:r>
      <w:r>
        <w:t>Olympic Games</w:t>
      </w:r>
      <w:r w:rsidR="00B14745">
        <w:t xml:space="preserve"> </w:t>
      </w:r>
      <w:r>
        <w:t>t</w:t>
      </w:r>
      <w:r w:rsidR="001E3412">
        <w:t>he Commission held hearings into the railway structure.</w:t>
      </w:r>
      <w:r w:rsidR="000230B4">
        <w:t xml:space="preserve"> </w:t>
      </w:r>
      <w:r w:rsidR="001E3412">
        <w:t>The rail organisations had nothing to say.  The only advice came from</w:t>
      </w:r>
      <w:r w:rsidR="00834FED">
        <w:t>:</w:t>
      </w:r>
      <w:r w:rsidR="001E3412">
        <w:t xml:space="preserve"> the Co-ordinator General, Mr Christie</w:t>
      </w:r>
      <w:r w:rsidR="00834FED">
        <w:t>;</w:t>
      </w:r>
      <w:r w:rsidR="001E3412">
        <w:t xml:space="preserve"> former Chief Executive of State Rail, Mr Hill</w:t>
      </w:r>
      <w:r w:rsidR="00834FED">
        <w:t>;</w:t>
      </w:r>
      <w:r w:rsidR="00A2726F">
        <w:t xml:space="preserve"> </w:t>
      </w:r>
      <w:r w:rsidR="00561527">
        <w:t xml:space="preserve">Mr </w:t>
      </w:r>
      <w:r w:rsidR="00A2726F">
        <w:t>Robinson</w:t>
      </w:r>
      <w:r w:rsidR="00561527">
        <w:t>,</w:t>
      </w:r>
      <w:r w:rsidR="00A2726F">
        <w:t xml:space="preserve"> Acting Director General of Transport</w:t>
      </w:r>
      <w:r w:rsidR="00834FED">
        <w:t>;</w:t>
      </w:r>
      <w:r w:rsidR="00A2726F">
        <w:t xml:space="preserve"> </w:t>
      </w:r>
      <w:r w:rsidR="00794DC1">
        <w:t xml:space="preserve">trade </w:t>
      </w:r>
      <w:r w:rsidR="00A2726F">
        <w:t>union</w:t>
      </w:r>
      <w:r>
        <w:t xml:space="preserve"> </w:t>
      </w:r>
      <w:r w:rsidR="00794DC1">
        <w:t>leaders</w:t>
      </w:r>
      <w:r w:rsidR="001E3412">
        <w:t>.</w:t>
      </w:r>
      <w:r w:rsidR="00B14745">
        <w:rPr>
          <w:rStyle w:val="FootnoteReference"/>
        </w:rPr>
        <w:footnoteReference w:id="98"/>
      </w:r>
    </w:p>
    <w:p w14:paraId="7EC0E67C" w14:textId="495712B1" w:rsidR="00A2726F" w:rsidRDefault="00A2726F" w:rsidP="00931787">
      <w:pPr>
        <w:spacing w:after="0"/>
      </w:pPr>
    </w:p>
    <w:p w14:paraId="1B8A08CA" w14:textId="038F8C42" w:rsidR="0001031D" w:rsidRDefault="00A2726F" w:rsidP="00931787">
      <w:pPr>
        <w:spacing w:after="0"/>
      </w:pPr>
      <w:r>
        <w:t xml:space="preserve">Mr Christie proposed merger of Rail Access (track owner) and Rail Services (track maintainer) as a </w:t>
      </w:r>
      <w:r w:rsidR="00CE6C96">
        <w:t xml:space="preserve">statutory </w:t>
      </w:r>
      <w:r>
        <w:t>authority not a State</w:t>
      </w:r>
      <w:r w:rsidR="0051574B">
        <w:t>-</w:t>
      </w:r>
      <w:r>
        <w:t>owned corporation.</w:t>
      </w:r>
      <w:r w:rsidR="00CE6C96">
        <w:t xml:space="preserve">  Neither Mr Christie nor Mr Hill </w:t>
      </w:r>
      <w:r w:rsidR="0051574B">
        <w:t>urged</w:t>
      </w:r>
      <w:r w:rsidR="00CE6C96">
        <w:t xml:space="preserve"> the merger of the track authority with train operator, State Rail.  </w:t>
      </w:r>
    </w:p>
    <w:p w14:paraId="61159EC1" w14:textId="77777777" w:rsidR="0001031D" w:rsidRDefault="0001031D" w:rsidP="00931787">
      <w:pPr>
        <w:spacing w:after="0"/>
      </w:pPr>
    </w:p>
    <w:p w14:paraId="7D730F97" w14:textId="5DA6BFB6" w:rsidR="000A34DA" w:rsidRDefault="00CE6C96" w:rsidP="00931787">
      <w:pPr>
        <w:spacing w:after="0"/>
      </w:pPr>
      <w:r>
        <w:t>Both argued the train operator should remain a statutory authority</w:t>
      </w:r>
      <w:r w:rsidR="000A34DA">
        <w:t>:</w:t>
      </w:r>
    </w:p>
    <w:p w14:paraId="3E37A3E2" w14:textId="70A2FAD9" w:rsidR="000A34DA" w:rsidRPr="000A34DA" w:rsidRDefault="000A34DA" w:rsidP="00931787">
      <w:pPr>
        <w:spacing w:after="0"/>
        <w:ind w:left="720"/>
        <w:rPr>
          <w:i/>
          <w:iCs/>
        </w:rPr>
      </w:pPr>
      <w:r>
        <w:rPr>
          <w:i/>
          <w:iCs/>
        </w:rPr>
        <w:t>‘</w:t>
      </w:r>
      <w:r w:rsidRPr="000A34DA">
        <w:rPr>
          <w:i/>
          <w:iCs/>
        </w:rPr>
        <w:t>Mr Christie stated that SRA should remain a separate authority and should be the train operator. It was the employer of the train control and signalling, the train crews and the station staff. It was his view that by SRA remaining separate from the combined RAC and RSA (hereafter referred to as the Rail Infrastructure Authority), it could be separately monitored and held accountable for its actions. His view was that if there were only one organisation it would be more difficult to maintain accountability.</w:t>
      </w:r>
      <w:r>
        <w:rPr>
          <w:i/>
          <w:iCs/>
        </w:rPr>
        <w:t>’</w:t>
      </w:r>
      <w:r w:rsidR="00CE6C96" w:rsidRPr="000A34DA">
        <w:rPr>
          <w:i/>
          <w:iCs/>
        </w:rPr>
        <w:t xml:space="preserve"> </w:t>
      </w:r>
      <w:r>
        <w:rPr>
          <w:rStyle w:val="FootnoteReference"/>
          <w:i/>
          <w:iCs/>
        </w:rPr>
        <w:footnoteReference w:id="99"/>
      </w:r>
    </w:p>
    <w:p w14:paraId="4B6AE57F" w14:textId="77777777" w:rsidR="000A34DA" w:rsidRDefault="000A34DA" w:rsidP="00931787">
      <w:pPr>
        <w:spacing w:after="0"/>
      </w:pPr>
    </w:p>
    <w:p w14:paraId="53825407" w14:textId="77777777" w:rsidR="0051574B" w:rsidRDefault="00CE6C96" w:rsidP="00931787">
      <w:pPr>
        <w:spacing w:after="0"/>
      </w:pPr>
      <w:r>
        <w:t xml:space="preserve">Mr Hill argued the train operator should have the network control function for the metropolitan area – Mr Christie did not have an opinion on that. </w:t>
      </w:r>
    </w:p>
    <w:p w14:paraId="779DC100" w14:textId="77777777" w:rsidR="0051574B" w:rsidRDefault="0051574B" w:rsidP="00931787">
      <w:pPr>
        <w:spacing w:after="0"/>
      </w:pPr>
    </w:p>
    <w:p w14:paraId="2C74DCA7" w14:textId="6766B2B5" w:rsidR="00A2726F" w:rsidRDefault="00CE6C96" w:rsidP="00931787">
      <w:pPr>
        <w:spacing w:after="0"/>
      </w:pPr>
      <w:r>
        <w:t>The Commission accepted these views</w:t>
      </w:r>
      <w:r w:rsidR="000A34DA">
        <w:t xml:space="preserve"> and recommended accordingly</w:t>
      </w:r>
      <w:r>
        <w:t>.</w:t>
      </w:r>
      <w:r w:rsidR="0051574B">
        <w:t xml:space="preserve"> However, it did not accept Mr Christie’s views </w:t>
      </w:r>
      <w:r w:rsidR="00FB5F63">
        <w:t xml:space="preserve">about </w:t>
      </w:r>
      <w:r w:rsidR="00561527">
        <w:t xml:space="preserve">combining </w:t>
      </w:r>
      <w:r w:rsidR="00FB5F63">
        <w:t xml:space="preserve">a rail safety regulator and </w:t>
      </w:r>
      <w:r w:rsidR="00561527">
        <w:t xml:space="preserve">accident </w:t>
      </w:r>
      <w:r w:rsidR="00FB5F63">
        <w:t>investigator.</w:t>
      </w:r>
      <w:r>
        <w:rPr>
          <w:rStyle w:val="FootnoteReference"/>
        </w:rPr>
        <w:footnoteReference w:id="100"/>
      </w:r>
    </w:p>
    <w:p w14:paraId="2ADCBF91" w14:textId="6A67C4F9" w:rsidR="00CE6C96" w:rsidRDefault="00CE6C96" w:rsidP="00931787">
      <w:pPr>
        <w:spacing w:after="0"/>
      </w:pPr>
    </w:p>
    <w:p w14:paraId="4DA61763" w14:textId="003B8047" w:rsidR="002D178C" w:rsidRDefault="003D6C0A" w:rsidP="00931787">
      <w:pPr>
        <w:pStyle w:val="Heading4"/>
      </w:pPr>
      <w:r>
        <w:t>4.5.3</w:t>
      </w:r>
      <w:r w:rsidR="002D178C">
        <w:tab/>
        <w:t>Government response to Glenbrook Commission</w:t>
      </w:r>
    </w:p>
    <w:p w14:paraId="72B04CE4" w14:textId="2A80E957" w:rsidR="0001031D" w:rsidRDefault="000A34DA" w:rsidP="00931787">
      <w:pPr>
        <w:spacing w:after="0"/>
      </w:pPr>
      <w:r>
        <w:t xml:space="preserve">In response, the Government presented legislation </w:t>
      </w:r>
      <w:r w:rsidR="0001031D">
        <w:t>t</w:t>
      </w:r>
      <w:r>
        <w:t>o merge Rail Access and Rail Services</w:t>
      </w:r>
      <w:r w:rsidR="00FD3AEA">
        <w:t xml:space="preserve">.  However, </w:t>
      </w:r>
      <w:r>
        <w:t>contrary to the Commission’s recommendation</w:t>
      </w:r>
      <w:r w:rsidR="00347BAB">
        <w:t>,</w:t>
      </w:r>
      <w:r>
        <w:t xml:space="preserve"> </w:t>
      </w:r>
      <w:r w:rsidR="00FD3AEA">
        <w:t>it was to be</w:t>
      </w:r>
      <w:r>
        <w:t xml:space="preserve"> a State-owned corporation</w:t>
      </w:r>
      <w:r w:rsidR="00FA1D91">
        <w:t xml:space="preserve"> – Rail Infrastructure</w:t>
      </w:r>
      <w:r>
        <w:t>.</w:t>
      </w:r>
      <w:r w:rsidR="00C44C8B">
        <w:t xml:space="preserve">  </w:t>
      </w:r>
      <w:r w:rsidR="00DE35E1">
        <w:t xml:space="preserve"> The Minister’s second reading speech presented a</w:t>
      </w:r>
      <w:r w:rsidR="00D92F0D">
        <w:t>n</w:t>
      </w:r>
      <w:r w:rsidR="00DE35E1">
        <w:t xml:space="preserve"> </w:t>
      </w:r>
      <w:r w:rsidR="00D92F0D">
        <w:t>‘</w:t>
      </w:r>
      <w:r w:rsidR="00DE35E1">
        <w:t>explanation</w:t>
      </w:r>
      <w:r w:rsidR="00D92F0D">
        <w:t>’</w:t>
      </w:r>
      <w:r w:rsidR="00DE35E1">
        <w:t xml:space="preserve"> of the divergence </w:t>
      </w:r>
      <w:r w:rsidR="00D92F0D">
        <w:t xml:space="preserve">whose </w:t>
      </w:r>
      <w:r w:rsidR="00D97C00">
        <w:t xml:space="preserve">reference to enhanced accountability </w:t>
      </w:r>
      <w:r w:rsidR="00D92F0D">
        <w:t xml:space="preserve">did not disguise absence of </w:t>
      </w:r>
      <w:r w:rsidR="00794DC1">
        <w:t xml:space="preserve">public policy </w:t>
      </w:r>
      <w:r w:rsidR="00D92F0D">
        <w:t>reason.</w:t>
      </w:r>
      <w:r w:rsidR="00D92F0D">
        <w:rPr>
          <w:rStyle w:val="FootnoteReference"/>
        </w:rPr>
        <w:footnoteReference w:id="101"/>
      </w:r>
      <w:r w:rsidR="00D92F0D">
        <w:t xml:space="preserve"> </w:t>
      </w:r>
    </w:p>
    <w:p w14:paraId="653402FA" w14:textId="77777777" w:rsidR="0001031D" w:rsidRDefault="0001031D" w:rsidP="00931787">
      <w:pPr>
        <w:spacing w:after="0"/>
      </w:pPr>
    </w:p>
    <w:p w14:paraId="0D08FE84" w14:textId="77777777" w:rsidR="00C113BB" w:rsidRDefault="00C44C8B" w:rsidP="00931787">
      <w:pPr>
        <w:spacing w:after="0"/>
      </w:pPr>
      <w:r>
        <w:t xml:space="preserve">The legislation passed and the new corporation commenced </w:t>
      </w:r>
      <w:r w:rsidR="00834FED">
        <w:t>before</w:t>
      </w:r>
      <w:r>
        <w:t xml:space="preserve"> the Commission’s final report of April 2001.  That report observed</w:t>
      </w:r>
      <w:r w:rsidR="00347BAB">
        <w:t xml:space="preserve"> the Government/Parliament’s wishes </w:t>
      </w:r>
      <w:r w:rsidR="00FD3AEA">
        <w:t xml:space="preserve">about infrastructure ownership, but not train operations, being corporatized – contrary to the Commission’s recommendation - </w:t>
      </w:r>
      <w:r w:rsidR="00347BAB">
        <w:t>resulted in</w:t>
      </w:r>
      <w:r w:rsidR="0051574B">
        <w:t xml:space="preserve"> tension</w:t>
      </w:r>
      <w:r w:rsidR="00C113BB">
        <w:t>.</w:t>
      </w:r>
    </w:p>
    <w:p w14:paraId="29FC7BBF" w14:textId="0ED331EE" w:rsidR="000A34DA" w:rsidRDefault="00347BAB" w:rsidP="00B23D00">
      <w:pPr>
        <w:spacing w:after="0"/>
        <w:ind w:left="720"/>
      </w:pPr>
      <w:r>
        <w:rPr>
          <w:i/>
          <w:iCs/>
        </w:rPr>
        <w:t>‘</w:t>
      </w:r>
      <w:r w:rsidR="00D26BDC" w:rsidRPr="00D26BDC">
        <w:rPr>
          <w:i/>
          <w:iCs/>
        </w:rPr>
        <w:t>Rail Infrastructure Corporation, has a statutory obligation to operate along commercial lines and a duty to make money for the government. The State Rail Authority has as its primary function the provision of commuter services to the travelling public. The tension between what are in truth a state owned corporation and a public utility has contributed to the lack of co-operation which made it necessary to create the Office of the Rail Regulator to deal with the performance of the infrastructure owner and the provider of commuter services.</w:t>
      </w:r>
      <w:r>
        <w:rPr>
          <w:i/>
          <w:iCs/>
        </w:rPr>
        <w:t>’</w:t>
      </w:r>
      <w:r w:rsidR="000A34DA">
        <w:rPr>
          <w:rStyle w:val="FootnoteReference"/>
        </w:rPr>
        <w:footnoteReference w:id="102"/>
      </w:r>
    </w:p>
    <w:p w14:paraId="33DAD293" w14:textId="2241A44B" w:rsidR="002D178C" w:rsidRDefault="003D6C0A" w:rsidP="00931787">
      <w:pPr>
        <w:pStyle w:val="Heading4"/>
      </w:pPr>
      <w:r>
        <w:lastRenderedPageBreak/>
        <w:t>4.5.4</w:t>
      </w:r>
      <w:r w:rsidR="002D178C">
        <w:tab/>
        <w:t xml:space="preserve">Waterfall </w:t>
      </w:r>
      <w:r w:rsidR="004B15CB">
        <w:t>crash</w:t>
      </w:r>
      <w:r w:rsidR="002D178C">
        <w:t>, Government response and Commission</w:t>
      </w:r>
    </w:p>
    <w:p w14:paraId="0A3252B9" w14:textId="79B65318" w:rsidR="00FA1D91" w:rsidRDefault="002D178C" w:rsidP="00931787">
      <w:pPr>
        <w:spacing w:after="0"/>
      </w:pPr>
      <w:r>
        <w:t>O</w:t>
      </w:r>
      <w:r w:rsidR="005670B5">
        <w:t>n 31</w:t>
      </w:r>
      <w:r w:rsidR="000230B4">
        <w:t xml:space="preserve"> January 2003</w:t>
      </w:r>
      <w:r w:rsidR="0051574B">
        <w:t>,</w:t>
      </w:r>
      <w:r w:rsidR="000230B4">
        <w:t xml:space="preserve"> a commuter train derailed at Waterfall </w:t>
      </w:r>
      <w:r w:rsidR="00C91FA2">
        <w:t>due to it</w:t>
      </w:r>
      <w:r w:rsidR="00FA1D91">
        <w:t xml:space="preserve">s </w:t>
      </w:r>
      <w:r w:rsidR="00C91FA2">
        <w:t xml:space="preserve">speed in a curve.  </w:t>
      </w:r>
      <w:r w:rsidR="00FA1D91">
        <w:t xml:space="preserve">Immediate contributing factors were incapacitation of a driver in a way that nullified mechanisms to stop the train.  </w:t>
      </w:r>
      <w:r w:rsidR="00C91FA2">
        <w:t xml:space="preserve">A Special Commission of Inquiry was </w:t>
      </w:r>
      <w:r>
        <w:t xml:space="preserve">soon </w:t>
      </w:r>
      <w:r w:rsidR="00C91FA2">
        <w:t xml:space="preserve">established and the same Commissioner appointed.  </w:t>
      </w:r>
      <w:r w:rsidR="00FA1D91">
        <w:t xml:space="preserve"> </w:t>
      </w:r>
    </w:p>
    <w:p w14:paraId="4CD4014D" w14:textId="77777777" w:rsidR="00FA1D91" w:rsidRDefault="00FA1D91" w:rsidP="00931787">
      <w:pPr>
        <w:spacing w:after="0"/>
      </w:pPr>
    </w:p>
    <w:p w14:paraId="2FE83834" w14:textId="16154340" w:rsidR="00E749E6" w:rsidRDefault="00E749E6" w:rsidP="00931787">
      <w:pPr>
        <w:spacing w:after="0"/>
      </w:pPr>
      <w:r>
        <w:t>However, the Government response on rail structure was made in advance of the Commission.</w:t>
      </w:r>
    </w:p>
    <w:p w14:paraId="545C9544" w14:textId="77777777" w:rsidR="00E749E6" w:rsidRDefault="00E749E6" w:rsidP="00931787">
      <w:pPr>
        <w:spacing w:after="0"/>
      </w:pPr>
    </w:p>
    <w:p w14:paraId="3C87BDFD" w14:textId="33772206" w:rsidR="00FB5F63" w:rsidRDefault="00E749E6" w:rsidP="00931787">
      <w:pPr>
        <w:spacing w:after="0"/>
      </w:pPr>
      <w:r>
        <w:t>It started i</w:t>
      </w:r>
      <w:r w:rsidR="00E96D00">
        <w:t>n April</w:t>
      </w:r>
      <w:r w:rsidR="00D74F0F">
        <w:t xml:space="preserve"> 2003,</w:t>
      </w:r>
      <w:r w:rsidR="009B4DA6">
        <w:t xml:space="preserve"> a week after the Government was returned in an election</w:t>
      </w:r>
      <w:r w:rsidR="00E96D00">
        <w:t xml:space="preserve">, </w:t>
      </w:r>
      <w:r>
        <w:t xml:space="preserve">with </w:t>
      </w:r>
      <w:r w:rsidR="00E96D00">
        <w:t>t</w:t>
      </w:r>
      <w:r w:rsidR="00AE7400">
        <w:t xml:space="preserve">he Minister for Transport </w:t>
      </w:r>
      <w:r w:rsidR="00FB5F63">
        <w:t>the Hon</w:t>
      </w:r>
      <w:r w:rsidR="00D74F0F">
        <w:t>.</w:t>
      </w:r>
      <w:r w:rsidR="00FB5F63">
        <w:t xml:space="preserve"> Carl Scully M</w:t>
      </w:r>
      <w:r w:rsidR="00561527">
        <w:t>LA</w:t>
      </w:r>
      <w:r w:rsidR="00FB5F63">
        <w:t xml:space="preserve">, </w:t>
      </w:r>
      <w:r w:rsidR="00AE7400">
        <w:t xml:space="preserve">replaced </w:t>
      </w:r>
      <w:r w:rsidR="00FB5F63">
        <w:t>by the Hon</w:t>
      </w:r>
      <w:r w:rsidR="009B4DA6">
        <w:t>.</w:t>
      </w:r>
      <w:r w:rsidR="00FB5F63">
        <w:t xml:space="preserve"> Michael Costa MLC</w:t>
      </w:r>
      <w:r w:rsidR="00AE7400">
        <w:t>.</w:t>
      </w:r>
      <w:r w:rsidR="00FB5F63">
        <w:t xml:space="preserve">  </w:t>
      </w:r>
    </w:p>
    <w:p w14:paraId="3CA682C7" w14:textId="77777777" w:rsidR="00FB1D26" w:rsidRDefault="00FB1D26" w:rsidP="00931787">
      <w:pPr>
        <w:spacing w:after="0"/>
      </w:pPr>
    </w:p>
    <w:p w14:paraId="07532968" w14:textId="2DA9D2C2" w:rsidR="000230B4" w:rsidRDefault="00AE7400" w:rsidP="00931787">
      <w:pPr>
        <w:spacing w:after="0"/>
      </w:pPr>
      <w:r>
        <w:t>I</w:t>
      </w:r>
      <w:r w:rsidR="00FA1D91">
        <w:t>n November</w:t>
      </w:r>
      <w:r w:rsidR="00FB1D26">
        <w:t xml:space="preserve"> 2003</w:t>
      </w:r>
      <w:r w:rsidR="00F22BDD">
        <w:t>,</w:t>
      </w:r>
      <w:r w:rsidR="00FA1D91">
        <w:t xml:space="preserve"> the Government introduced and Parliament passed legislation to merge </w:t>
      </w:r>
      <w:r>
        <w:t>Rail Infrastructure and the passenger rail operator in the metropolitan area as State-owned corporation RailCorp</w:t>
      </w:r>
      <w:r w:rsidR="00FB12FA">
        <w:t xml:space="preserve"> – reinstating vertical integration</w:t>
      </w:r>
      <w:r>
        <w:t xml:space="preserve">.  </w:t>
      </w:r>
      <w:r w:rsidR="00FB1D26">
        <w:t xml:space="preserve">Reputedly this followed pressure from within the </w:t>
      </w:r>
      <w:r w:rsidR="00C806B7">
        <w:t>sector</w:t>
      </w:r>
      <w:r w:rsidR="00FB1D26">
        <w:t xml:space="preserve"> including </w:t>
      </w:r>
      <w:r w:rsidR="00C806B7">
        <w:t xml:space="preserve">indications that key management would not work for the </w:t>
      </w:r>
      <w:r w:rsidR="00C232F9">
        <w:t>G</w:t>
      </w:r>
      <w:r w:rsidR="00C806B7">
        <w:t>overnment railways unless they were re-integrated.</w:t>
      </w:r>
      <w:r w:rsidR="00FB12FA">
        <w:t xml:space="preserve"> </w:t>
      </w:r>
    </w:p>
    <w:p w14:paraId="0BD113E6" w14:textId="6EF5140D" w:rsidR="00FB12FA" w:rsidRDefault="00FB12FA" w:rsidP="00931787">
      <w:pPr>
        <w:spacing w:after="0"/>
      </w:pPr>
    </w:p>
    <w:p w14:paraId="1211250C" w14:textId="66AF67F2" w:rsidR="0001031D" w:rsidRDefault="00FB12FA" w:rsidP="00931787">
      <w:pPr>
        <w:spacing w:after="0"/>
      </w:pPr>
      <w:r>
        <w:t xml:space="preserve">The Commission </w:t>
      </w:r>
      <w:r w:rsidR="00760340">
        <w:t xml:space="preserve">produced its report over a year later – </w:t>
      </w:r>
      <w:r w:rsidR="00D74F0F">
        <w:t xml:space="preserve">17 </w:t>
      </w:r>
      <w:r w:rsidR="00760340">
        <w:t xml:space="preserve">January 2005.  It </w:t>
      </w:r>
      <w:r>
        <w:t>neither praised nor criticised the vertical integration</w:t>
      </w:r>
      <w:r w:rsidR="00760340">
        <w:t>.</w:t>
      </w:r>
      <w:r w:rsidR="00F22BDD">
        <w:t xml:space="preserve">  </w:t>
      </w:r>
      <w:r w:rsidR="00760340">
        <w:t>It</w:t>
      </w:r>
      <w:r>
        <w:t xml:space="preserve"> </w:t>
      </w:r>
      <w:r w:rsidR="00FD3AEA">
        <w:t>said</w:t>
      </w:r>
      <w:r w:rsidR="00C232F9">
        <w:t xml:space="preserve"> </w:t>
      </w:r>
      <w:r>
        <w:t xml:space="preserve">none of the intentions behind the </w:t>
      </w:r>
      <w:r w:rsidR="00760340">
        <w:t xml:space="preserve">vertical </w:t>
      </w:r>
      <w:r>
        <w:t xml:space="preserve">separation and corporatisation of the 1996 changes came to fruition.   </w:t>
      </w:r>
      <w:r w:rsidR="00D74F0F">
        <w:t>Four days later, the Hon. John Watkins M</w:t>
      </w:r>
      <w:r w:rsidR="00561527">
        <w:t>LA</w:t>
      </w:r>
      <w:r w:rsidR="00D74F0F">
        <w:t xml:space="preserve"> replaced Mr Costa as Transport Minister.</w:t>
      </w:r>
      <w:r w:rsidR="00D74F0F">
        <w:rPr>
          <w:rStyle w:val="FootnoteReference"/>
        </w:rPr>
        <w:footnoteReference w:id="103"/>
      </w:r>
    </w:p>
    <w:p w14:paraId="08123EEE" w14:textId="77777777" w:rsidR="0001031D" w:rsidRDefault="0001031D" w:rsidP="00931787">
      <w:pPr>
        <w:spacing w:after="0"/>
      </w:pPr>
    </w:p>
    <w:p w14:paraId="4B0F2B16" w14:textId="2C11C7E2" w:rsidR="00FB12FA" w:rsidRDefault="0001031D" w:rsidP="00931787">
      <w:pPr>
        <w:spacing w:after="0"/>
      </w:pPr>
      <w:r>
        <w:t>While the Waterfall Commission</w:t>
      </w:r>
      <w:r w:rsidR="00FB12FA">
        <w:t xml:space="preserve"> recommendations did not refer to industry structure</w:t>
      </w:r>
      <w:r>
        <w:t>, the report re</w:t>
      </w:r>
      <w:r w:rsidR="009B4DA6">
        <w:t>c</w:t>
      </w:r>
      <w:r>
        <w:t xml:space="preserve">ited the </w:t>
      </w:r>
      <w:r w:rsidR="009B4DA6">
        <w:t xml:space="preserve">relevant </w:t>
      </w:r>
      <w:r>
        <w:t>recommendations o</w:t>
      </w:r>
      <w:r w:rsidR="009B4DA6">
        <w:t>f</w:t>
      </w:r>
      <w:r>
        <w:t xml:space="preserve"> the Glenbrook Commission – merging of track ownership and maintenance</w:t>
      </w:r>
      <w:r w:rsidR="009E453B">
        <w:t xml:space="preserve"> in a statutory authority</w:t>
      </w:r>
      <w:r>
        <w:t>, metropolitan network control to be by the commuter train operator</w:t>
      </w:r>
      <w:r w:rsidR="00FB12FA">
        <w:t>.</w:t>
      </w:r>
      <w:r w:rsidR="00760340">
        <w:rPr>
          <w:rStyle w:val="FootnoteReference"/>
        </w:rPr>
        <w:footnoteReference w:id="104"/>
      </w:r>
    </w:p>
    <w:p w14:paraId="687479A9" w14:textId="62E2D078" w:rsidR="00760340" w:rsidRDefault="00760340" w:rsidP="00931787">
      <w:pPr>
        <w:spacing w:after="0"/>
      </w:pPr>
    </w:p>
    <w:p w14:paraId="60A81ABA" w14:textId="5BBF76B3" w:rsidR="009E453B" w:rsidRDefault="008A7A02" w:rsidP="00931787">
      <w:pPr>
        <w:spacing w:after="0"/>
      </w:pPr>
      <w:r>
        <w:t>At the time of the Waterfall Commission report, vertical separation/integration remained controversial in the UK.  However, it was no</w:t>
      </w:r>
      <w:r w:rsidR="00216253">
        <w:t xml:space="preserve"> longer</w:t>
      </w:r>
      <w:r>
        <w:t xml:space="preserve"> controversial in NSW and there was no call for the Commission to offer an opinion on it.</w:t>
      </w:r>
    </w:p>
    <w:p w14:paraId="5B399D26" w14:textId="4C4E98C4" w:rsidR="002D178C" w:rsidRDefault="002D178C" w:rsidP="00931787">
      <w:pPr>
        <w:spacing w:after="0"/>
      </w:pPr>
    </w:p>
    <w:p w14:paraId="4445F6C4" w14:textId="77777777" w:rsidR="00FD3AEA" w:rsidRDefault="002D178C" w:rsidP="00931787">
      <w:pPr>
        <w:spacing w:after="0"/>
      </w:pPr>
      <w:r>
        <w:t xml:space="preserve">The Commission </w:t>
      </w:r>
      <w:r w:rsidR="002448DC">
        <w:t xml:space="preserve">did </w:t>
      </w:r>
      <w:r>
        <w:t>offer</w:t>
      </w:r>
      <w:r w:rsidR="002448DC">
        <w:t xml:space="preserve"> </w:t>
      </w:r>
      <w:r>
        <w:t xml:space="preserve">strong opinions about safety regulation and accident investigation.  </w:t>
      </w:r>
    </w:p>
    <w:p w14:paraId="7E47687F" w14:textId="5099255F" w:rsidR="002D178C" w:rsidRDefault="002D178C" w:rsidP="00931787">
      <w:pPr>
        <w:spacing w:after="0"/>
      </w:pPr>
      <w:r>
        <w:t xml:space="preserve">It </w:t>
      </w:r>
      <w:r w:rsidR="00C7197B">
        <w:t>recommended</w:t>
      </w:r>
      <w:r>
        <w:t xml:space="preserve"> a separate accident investigator independent of the industry, regulator and Government.</w:t>
      </w:r>
      <w:r w:rsidR="00C7197B">
        <w:t xml:space="preserve">  It </w:t>
      </w:r>
      <w:r w:rsidR="002448DC">
        <w:t xml:space="preserve">was </w:t>
      </w:r>
      <w:r w:rsidR="00C7197B">
        <w:t>particularly exercised by the Government not adopting similar recommendations from the Glenbrook Commission.</w:t>
      </w:r>
      <w:r w:rsidR="00B23D00">
        <w:t xml:space="preserve">  That was the reason for my surprise about the Minister asking advice on railway structure from the accident investigator.</w:t>
      </w:r>
      <w:r>
        <w:rPr>
          <w:rStyle w:val="FootnoteReference"/>
        </w:rPr>
        <w:footnoteReference w:id="105"/>
      </w:r>
      <w:r>
        <w:t xml:space="preserve"> </w:t>
      </w:r>
    </w:p>
    <w:p w14:paraId="7DA60461" w14:textId="6502FA5E" w:rsidR="002D178C" w:rsidRDefault="002D178C" w:rsidP="00931787">
      <w:pPr>
        <w:spacing w:after="0"/>
      </w:pPr>
    </w:p>
    <w:p w14:paraId="3E4BCF2D" w14:textId="7A868390" w:rsidR="002D178C" w:rsidRDefault="003D6C0A" w:rsidP="00931787">
      <w:pPr>
        <w:pStyle w:val="Heading4"/>
      </w:pPr>
      <w:r>
        <w:t>4.5.5</w:t>
      </w:r>
      <w:r w:rsidR="002D178C">
        <w:tab/>
        <w:t>Corporatisation</w:t>
      </w:r>
      <w:r w:rsidR="000F3360">
        <w:t xml:space="preserve"> and</w:t>
      </w:r>
      <w:r w:rsidR="002D178C">
        <w:t xml:space="preserve"> de-corporatisation</w:t>
      </w:r>
    </w:p>
    <w:p w14:paraId="3ADAEB79" w14:textId="736FD5D3" w:rsidR="00C7197B" w:rsidRDefault="00841908" w:rsidP="00931787">
      <w:pPr>
        <w:spacing w:after="0"/>
      </w:pPr>
      <w:r>
        <w:t xml:space="preserve">The period since </w:t>
      </w:r>
      <w:r w:rsidR="00C7197B">
        <w:t>199</w:t>
      </w:r>
      <w:r>
        <w:t xml:space="preserve">6 has been </w:t>
      </w:r>
      <w:r w:rsidR="00C7197B">
        <w:t xml:space="preserve">marked by </w:t>
      </w:r>
      <w:r w:rsidR="006B33D7">
        <w:t>repeated</w:t>
      </w:r>
      <w:r w:rsidR="00C7197B">
        <w:t xml:space="preserve"> structural changes to NSW railways.  These included organisational separation/integration and corporatisation</w:t>
      </w:r>
      <w:r w:rsidR="009B4DA6">
        <w:t xml:space="preserve"> </w:t>
      </w:r>
      <w:r w:rsidR="00C7197B">
        <w:t>-</w:t>
      </w:r>
      <w:r w:rsidR="009B4DA6">
        <w:t xml:space="preserve"> </w:t>
      </w:r>
      <w:r w:rsidR="00C7197B">
        <w:t>de</w:t>
      </w:r>
      <w:r w:rsidR="009B4DA6">
        <w:t>-</w:t>
      </w:r>
      <w:r w:rsidR="00C7197B">
        <w:t>corporatisation</w:t>
      </w:r>
      <w:r w:rsidR="009B4DA6">
        <w:t xml:space="preserve"> </w:t>
      </w:r>
      <w:r>
        <w:t>-</w:t>
      </w:r>
      <w:r w:rsidR="009B4DA6">
        <w:t xml:space="preserve"> </w:t>
      </w:r>
      <w:r>
        <w:t>re</w:t>
      </w:r>
      <w:r w:rsidR="009B4DA6">
        <w:t>-</w:t>
      </w:r>
      <w:r>
        <w:t>corporatisation</w:t>
      </w:r>
      <w:r w:rsidR="00C7197B">
        <w:t xml:space="preserve"> of </w:t>
      </w:r>
      <w:r>
        <w:t>various functions.</w:t>
      </w:r>
      <w:r w:rsidR="00C7197B">
        <w:t xml:space="preserve">  </w:t>
      </w:r>
      <w:r w:rsidR="007278FE">
        <w:t>Most have been inconsistent with the Glenbrook Commission evidence and recommendations.</w:t>
      </w:r>
    </w:p>
    <w:p w14:paraId="37F94DCA" w14:textId="77777777" w:rsidR="00C7197B" w:rsidRDefault="00C7197B" w:rsidP="00931787">
      <w:pPr>
        <w:spacing w:after="0"/>
      </w:pPr>
    </w:p>
    <w:p w14:paraId="039A0953" w14:textId="237B517A" w:rsidR="00E34FCC" w:rsidRDefault="00E34FCC" w:rsidP="00E34FCC">
      <w:pPr>
        <w:spacing w:after="0"/>
        <w:rPr>
          <w:rFonts w:cstheme="minorHAnsi"/>
          <w:color w:val="424242"/>
          <w:shd w:val="clear" w:color="auto" w:fill="FFFFFF"/>
        </w:rPr>
      </w:pPr>
      <w:r>
        <w:rPr>
          <w:rFonts w:cstheme="minorHAnsi"/>
          <w:color w:val="424242"/>
          <w:shd w:val="clear" w:color="auto" w:fill="FFFFFF"/>
        </w:rPr>
        <w:lastRenderedPageBreak/>
        <w:t xml:space="preserve">Table 1 shows conformance of sector structure with the Commissions’ recommendations – green shading indicates </w:t>
      </w:r>
      <w:r w:rsidR="00DF5228">
        <w:rPr>
          <w:rFonts w:cstheme="minorHAnsi"/>
          <w:color w:val="424242"/>
          <w:shd w:val="clear" w:color="auto" w:fill="FFFFFF"/>
        </w:rPr>
        <w:t>conformance;</w:t>
      </w:r>
      <w:r>
        <w:rPr>
          <w:rFonts w:cstheme="minorHAnsi"/>
          <w:color w:val="424242"/>
          <w:shd w:val="clear" w:color="auto" w:fill="FFFFFF"/>
        </w:rPr>
        <w:t xml:space="preserve"> red shading indicates non-conformance.     </w:t>
      </w:r>
    </w:p>
    <w:p w14:paraId="476470DF" w14:textId="77777777" w:rsidR="00E34FCC" w:rsidRDefault="00E34FCC" w:rsidP="00E34FCC">
      <w:pPr>
        <w:spacing w:after="0"/>
      </w:pPr>
    </w:p>
    <w:p w14:paraId="01B698A9" w14:textId="77777777" w:rsidR="0016292D" w:rsidRDefault="0016292D" w:rsidP="0016292D">
      <w:pPr>
        <w:spacing w:after="0"/>
        <w:rPr>
          <w:b/>
          <w:bCs/>
        </w:rPr>
      </w:pPr>
      <w:r>
        <w:rPr>
          <w:b/>
          <w:bCs/>
        </w:rPr>
        <w:t>Table 1: Conformance of NSW sector structure with Glenbrook Commission recommendations</w:t>
      </w:r>
    </w:p>
    <w:tbl>
      <w:tblPr>
        <w:tblStyle w:val="TableGrid"/>
        <w:tblW w:w="9209" w:type="dxa"/>
        <w:tblLook w:val="04A0" w:firstRow="1" w:lastRow="0" w:firstColumn="1" w:lastColumn="0" w:noHBand="0" w:noVBand="1"/>
      </w:tblPr>
      <w:tblGrid>
        <w:gridCol w:w="988"/>
        <w:gridCol w:w="2835"/>
        <w:gridCol w:w="2409"/>
        <w:gridCol w:w="2977"/>
      </w:tblGrid>
      <w:tr w:rsidR="0016292D" w14:paraId="7C4F443E" w14:textId="77777777" w:rsidTr="00B447D1">
        <w:trPr>
          <w:trHeight w:val="163"/>
        </w:trPr>
        <w:tc>
          <w:tcPr>
            <w:tcW w:w="988" w:type="dxa"/>
            <w:tcBorders>
              <w:top w:val="single" w:sz="4" w:space="0" w:color="auto"/>
              <w:left w:val="single" w:sz="4" w:space="0" w:color="auto"/>
              <w:bottom w:val="single" w:sz="4" w:space="0" w:color="auto"/>
              <w:right w:val="single" w:sz="4" w:space="0" w:color="auto"/>
            </w:tcBorders>
            <w:hideMark/>
          </w:tcPr>
          <w:p w14:paraId="550B45FD" w14:textId="77777777" w:rsidR="0016292D" w:rsidRPr="00E560D5" w:rsidRDefault="0016292D" w:rsidP="00B447D1">
            <w:pPr>
              <w:rPr>
                <w:b/>
                <w:bCs/>
                <w:sz w:val="18"/>
                <w:szCs w:val="18"/>
              </w:rPr>
            </w:pPr>
            <w:r w:rsidRPr="00E560D5">
              <w:rPr>
                <w:b/>
                <w:bCs/>
                <w:sz w:val="18"/>
                <w:szCs w:val="18"/>
              </w:rPr>
              <w:t>Start</w:t>
            </w:r>
          </w:p>
        </w:tc>
        <w:tc>
          <w:tcPr>
            <w:tcW w:w="2835" w:type="dxa"/>
            <w:tcBorders>
              <w:top w:val="single" w:sz="4" w:space="0" w:color="auto"/>
              <w:left w:val="single" w:sz="4" w:space="0" w:color="auto"/>
              <w:bottom w:val="single" w:sz="4" w:space="0" w:color="auto"/>
              <w:right w:val="single" w:sz="4" w:space="0" w:color="auto"/>
            </w:tcBorders>
            <w:hideMark/>
          </w:tcPr>
          <w:p w14:paraId="2C88D667" w14:textId="77777777" w:rsidR="0016292D" w:rsidRPr="00E560D5" w:rsidRDefault="0016292D" w:rsidP="00B447D1">
            <w:pPr>
              <w:rPr>
                <w:b/>
                <w:bCs/>
                <w:sz w:val="18"/>
                <w:szCs w:val="18"/>
              </w:rPr>
            </w:pPr>
            <w:r>
              <w:rPr>
                <w:b/>
                <w:bCs/>
                <w:sz w:val="18"/>
                <w:szCs w:val="18"/>
              </w:rPr>
              <w:t xml:space="preserve">Infrastructure network </w:t>
            </w:r>
            <w:r w:rsidRPr="00E560D5">
              <w:rPr>
                <w:b/>
                <w:bCs/>
                <w:sz w:val="18"/>
                <w:szCs w:val="18"/>
              </w:rPr>
              <w:t>owner</w:t>
            </w:r>
            <w:r>
              <w:rPr>
                <w:b/>
                <w:bCs/>
                <w:sz w:val="18"/>
                <w:szCs w:val="18"/>
              </w:rPr>
              <w:t>:</w:t>
            </w:r>
            <w:r w:rsidRPr="00E560D5">
              <w:rPr>
                <w:b/>
                <w:bCs/>
                <w:sz w:val="18"/>
                <w:szCs w:val="18"/>
              </w:rPr>
              <w:t xml:space="preserve"> </w:t>
            </w:r>
            <w:r>
              <w:rPr>
                <w:b/>
                <w:bCs/>
                <w:sz w:val="18"/>
                <w:szCs w:val="18"/>
              </w:rPr>
              <w:t>i</w:t>
            </w:r>
            <w:r w:rsidRPr="00E560D5">
              <w:rPr>
                <w:b/>
                <w:bCs/>
                <w:sz w:val="18"/>
                <w:szCs w:val="18"/>
              </w:rPr>
              <w:t>s it a statutory authority? (a)</w:t>
            </w:r>
          </w:p>
        </w:tc>
        <w:tc>
          <w:tcPr>
            <w:tcW w:w="2409" w:type="dxa"/>
            <w:tcBorders>
              <w:top w:val="single" w:sz="4" w:space="0" w:color="auto"/>
              <w:left w:val="single" w:sz="4" w:space="0" w:color="auto"/>
              <w:bottom w:val="single" w:sz="4" w:space="0" w:color="auto"/>
              <w:right w:val="single" w:sz="4" w:space="0" w:color="auto"/>
            </w:tcBorders>
            <w:hideMark/>
          </w:tcPr>
          <w:p w14:paraId="1895EF95" w14:textId="77777777" w:rsidR="0016292D" w:rsidRPr="00E560D5" w:rsidRDefault="0016292D" w:rsidP="00B447D1">
            <w:pPr>
              <w:rPr>
                <w:b/>
                <w:bCs/>
                <w:sz w:val="18"/>
                <w:szCs w:val="18"/>
              </w:rPr>
            </w:pPr>
            <w:r w:rsidRPr="00E560D5">
              <w:rPr>
                <w:b/>
                <w:bCs/>
                <w:sz w:val="18"/>
                <w:szCs w:val="18"/>
              </w:rPr>
              <w:t>R1: Network maintainer</w:t>
            </w:r>
            <w:r>
              <w:rPr>
                <w:b/>
                <w:bCs/>
                <w:sz w:val="18"/>
                <w:szCs w:val="18"/>
              </w:rPr>
              <w:t>: i</w:t>
            </w:r>
            <w:r w:rsidRPr="00E560D5">
              <w:rPr>
                <w:b/>
                <w:bCs/>
                <w:sz w:val="18"/>
                <w:szCs w:val="18"/>
              </w:rPr>
              <w:t>s it the network owner?</w:t>
            </w:r>
            <w:r>
              <w:rPr>
                <w:b/>
                <w:bCs/>
                <w:sz w:val="18"/>
                <w:szCs w:val="18"/>
              </w:rPr>
              <w:t xml:space="preserve"> </w:t>
            </w:r>
            <w:r w:rsidRPr="00E560D5">
              <w:rPr>
                <w:b/>
                <w:bCs/>
                <w:sz w:val="18"/>
                <w:szCs w:val="18"/>
              </w:rPr>
              <w:t>(a)</w:t>
            </w:r>
          </w:p>
        </w:tc>
        <w:tc>
          <w:tcPr>
            <w:tcW w:w="2977" w:type="dxa"/>
            <w:tcBorders>
              <w:top w:val="single" w:sz="4" w:space="0" w:color="auto"/>
              <w:left w:val="single" w:sz="4" w:space="0" w:color="auto"/>
              <w:bottom w:val="single" w:sz="4" w:space="0" w:color="auto"/>
              <w:right w:val="single" w:sz="4" w:space="0" w:color="auto"/>
            </w:tcBorders>
            <w:hideMark/>
          </w:tcPr>
          <w:p w14:paraId="4B14E984" w14:textId="77777777" w:rsidR="0016292D" w:rsidRPr="00E560D5" w:rsidRDefault="0016292D" w:rsidP="00B447D1">
            <w:pPr>
              <w:rPr>
                <w:b/>
                <w:bCs/>
                <w:sz w:val="18"/>
                <w:szCs w:val="18"/>
              </w:rPr>
            </w:pPr>
            <w:r w:rsidRPr="00E560D5">
              <w:rPr>
                <w:b/>
                <w:bCs/>
                <w:sz w:val="18"/>
                <w:szCs w:val="18"/>
              </w:rPr>
              <w:t xml:space="preserve">R3: </w:t>
            </w:r>
            <w:r>
              <w:rPr>
                <w:b/>
                <w:bCs/>
                <w:sz w:val="18"/>
                <w:szCs w:val="18"/>
              </w:rPr>
              <w:t>Commuter t</w:t>
            </w:r>
            <w:r w:rsidRPr="00E560D5">
              <w:rPr>
                <w:b/>
                <w:bCs/>
                <w:sz w:val="18"/>
                <w:szCs w:val="18"/>
              </w:rPr>
              <w:t>rain operator</w:t>
            </w:r>
            <w:r>
              <w:rPr>
                <w:b/>
                <w:bCs/>
                <w:sz w:val="18"/>
                <w:szCs w:val="18"/>
              </w:rPr>
              <w:t>:</w:t>
            </w:r>
            <w:r w:rsidRPr="00E560D5">
              <w:rPr>
                <w:b/>
                <w:bCs/>
                <w:sz w:val="18"/>
                <w:szCs w:val="18"/>
              </w:rPr>
              <w:t xml:space="preserve"> </w:t>
            </w:r>
            <w:r>
              <w:rPr>
                <w:b/>
                <w:bCs/>
                <w:sz w:val="18"/>
                <w:szCs w:val="18"/>
              </w:rPr>
              <w:t>d</w:t>
            </w:r>
            <w:r w:rsidRPr="00E560D5">
              <w:rPr>
                <w:b/>
                <w:bCs/>
                <w:sz w:val="18"/>
                <w:szCs w:val="18"/>
              </w:rPr>
              <w:t>oes it perform all of network control? (b)</w:t>
            </w:r>
          </w:p>
        </w:tc>
      </w:tr>
      <w:tr w:rsidR="0016292D" w14:paraId="3622B01F" w14:textId="77777777" w:rsidTr="00B447D1">
        <w:tc>
          <w:tcPr>
            <w:tcW w:w="988" w:type="dxa"/>
            <w:tcBorders>
              <w:top w:val="single" w:sz="4" w:space="0" w:color="auto"/>
              <w:left w:val="single" w:sz="4" w:space="0" w:color="auto"/>
              <w:bottom w:val="single" w:sz="4" w:space="0" w:color="auto"/>
              <w:right w:val="single" w:sz="4" w:space="0" w:color="auto"/>
            </w:tcBorders>
            <w:hideMark/>
          </w:tcPr>
          <w:p w14:paraId="07F9EFD2" w14:textId="77777777" w:rsidR="0016292D" w:rsidRPr="00E560D5" w:rsidRDefault="0016292D" w:rsidP="00B447D1">
            <w:pPr>
              <w:rPr>
                <w:sz w:val="18"/>
                <w:szCs w:val="18"/>
              </w:rPr>
            </w:pPr>
            <w:r w:rsidRPr="00E560D5">
              <w:rPr>
                <w:sz w:val="18"/>
                <w:szCs w:val="18"/>
                <w:highlight w:val="green"/>
              </w:rPr>
              <w:t>Pre 1996</w:t>
            </w:r>
          </w:p>
        </w:tc>
        <w:tc>
          <w:tcPr>
            <w:tcW w:w="2835" w:type="dxa"/>
            <w:tcBorders>
              <w:top w:val="single" w:sz="4" w:space="0" w:color="auto"/>
              <w:left w:val="single" w:sz="4" w:space="0" w:color="auto"/>
              <w:bottom w:val="single" w:sz="4" w:space="0" w:color="auto"/>
              <w:right w:val="single" w:sz="4" w:space="0" w:color="auto"/>
            </w:tcBorders>
            <w:hideMark/>
          </w:tcPr>
          <w:p w14:paraId="1A71F0FB" w14:textId="77777777" w:rsidR="0016292D" w:rsidRPr="00E560D5" w:rsidRDefault="0016292D" w:rsidP="00B447D1">
            <w:pPr>
              <w:rPr>
                <w:sz w:val="18"/>
                <w:szCs w:val="18"/>
                <w:highlight w:val="green"/>
              </w:rPr>
            </w:pPr>
            <w:r w:rsidRPr="00E560D5">
              <w:rPr>
                <w:sz w:val="18"/>
                <w:szCs w:val="18"/>
                <w:highlight w:val="green"/>
              </w:rPr>
              <w:t>State Rail Authority</w:t>
            </w:r>
          </w:p>
        </w:tc>
        <w:tc>
          <w:tcPr>
            <w:tcW w:w="2409" w:type="dxa"/>
            <w:tcBorders>
              <w:top w:val="single" w:sz="4" w:space="0" w:color="auto"/>
              <w:left w:val="single" w:sz="4" w:space="0" w:color="auto"/>
              <w:bottom w:val="single" w:sz="4" w:space="0" w:color="auto"/>
              <w:right w:val="single" w:sz="4" w:space="0" w:color="auto"/>
            </w:tcBorders>
            <w:hideMark/>
          </w:tcPr>
          <w:p w14:paraId="20368EAC" w14:textId="77777777" w:rsidR="0016292D" w:rsidRPr="00E560D5" w:rsidRDefault="0016292D" w:rsidP="00B447D1">
            <w:pPr>
              <w:rPr>
                <w:sz w:val="18"/>
                <w:szCs w:val="18"/>
                <w:highlight w:val="green"/>
              </w:rPr>
            </w:pPr>
            <w:r w:rsidRPr="00E560D5">
              <w:rPr>
                <w:sz w:val="18"/>
                <w:szCs w:val="18"/>
                <w:highlight w:val="green"/>
              </w:rPr>
              <w:t>State Rail</w:t>
            </w:r>
          </w:p>
        </w:tc>
        <w:tc>
          <w:tcPr>
            <w:tcW w:w="2977" w:type="dxa"/>
            <w:tcBorders>
              <w:top w:val="single" w:sz="4" w:space="0" w:color="auto"/>
              <w:left w:val="single" w:sz="4" w:space="0" w:color="auto"/>
              <w:bottom w:val="single" w:sz="4" w:space="0" w:color="auto"/>
              <w:right w:val="single" w:sz="4" w:space="0" w:color="auto"/>
            </w:tcBorders>
            <w:hideMark/>
          </w:tcPr>
          <w:p w14:paraId="680C2CE1" w14:textId="77777777" w:rsidR="0016292D" w:rsidRPr="00E560D5" w:rsidRDefault="0016292D" w:rsidP="00B447D1">
            <w:pPr>
              <w:rPr>
                <w:sz w:val="18"/>
                <w:szCs w:val="18"/>
                <w:highlight w:val="green"/>
              </w:rPr>
            </w:pPr>
            <w:r w:rsidRPr="00E560D5">
              <w:rPr>
                <w:sz w:val="18"/>
                <w:szCs w:val="18"/>
                <w:highlight w:val="green"/>
              </w:rPr>
              <w:t>State Rail</w:t>
            </w:r>
          </w:p>
        </w:tc>
      </w:tr>
      <w:tr w:rsidR="0016292D" w14:paraId="669FE69D" w14:textId="77777777" w:rsidTr="00B447D1">
        <w:tc>
          <w:tcPr>
            <w:tcW w:w="988" w:type="dxa"/>
            <w:tcBorders>
              <w:top w:val="single" w:sz="4" w:space="0" w:color="auto"/>
              <w:left w:val="single" w:sz="4" w:space="0" w:color="auto"/>
              <w:bottom w:val="single" w:sz="4" w:space="0" w:color="auto"/>
              <w:right w:val="single" w:sz="4" w:space="0" w:color="auto"/>
            </w:tcBorders>
            <w:hideMark/>
          </w:tcPr>
          <w:p w14:paraId="6BCB5CD1" w14:textId="77777777" w:rsidR="0016292D" w:rsidRPr="00E560D5" w:rsidRDefault="0016292D" w:rsidP="00B447D1">
            <w:pPr>
              <w:rPr>
                <w:sz w:val="18"/>
                <w:szCs w:val="18"/>
              </w:rPr>
            </w:pPr>
            <w:r w:rsidRPr="00E560D5">
              <w:rPr>
                <w:sz w:val="18"/>
                <w:szCs w:val="18"/>
              </w:rPr>
              <w:t>1996</w:t>
            </w:r>
          </w:p>
        </w:tc>
        <w:tc>
          <w:tcPr>
            <w:tcW w:w="2835" w:type="dxa"/>
            <w:tcBorders>
              <w:top w:val="single" w:sz="4" w:space="0" w:color="auto"/>
              <w:left w:val="single" w:sz="4" w:space="0" w:color="auto"/>
              <w:bottom w:val="single" w:sz="4" w:space="0" w:color="auto"/>
              <w:right w:val="single" w:sz="4" w:space="0" w:color="auto"/>
            </w:tcBorders>
            <w:hideMark/>
          </w:tcPr>
          <w:p w14:paraId="73B4A9AB" w14:textId="77777777" w:rsidR="0016292D" w:rsidRPr="00E560D5" w:rsidRDefault="0016292D" w:rsidP="00B447D1">
            <w:pPr>
              <w:rPr>
                <w:sz w:val="18"/>
                <w:szCs w:val="18"/>
                <w:highlight w:val="red"/>
              </w:rPr>
            </w:pPr>
            <w:r w:rsidRPr="00E560D5">
              <w:rPr>
                <w:sz w:val="18"/>
                <w:szCs w:val="18"/>
                <w:highlight w:val="red"/>
              </w:rPr>
              <w:t xml:space="preserve">Rail Access Corporation </w:t>
            </w:r>
          </w:p>
        </w:tc>
        <w:tc>
          <w:tcPr>
            <w:tcW w:w="2409" w:type="dxa"/>
            <w:tcBorders>
              <w:top w:val="single" w:sz="4" w:space="0" w:color="auto"/>
              <w:left w:val="single" w:sz="4" w:space="0" w:color="auto"/>
              <w:bottom w:val="single" w:sz="4" w:space="0" w:color="auto"/>
              <w:right w:val="single" w:sz="4" w:space="0" w:color="auto"/>
            </w:tcBorders>
            <w:hideMark/>
          </w:tcPr>
          <w:p w14:paraId="74DE0D1D" w14:textId="77777777" w:rsidR="0016292D" w:rsidRPr="00E560D5" w:rsidRDefault="0016292D" w:rsidP="00B447D1">
            <w:pPr>
              <w:rPr>
                <w:sz w:val="18"/>
                <w:szCs w:val="18"/>
                <w:highlight w:val="red"/>
              </w:rPr>
            </w:pPr>
            <w:r w:rsidRPr="00E560D5">
              <w:rPr>
                <w:sz w:val="18"/>
                <w:szCs w:val="18"/>
                <w:highlight w:val="red"/>
              </w:rPr>
              <w:t>Rail Services (c)</w:t>
            </w:r>
          </w:p>
        </w:tc>
        <w:tc>
          <w:tcPr>
            <w:tcW w:w="2977" w:type="dxa"/>
            <w:tcBorders>
              <w:top w:val="single" w:sz="4" w:space="0" w:color="auto"/>
              <w:left w:val="single" w:sz="4" w:space="0" w:color="auto"/>
              <w:bottom w:val="single" w:sz="4" w:space="0" w:color="auto"/>
              <w:right w:val="single" w:sz="4" w:space="0" w:color="auto"/>
            </w:tcBorders>
            <w:hideMark/>
          </w:tcPr>
          <w:p w14:paraId="05AA0574" w14:textId="77777777" w:rsidR="0016292D" w:rsidRPr="00E560D5" w:rsidRDefault="0016292D" w:rsidP="00B447D1">
            <w:pPr>
              <w:rPr>
                <w:sz w:val="18"/>
                <w:szCs w:val="18"/>
              </w:rPr>
            </w:pPr>
            <w:r w:rsidRPr="00E560D5">
              <w:rPr>
                <w:sz w:val="18"/>
                <w:szCs w:val="18"/>
                <w:highlight w:val="green"/>
              </w:rPr>
              <w:t>State Rail</w:t>
            </w:r>
          </w:p>
        </w:tc>
      </w:tr>
      <w:tr w:rsidR="0016292D" w14:paraId="1C8544EE" w14:textId="77777777" w:rsidTr="00B447D1">
        <w:tc>
          <w:tcPr>
            <w:tcW w:w="9209" w:type="dxa"/>
            <w:gridSpan w:val="4"/>
            <w:tcBorders>
              <w:top w:val="single" w:sz="4" w:space="0" w:color="auto"/>
              <w:left w:val="single" w:sz="4" w:space="0" w:color="auto"/>
              <w:bottom w:val="single" w:sz="4" w:space="0" w:color="auto"/>
              <w:right w:val="single" w:sz="4" w:space="0" w:color="auto"/>
            </w:tcBorders>
            <w:hideMark/>
          </w:tcPr>
          <w:p w14:paraId="1F5F0D13" w14:textId="77777777" w:rsidR="0016292D" w:rsidRPr="00E560D5" w:rsidRDefault="0016292D" w:rsidP="00B447D1">
            <w:pPr>
              <w:rPr>
                <w:b/>
                <w:bCs/>
                <w:sz w:val="18"/>
                <w:szCs w:val="18"/>
                <w:highlight w:val="green"/>
              </w:rPr>
            </w:pPr>
            <w:r w:rsidRPr="00E560D5">
              <w:rPr>
                <w:b/>
                <w:bCs/>
                <w:sz w:val="18"/>
                <w:szCs w:val="18"/>
              </w:rPr>
              <w:t>2000: Glenbrook Commission</w:t>
            </w:r>
            <w:r>
              <w:rPr>
                <w:b/>
                <w:bCs/>
                <w:sz w:val="18"/>
                <w:szCs w:val="18"/>
              </w:rPr>
              <w:t xml:space="preserve"> (2nd interim report)</w:t>
            </w:r>
            <w:r w:rsidRPr="00E560D5">
              <w:rPr>
                <w:b/>
                <w:bCs/>
                <w:sz w:val="18"/>
                <w:szCs w:val="18"/>
              </w:rPr>
              <w:t>: R1:</w:t>
            </w:r>
            <w:r>
              <w:rPr>
                <w:b/>
                <w:bCs/>
                <w:sz w:val="18"/>
                <w:szCs w:val="18"/>
              </w:rPr>
              <w:t xml:space="preserve"> </w:t>
            </w:r>
            <w:r w:rsidRPr="00E560D5">
              <w:rPr>
                <w:b/>
                <w:bCs/>
                <w:sz w:val="18"/>
                <w:szCs w:val="18"/>
              </w:rPr>
              <w:t>Stat</w:t>
            </w:r>
            <w:r>
              <w:rPr>
                <w:b/>
                <w:bCs/>
                <w:sz w:val="18"/>
                <w:szCs w:val="18"/>
              </w:rPr>
              <w:t>utory</w:t>
            </w:r>
            <w:r w:rsidRPr="00E560D5">
              <w:rPr>
                <w:b/>
                <w:bCs/>
                <w:sz w:val="18"/>
                <w:szCs w:val="18"/>
              </w:rPr>
              <w:t xml:space="preserve"> authority infrastructure owner to maintain network; R3: Train operator</w:t>
            </w:r>
            <w:r>
              <w:rPr>
                <w:b/>
                <w:bCs/>
                <w:sz w:val="18"/>
                <w:szCs w:val="18"/>
              </w:rPr>
              <w:t xml:space="preserve"> performs all metropolitan network control functions.</w:t>
            </w:r>
          </w:p>
        </w:tc>
      </w:tr>
      <w:tr w:rsidR="0016292D" w14:paraId="3A38DA5E" w14:textId="77777777" w:rsidTr="00B447D1">
        <w:tc>
          <w:tcPr>
            <w:tcW w:w="988" w:type="dxa"/>
            <w:tcBorders>
              <w:top w:val="single" w:sz="4" w:space="0" w:color="auto"/>
              <w:left w:val="single" w:sz="4" w:space="0" w:color="auto"/>
              <w:bottom w:val="single" w:sz="4" w:space="0" w:color="auto"/>
              <w:right w:val="single" w:sz="4" w:space="0" w:color="auto"/>
            </w:tcBorders>
            <w:hideMark/>
          </w:tcPr>
          <w:p w14:paraId="3FB22CB0" w14:textId="77777777" w:rsidR="0016292D" w:rsidRPr="00E560D5" w:rsidRDefault="0016292D" w:rsidP="00B447D1">
            <w:pPr>
              <w:rPr>
                <w:sz w:val="18"/>
                <w:szCs w:val="18"/>
              </w:rPr>
            </w:pPr>
            <w:r w:rsidRPr="00E560D5">
              <w:rPr>
                <w:sz w:val="18"/>
                <w:szCs w:val="18"/>
              </w:rPr>
              <w:t>2000</w:t>
            </w:r>
          </w:p>
        </w:tc>
        <w:tc>
          <w:tcPr>
            <w:tcW w:w="2835" w:type="dxa"/>
            <w:tcBorders>
              <w:top w:val="single" w:sz="4" w:space="0" w:color="auto"/>
              <w:left w:val="single" w:sz="4" w:space="0" w:color="auto"/>
              <w:bottom w:val="single" w:sz="4" w:space="0" w:color="auto"/>
              <w:right w:val="single" w:sz="4" w:space="0" w:color="auto"/>
            </w:tcBorders>
            <w:hideMark/>
          </w:tcPr>
          <w:p w14:paraId="316927B1" w14:textId="77777777" w:rsidR="0016292D" w:rsidRPr="00E560D5" w:rsidRDefault="0016292D" w:rsidP="00B447D1">
            <w:pPr>
              <w:rPr>
                <w:sz w:val="18"/>
                <w:szCs w:val="18"/>
                <w:highlight w:val="red"/>
              </w:rPr>
            </w:pPr>
            <w:r w:rsidRPr="00E560D5">
              <w:rPr>
                <w:sz w:val="18"/>
                <w:szCs w:val="18"/>
                <w:highlight w:val="red"/>
              </w:rPr>
              <w:t>Rail Infrastructure Corporation</w:t>
            </w:r>
          </w:p>
        </w:tc>
        <w:tc>
          <w:tcPr>
            <w:tcW w:w="2409" w:type="dxa"/>
            <w:tcBorders>
              <w:top w:val="single" w:sz="4" w:space="0" w:color="auto"/>
              <w:left w:val="single" w:sz="4" w:space="0" w:color="auto"/>
              <w:bottom w:val="single" w:sz="4" w:space="0" w:color="auto"/>
              <w:right w:val="single" w:sz="4" w:space="0" w:color="auto"/>
            </w:tcBorders>
            <w:hideMark/>
          </w:tcPr>
          <w:p w14:paraId="2A247D48" w14:textId="77777777" w:rsidR="0016292D" w:rsidRPr="00E560D5" w:rsidRDefault="0016292D" w:rsidP="00B447D1">
            <w:pPr>
              <w:rPr>
                <w:sz w:val="18"/>
                <w:szCs w:val="18"/>
              </w:rPr>
            </w:pPr>
            <w:r w:rsidRPr="00E560D5">
              <w:rPr>
                <w:sz w:val="18"/>
                <w:szCs w:val="18"/>
                <w:highlight w:val="green"/>
              </w:rPr>
              <w:t>Rail Infrastructure</w:t>
            </w:r>
          </w:p>
        </w:tc>
        <w:tc>
          <w:tcPr>
            <w:tcW w:w="2977" w:type="dxa"/>
            <w:tcBorders>
              <w:top w:val="single" w:sz="4" w:space="0" w:color="auto"/>
              <w:left w:val="single" w:sz="4" w:space="0" w:color="auto"/>
              <w:bottom w:val="single" w:sz="4" w:space="0" w:color="auto"/>
              <w:right w:val="single" w:sz="4" w:space="0" w:color="auto"/>
            </w:tcBorders>
            <w:hideMark/>
          </w:tcPr>
          <w:p w14:paraId="54E6EDAD" w14:textId="77777777" w:rsidR="0016292D" w:rsidRPr="00E560D5" w:rsidRDefault="0016292D" w:rsidP="00B447D1">
            <w:pPr>
              <w:rPr>
                <w:sz w:val="18"/>
                <w:szCs w:val="18"/>
              </w:rPr>
            </w:pPr>
            <w:r w:rsidRPr="00E560D5">
              <w:rPr>
                <w:sz w:val="18"/>
                <w:szCs w:val="18"/>
                <w:highlight w:val="green"/>
              </w:rPr>
              <w:t>State Rail</w:t>
            </w:r>
          </w:p>
        </w:tc>
      </w:tr>
      <w:tr w:rsidR="0016292D" w14:paraId="2D8BBC96" w14:textId="77777777" w:rsidTr="00B447D1">
        <w:tc>
          <w:tcPr>
            <w:tcW w:w="988" w:type="dxa"/>
            <w:tcBorders>
              <w:top w:val="single" w:sz="4" w:space="0" w:color="auto"/>
              <w:left w:val="single" w:sz="4" w:space="0" w:color="auto"/>
              <w:bottom w:val="single" w:sz="4" w:space="0" w:color="auto"/>
              <w:right w:val="single" w:sz="4" w:space="0" w:color="auto"/>
            </w:tcBorders>
            <w:hideMark/>
          </w:tcPr>
          <w:p w14:paraId="321E1DCB" w14:textId="77777777" w:rsidR="0016292D" w:rsidRPr="00E560D5" w:rsidRDefault="0016292D" w:rsidP="00B447D1">
            <w:pPr>
              <w:rPr>
                <w:sz w:val="18"/>
                <w:szCs w:val="18"/>
              </w:rPr>
            </w:pPr>
            <w:r w:rsidRPr="00E560D5">
              <w:rPr>
                <w:sz w:val="18"/>
                <w:szCs w:val="18"/>
              </w:rPr>
              <w:t>2004</w:t>
            </w:r>
          </w:p>
        </w:tc>
        <w:tc>
          <w:tcPr>
            <w:tcW w:w="2835" w:type="dxa"/>
            <w:tcBorders>
              <w:top w:val="single" w:sz="4" w:space="0" w:color="auto"/>
              <w:left w:val="single" w:sz="4" w:space="0" w:color="auto"/>
              <w:bottom w:val="single" w:sz="4" w:space="0" w:color="auto"/>
              <w:right w:val="single" w:sz="4" w:space="0" w:color="auto"/>
            </w:tcBorders>
            <w:hideMark/>
          </w:tcPr>
          <w:p w14:paraId="4869BFD3" w14:textId="77777777" w:rsidR="0016292D" w:rsidRPr="00E560D5" w:rsidRDefault="0016292D" w:rsidP="00B447D1">
            <w:pPr>
              <w:rPr>
                <w:sz w:val="18"/>
                <w:szCs w:val="18"/>
                <w:highlight w:val="red"/>
              </w:rPr>
            </w:pPr>
            <w:r w:rsidRPr="00E560D5">
              <w:rPr>
                <w:sz w:val="18"/>
                <w:szCs w:val="18"/>
                <w:highlight w:val="red"/>
              </w:rPr>
              <w:t>RailCorp</w:t>
            </w:r>
          </w:p>
        </w:tc>
        <w:tc>
          <w:tcPr>
            <w:tcW w:w="2409" w:type="dxa"/>
            <w:tcBorders>
              <w:top w:val="single" w:sz="4" w:space="0" w:color="auto"/>
              <w:left w:val="single" w:sz="4" w:space="0" w:color="auto"/>
              <w:bottom w:val="single" w:sz="4" w:space="0" w:color="auto"/>
              <w:right w:val="single" w:sz="4" w:space="0" w:color="auto"/>
            </w:tcBorders>
            <w:hideMark/>
          </w:tcPr>
          <w:p w14:paraId="1BF0DBA5" w14:textId="77777777" w:rsidR="0016292D" w:rsidRPr="00E560D5" w:rsidRDefault="0016292D" w:rsidP="00B447D1">
            <w:pPr>
              <w:rPr>
                <w:sz w:val="18"/>
                <w:szCs w:val="18"/>
                <w:highlight w:val="green"/>
              </w:rPr>
            </w:pPr>
            <w:r w:rsidRPr="00E560D5">
              <w:rPr>
                <w:sz w:val="18"/>
                <w:szCs w:val="18"/>
                <w:highlight w:val="green"/>
              </w:rPr>
              <w:t>RailCorp</w:t>
            </w:r>
          </w:p>
        </w:tc>
        <w:tc>
          <w:tcPr>
            <w:tcW w:w="2977" w:type="dxa"/>
            <w:tcBorders>
              <w:top w:val="single" w:sz="4" w:space="0" w:color="auto"/>
              <w:left w:val="single" w:sz="4" w:space="0" w:color="auto"/>
              <w:bottom w:val="single" w:sz="4" w:space="0" w:color="auto"/>
              <w:right w:val="single" w:sz="4" w:space="0" w:color="auto"/>
            </w:tcBorders>
            <w:hideMark/>
          </w:tcPr>
          <w:p w14:paraId="02270231" w14:textId="77777777" w:rsidR="0016292D" w:rsidRPr="00E560D5" w:rsidRDefault="0016292D" w:rsidP="00B447D1">
            <w:pPr>
              <w:rPr>
                <w:sz w:val="18"/>
                <w:szCs w:val="18"/>
                <w:highlight w:val="green"/>
              </w:rPr>
            </w:pPr>
            <w:r w:rsidRPr="00E560D5">
              <w:rPr>
                <w:sz w:val="18"/>
                <w:szCs w:val="18"/>
                <w:highlight w:val="green"/>
              </w:rPr>
              <w:t>RailCorp</w:t>
            </w:r>
          </w:p>
        </w:tc>
      </w:tr>
      <w:tr w:rsidR="0016292D" w14:paraId="6448F84E" w14:textId="77777777" w:rsidTr="00B447D1">
        <w:tc>
          <w:tcPr>
            <w:tcW w:w="9209" w:type="dxa"/>
            <w:gridSpan w:val="4"/>
            <w:tcBorders>
              <w:top w:val="single" w:sz="4" w:space="0" w:color="auto"/>
              <w:left w:val="single" w:sz="4" w:space="0" w:color="auto"/>
              <w:bottom w:val="single" w:sz="4" w:space="0" w:color="auto"/>
              <w:right w:val="single" w:sz="4" w:space="0" w:color="auto"/>
            </w:tcBorders>
            <w:hideMark/>
          </w:tcPr>
          <w:p w14:paraId="64CE9578" w14:textId="77777777" w:rsidR="0016292D" w:rsidRPr="00E560D5" w:rsidRDefault="0016292D" w:rsidP="00B447D1">
            <w:pPr>
              <w:rPr>
                <w:b/>
                <w:bCs/>
                <w:sz w:val="18"/>
                <w:szCs w:val="18"/>
                <w:highlight w:val="green"/>
              </w:rPr>
            </w:pPr>
            <w:r w:rsidRPr="00E560D5">
              <w:rPr>
                <w:b/>
                <w:bCs/>
                <w:sz w:val="18"/>
                <w:szCs w:val="18"/>
              </w:rPr>
              <w:t>2005: Waterfall Commission Report: reiterate</w:t>
            </w:r>
            <w:r>
              <w:rPr>
                <w:b/>
                <w:bCs/>
                <w:sz w:val="18"/>
                <w:szCs w:val="18"/>
              </w:rPr>
              <w:t>d</w:t>
            </w:r>
            <w:r w:rsidRPr="00E560D5">
              <w:rPr>
                <w:b/>
                <w:bCs/>
                <w:sz w:val="18"/>
                <w:szCs w:val="18"/>
              </w:rPr>
              <w:t xml:space="preserve"> Glenbrook Commission recommendations</w:t>
            </w:r>
            <w:r>
              <w:rPr>
                <w:b/>
                <w:bCs/>
                <w:sz w:val="18"/>
                <w:szCs w:val="18"/>
              </w:rPr>
              <w:t>.</w:t>
            </w:r>
            <w:r w:rsidRPr="00E560D5">
              <w:rPr>
                <w:b/>
                <w:bCs/>
                <w:sz w:val="18"/>
                <w:szCs w:val="18"/>
              </w:rPr>
              <w:t xml:space="preserve"> </w:t>
            </w:r>
          </w:p>
        </w:tc>
      </w:tr>
      <w:tr w:rsidR="0016292D" w14:paraId="0A50266E" w14:textId="77777777" w:rsidTr="00B447D1">
        <w:tc>
          <w:tcPr>
            <w:tcW w:w="988" w:type="dxa"/>
            <w:tcBorders>
              <w:top w:val="single" w:sz="4" w:space="0" w:color="auto"/>
              <w:left w:val="single" w:sz="4" w:space="0" w:color="auto"/>
              <w:bottom w:val="single" w:sz="4" w:space="0" w:color="auto"/>
              <w:right w:val="single" w:sz="4" w:space="0" w:color="auto"/>
            </w:tcBorders>
            <w:hideMark/>
          </w:tcPr>
          <w:p w14:paraId="5E6AAEC3" w14:textId="77777777" w:rsidR="0016292D" w:rsidRPr="00E560D5" w:rsidRDefault="0016292D" w:rsidP="00B447D1">
            <w:pPr>
              <w:rPr>
                <w:sz w:val="18"/>
                <w:szCs w:val="18"/>
              </w:rPr>
            </w:pPr>
            <w:r w:rsidRPr="00E560D5">
              <w:rPr>
                <w:sz w:val="18"/>
                <w:szCs w:val="18"/>
                <w:highlight w:val="green"/>
              </w:rPr>
              <w:t>2009</w:t>
            </w:r>
          </w:p>
        </w:tc>
        <w:tc>
          <w:tcPr>
            <w:tcW w:w="2835" w:type="dxa"/>
            <w:tcBorders>
              <w:top w:val="single" w:sz="4" w:space="0" w:color="auto"/>
              <w:left w:val="single" w:sz="4" w:space="0" w:color="auto"/>
              <w:bottom w:val="single" w:sz="4" w:space="0" w:color="auto"/>
              <w:right w:val="single" w:sz="4" w:space="0" w:color="auto"/>
            </w:tcBorders>
            <w:hideMark/>
          </w:tcPr>
          <w:p w14:paraId="3DBF544B" w14:textId="77777777" w:rsidR="0016292D" w:rsidRPr="00E560D5" w:rsidRDefault="0016292D" w:rsidP="00B447D1">
            <w:pPr>
              <w:rPr>
                <w:sz w:val="18"/>
                <w:szCs w:val="18"/>
                <w:highlight w:val="green"/>
              </w:rPr>
            </w:pPr>
            <w:r w:rsidRPr="00E560D5">
              <w:rPr>
                <w:sz w:val="18"/>
                <w:szCs w:val="18"/>
                <w:highlight w:val="green"/>
              </w:rPr>
              <w:t xml:space="preserve">RailCorp </w:t>
            </w:r>
          </w:p>
        </w:tc>
        <w:tc>
          <w:tcPr>
            <w:tcW w:w="2409" w:type="dxa"/>
            <w:tcBorders>
              <w:top w:val="single" w:sz="4" w:space="0" w:color="auto"/>
              <w:left w:val="single" w:sz="4" w:space="0" w:color="auto"/>
              <w:bottom w:val="single" w:sz="4" w:space="0" w:color="auto"/>
              <w:right w:val="single" w:sz="4" w:space="0" w:color="auto"/>
            </w:tcBorders>
            <w:hideMark/>
          </w:tcPr>
          <w:p w14:paraId="701198D6" w14:textId="77777777" w:rsidR="0016292D" w:rsidRPr="00E560D5" w:rsidRDefault="0016292D" w:rsidP="00B447D1">
            <w:pPr>
              <w:rPr>
                <w:sz w:val="18"/>
                <w:szCs w:val="18"/>
                <w:highlight w:val="green"/>
              </w:rPr>
            </w:pPr>
            <w:r w:rsidRPr="00E560D5">
              <w:rPr>
                <w:sz w:val="18"/>
                <w:szCs w:val="18"/>
                <w:highlight w:val="green"/>
              </w:rPr>
              <w:t>RailCorp</w:t>
            </w:r>
          </w:p>
        </w:tc>
        <w:tc>
          <w:tcPr>
            <w:tcW w:w="2977" w:type="dxa"/>
            <w:tcBorders>
              <w:top w:val="single" w:sz="4" w:space="0" w:color="auto"/>
              <w:left w:val="single" w:sz="4" w:space="0" w:color="auto"/>
              <w:bottom w:val="single" w:sz="4" w:space="0" w:color="auto"/>
              <w:right w:val="single" w:sz="4" w:space="0" w:color="auto"/>
            </w:tcBorders>
            <w:hideMark/>
          </w:tcPr>
          <w:p w14:paraId="6E21308B" w14:textId="77777777" w:rsidR="0016292D" w:rsidRPr="00E560D5" w:rsidRDefault="0016292D" w:rsidP="00B447D1">
            <w:pPr>
              <w:rPr>
                <w:sz w:val="18"/>
                <w:szCs w:val="18"/>
                <w:highlight w:val="green"/>
              </w:rPr>
            </w:pPr>
            <w:r w:rsidRPr="00E560D5">
              <w:rPr>
                <w:sz w:val="18"/>
                <w:szCs w:val="18"/>
                <w:highlight w:val="green"/>
              </w:rPr>
              <w:t>RailCorp</w:t>
            </w:r>
          </w:p>
        </w:tc>
      </w:tr>
      <w:tr w:rsidR="0016292D" w14:paraId="460B23D5" w14:textId="77777777" w:rsidTr="00B447D1">
        <w:tc>
          <w:tcPr>
            <w:tcW w:w="988" w:type="dxa"/>
            <w:tcBorders>
              <w:top w:val="single" w:sz="4" w:space="0" w:color="auto"/>
              <w:left w:val="single" w:sz="4" w:space="0" w:color="auto"/>
              <w:bottom w:val="single" w:sz="4" w:space="0" w:color="auto"/>
              <w:right w:val="single" w:sz="4" w:space="0" w:color="auto"/>
            </w:tcBorders>
            <w:hideMark/>
          </w:tcPr>
          <w:p w14:paraId="3FDF0D06" w14:textId="77777777" w:rsidR="0016292D" w:rsidRPr="00E560D5" w:rsidRDefault="0016292D" w:rsidP="00B447D1">
            <w:pPr>
              <w:rPr>
                <w:sz w:val="18"/>
                <w:szCs w:val="18"/>
              </w:rPr>
            </w:pPr>
            <w:r w:rsidRPr="00E560D5">
              <w:rPr>
                <w:sz w:val="18"/>
                <w:szCs w:val="18"/>
              </w:rPr>
              <w:t>2013</w:t>
            </w:r>
          </w:p>
        </w:tc>
        <w:tc>
          <w:tcPr>
            <w:tcW w:w="2835" w:type="dxa"/>
            <w:tcBorders>
              <w:top w:val="single" w:sz="4" w:space="0" w:color="auto"/>
              <w:left w:val="single" w:sz="4" w:space="0" w:color="auto"/>
              <w:bottom w:val="single" w:sz="4" w:space="0" w:color="auto"/>
              <w:right w:val="single" w:sz="4" w:space="0" w:color="auto"/>
            </w:tcBorders>
            <w:hideMark/>
          </w:tcPr>
          <w:p w14:paraId="6B036875" w14:textId="77777777" w:rsidR="0016292D" w:rsidRPr="00E560D5" w:rsidRDefault="0016292D" w:rsidP="00B447D1">
            <w:pPr>
              <w:rPr>
                <w:sz w:val="18"/>
                <w:szCs w:val="18"/>
                <w:highlight w:val="green"/>
              </w:rPr>
            </w:pPr>
            <w:r w:rsidRPr="00E560D5">
              <w:rPr>
                <w:sz w:val="18"/>
                <w:szCs w:val="18"/>
                <w:highlight w:val="green"/>
              </w:rPr>
              <w:t>RailCorp</w:t>
            </w:r>
          </w:p>
        </w:tc>
        <w:tc>
          <w:tcPr>
            <w:tcW w:w="2409" w:type="dxa"/>
            <w:tcBorders>
              <w:top w:val="single" w:sz="4" w:space="0" w:color="auto"/>
              <w:left w:val="single" w:sz="4" w:space="0" w:color="auto"/>
              <w:bottom w:val="single" w:sz="4" w:space="0" w:color="auto"/>
              <w:right w:val="single" w:sz="4" w:space="0" w:color="auto"/>
            </w:tcBorders>
            <w:hideMark/>
          </w:tcPr>
          <w:p w14:paraId="7CCB4311" w14:textId="77777777" w:rsidR="0016292D" w:rsidRPr="00E560D5" w:rsidRDefault="0016292D" w:rsidP="00B447D1">
            <w:pPr>
              <w:rPr>
                <w:sz w:val="18"/>
                <w:szCs w:val="18"/>
                <w:highlight w:val="red"/>
              </w:rPr>
            </w:pPr>
            <w:r w:rsidRPr="00E560D5">
              <w:rPr>
                <w:sz w:val="18"/>
                <w:szCs w:val="18"/>
                <w:highlight w:val="red"/>
              </w:rPr>
              <w:t>Sydney Trains</w:t>
            </w:r>
          </w:p>
        </w:tc>
        <w:tc>
          <w:tcPr>
            <w:tcW w:w="2977" w:type="dxa"/>
            <w:tcBorders>
              <w:top w:val="single" w:sz="4" w:space="0" w:color="auto"/>
              <w:left w:val="single" w:sz="4" w:space="0" w:color="auto"/>
              <w:bottom w:val="single" w:sz="4" w:space="0" w:color="auto"/>
              <w:right w:val="single" w:sz="4" w:space="0" w:color="auto"/>
            </w:tcBorders>
            <w:hideMark/>
          </w:tcPr>
          <w:p w14:paraId="1CD8D90A" w14:textId="77777777" w:rsidR="0016292D" w:rsidRPr="00E560D5" w:rsidRDefault="0016292D" w:rsidP="00B447D1">
            <w:pPr>
              <w:rPr>
                <w:sz w:val="18"/>
                <w:szCs w:val="18"/>
                <w:highlight w:val="red"/>
              </w:rPr>
            </w:pPr>
            <w:r w:rsidRPr="00E560D5">
              <w:rPr>
                <w:sz w:val="18"/>
                <w:szCs w:val="18"/>
                <w:highlight w:val="red"/>
              </w:rPr>
              <w:t>Sydney</w:t>
            </w:r>
            <w:r>
              <w:rPr>
                <w:sz w:val="18"/>
                <w:szCs w:val="18"/>
                <w:highlight w:val="red"/>
              </w:rPr>
              <w:t xml:space="preserve"> </w:t>
            </w:r>
            <w:r w:rsidRPr="00E560D5">
              <w:rPr>
                <w:sz w:val="18"/>
                <w:szCs w:val="18"/>
                <w:highlight w:val="red"/>
              </w:rPr>
              <w:t>Trains/</w:t>
            </w:r>
            <w:r>
              <w:rPr>
                <w:sz w:val="18"/>
                <w:szCs w:val="18"/>
                <w:highlight w:val="red"/>
              </w:rPr>
              <w:t xml:space="preserve"> </w:t>
            </w:r>
            <w:r w:rsidRPr="00E560D5">
              <w:rPr>
                <w:sz w:val="18"/>
                <w:szCs w:val="18"/>
                <w:highlight w:val="red"/>
              </w:rPr>
              <w:t>RailCorp/</w:t>
            </w:r>
            <w:r>
              <w:rPr>
                <w:sz w:val="18"/>
                <w:szCs w:val="18"/>
                <w:highlight w:val="red"/>
              </w:rPr>
              <w:t xml:space="preserve"> </w:t>
            </w:r>
            <w:r w:rsidRPr="00E560D5">
              <w:rPr>
                <w:sz w:val="18"/>
                <w:szCs w:val="18"/>
                <w:highlight w:val="red"/>
              </w:rPr>
              <w:t>TfNSW</w:t>
            </w:r>
          </w:p>
        </w:tc>
      </w:tr>
      <w:tr w:rsidR="0016292D" w14:paraId="12617A0E" w14:textId="77777777" w:rsidTr="00B447D1">
        <w:tc>
          <w:tcPr>
            <w:tcW w:w="988" w:type="dxa"/>
            <w:tcBorders>
              <w:top w:val="single" w:sz="4" w:space="0" w:color="auto"/>
              <w:left w:val="single" w:sz="4" w:space="0" w:color="auto"/>
              <w:bottom w:val="single" w:sz="4" w:space="0" w:color="auto"/>
              <w:right w:val="single" w:sz="4" w:space="0" w:color="auto"/>
            </w:tcBorders>
            <w:hideMark/>
          </w:tcPr>
          <w:p w14:paraId="346A7BFF" w14:textId="77777777" w:rsidR="0016292D" w:rsidRPr="00E560D5" w:rsidRDefault="0016292D" w:rsidP="00B447D1">
            <w:pPr>
              <w:rPr>
                <w:sz w:val="18"/>
                <w:szCs w:val="18"/>
              </w:rPr>
            </w:pPr>
            <w:r w:rsidRPr="00E560D5">
              <w:rPr>
                <w:sz w:val="18"/>
                <w:szCs w:val="18"/>
              </w:rPr>
              <w:t>2017</w:t>
            </w:r>
          </w:p>
        </w:tc>
        <w:tc>
          <w:tcPr>
            <w:tcW w:w="2835" w:type="dxa"/>
            <w:tcBorders>
              <w:top w:val="single" w:sz="4" w:space="0" w:color="auto"/>
              <w:left w:val="single" w:sz="4" w:space="0" w:color="auto"/>
              <w:bottom w:val="single" w:sz="4" w:space="0" w:color="auto"/>
              <w:right w:val="single" w:sz="4" w:space="0" w:color="auto"/>
            </w:tcBorders>
            <w:hideMark/>
          </w:tcPr>
          <w:p w14:paraId="7423A267" w14:textId="77777777" w:rsidR="0016292D" w:rsidRPr="00E560D5" w:rsidRDefault="0016292D" w:rsidP="00B447D1">
            <w:pPr>
              <w:rPr>
                <w:sz w:val="18"/>
                <w:szCs w:val="18"/>
                <w:highlight w:val="green"/>
              </w:rPr>
            </w:pPr>
            <w:r w:rsidRPr="00E560D5">
              <w:rPr>
                <w:sz w:val="18"/>
                <w:szCs w:val="18"/>
                <w:highlight w:val="green"/>
              </w:rPr>
              <w:t>Transport for NSW</w:t>
            </w:r>
          </w:p>
        </w:tc>
        <w:tc>
          <w:tcPr>
            <w:tcW w:w="2409" w:type="dxa"/>
            <w:tcBorders>
              <w:top w:val="single" w:sz="4" w:space="0" w:color="auto"/>
              <w:left w:val="single" w:sz="4" w:space="0" w:color="auto"/>
              <w:bottom w:val="single" w:sz="4" w:space="0" w:color="auto"/>
              <w:right w:val="single" w:sz="4" w:space="0" w:color="auto"/>
            </w:tcBorders>
            <w:hideMark/>
          </w:tcPr>
          <w:p w14:paraId="161A2F2C" w14:textId="77777777" w:rsidR="0016292D" w:rsidRPr="00E560D5" w:rsidRDefault="0016292D" w:rsidP="00B447D1">
            <w:pPr>
              <w:rPr>
                <w:sz w:val="18"/>
                <w:szCs w:val="18"/>
                <w:highlight w:val="red"/>
              </w:rPr>
            </w:pPr>
            <w:r w:rsidRPr="00E560D5">
              <w:rPr>
                <w:sz w:val="18"/>
                <w:szCs w:val="18"/>
                <w:highlight w:val="red"/>
              </w:rPr>
              <w:t>Sydney Trains</w:t>
            </w:r>
          </w:p>
        </w:tc>
        <w:tc>
          <w:tcPr>
            <w:tcW w:w="2977" w:type="dxa"/>
            <w:tcBorders>
              <w:top w:val="single" w:sz="4" w:space="0" w:color="auto"/>
              <w:left w:val="single" w:sz="4" w:space="0" w:color="auto"/>
              <w:bottom w:val="single" w:sz="4" w:space="0" w:color="auto"/>
              <w:right w:val="single" w:sz="4" w:space="0" w:color="auto"/>
            </w:tcBorders>
            <w:hideMark/>
          </w:tcPr>
          <w:p w14:paraId="0590783D" w14:textId="77777777" w:rsidR="0016292D" w:rsidRPr="00E560D5" w:rsidRDefault="0016292D" w:rsidP="00B447D1">
            <w:pPr>
              <w:rPr>
                <w:sz w:val="18"/>
                <w:szCs w:val="18"/>
                <w:highlight w:val="red"/>
              </w:rPr>
            </w:pPr>
            <w:r w:rsidRPr="00E560D5">
              <w:rPr>
                <w:sz w:val="18"/>
                <w:szCs w:val="18"/>
                <w:highlight w:val="red"/>
              </w:rPr>
              <w:t>Sydney Trains/</w:t>
            </w:r>
            <w:r>
              <w:rPr>
                <w:sz w:val="18"/>
                <w:szCs w:val="18"/>
                <w:highlight w:val="red"/>
              </w:rPr>
              <w:t xml:space="preserve"> </w:t>
            </w:r>
            <w:r w:rsidRPr="00E560D5">
              <w:rPr>
                <w:sz w:val="18"/>
                <w:szCs w:val="18"/>
                <w:highlight w:val="red"/>
              </w:rPr>
              <w:t>TfnSW</w:t>
            </w:r>
          </w:p>
        </w:tc>
      </w:tr>
      <w:tr w:rsidR="0016292D" w14:paraId="02DC56E8" w14:textId="77777777" w:rsidTr="00B447D1">
        <w:tc>
          <w:tcPr>
            <w:tcW w:w="988" w:type="dxa"/>
            <w:tcBorders>
              <w:top w:val="single" w:sz="4" w:space="0" w:color="auto"/>
              <w:left w:val="single" w:sz="4" w:space="0" w:color="auto"/>
              <w:bottom w:val="single" w:sz="4" w:space="0" w:color="auto"/>
              <w:right w:val="single" w:sz="4" w:space="0" w:color="auto"/>
            </w:tcBorders>
            <w:hideMark/>
          </w:tcPr>
          <w:p w14:paraId="40941FE9" w14:textId="77777777" w:rsidR="0016292D" w:rsidRPr="00E560D5" w:rsidRDefault="0016292D" w:rsidP="00B447D1">
            <w:pPr>
              <w:rPr>
                <w:sz w:val="18"/>
                <w:szCs w:val="18"/>
              </w:rPr>
            </w:pPr>
            <w:r w:rsidRPr="00E560D5">
              <w:rPr>
                <w:sz w:val="18"/>
                <w:szCs w:val="18"/>
              </w:rPr>
              <w:t>2020</w:t>
            </w:r>
          </w:p>
        </w:tc>
        <w:tc>
          <w:tcPr>
            <w:tcW w:w="2835" w:type="dxa"/>
            <w:tcBorders>
              <w:top w:val="single" w:sz="4" w:space="0" w:color="auto"/>
              <w:left w:val="single" w:sz="4" w:space="0" w:color="auto"/>
              <w:bottom w:val="single" w:sz="4" w:space="0" w:color="auto"/>
              <w:right w:val="single" w:sz="4" w:space="0" w:color="auto"/>
            </w:tcBorders>
            <w:hideMark/>
          </w:tcPr>
          <w:p w14:paraId="0D9909A9" w14:textId="77777777" w:rsidR="0016292D" w:rsidRPr="00E560D5" w:rsidRDefault="0016292D" w:rsidP="00B447D1">
            <w:pPr>
              <w:rPr>
                <w:sz w:val="18"/>
                <w:szCs w:val="18"/>
                <w:highlight w:val="red"/>
              </w:rPr>
            </w:pPr>
            <w:r w:rsidRPr="00E560D5">
              <w:rPr>
                <w:sz w:val="18"/>
                <w:szCs w:val="18"/>
                <w:highlight w:val="red"/>
              </w:rPr>
              <w:t>Transport Asset Holding Entity</w:t>
            </w:r>
          </w:p>
        </w:tc>
        <w:tc>
          <w:tcPr>
            <w:tcW w:w="2409" w:type="dxa"/>
            <w:tcBorders>
              <w:top w:val="single" w:sz="4" w:space="0" w:color="auto"/>
              <w:left w:val="single" w:sz="4" w:space="0" w:color="auto"/>
              <w:bottom w:val="single" w:sz="4" w:space="0" w:color="auto"/>
              <w:right w:val="single" w:sz="4" w:space="0" w:color="auto"/>
            </w:tcBorders>
            <w:hideMark/>
          </w:tcPr>
          <w:p w14:paraId="43144DF8" w14:textId="77777777" w:rsidR="0016292D" w:rsidRPr="00E560D5" w:rsidRDefault="0016292D" w:rsidP="00B447D1">
            <w:pPr>
              <w:rPr>
                <w:sz w:val="18"/>
                <w:szCs w:val="18"/>
                <w:highlight w:val="red"/>
              </w:rPr>
            </w:pPr>
            <w:r w:rsidRPr="00E560D5">
              <w:rPr>
                <w:sz w:val="18"/>
                <w:szCs w:val="18"/>
                <w:highlight w:val="red"/>
              </w:rPr>
              <w:t xml:space="preserve">Sydney Trains </w:t>
            </w:r>
          </w:p>
        </w:tc>
        <w:tc>
          <w:tcPr>
            <w:tcW w:w="2977" w:type="dxa"/>
            <w:tcBorders>
              <w:top w:val="single" w:sz="4" w:space="0" w:color="auto"/>
              <w:left w:val="single" w:sz="4" w:space="0" w:color="auto"/>
              <w:bottom w:val="single" w:sz="4" w:space="0" w:color="auto"/>
              <w:right w:val="single" w:sz="4" w:space="0" w:color="auto"/>
            </w:tcBorders>
            <w:hideMark/>
          </w:tcPr>
          <w:p w14:paraId="7CFFF80F" w14:textId="77777777" w:rsidR="0016292D" w:rsidRPr="00E560D5" w:rsidRDefault="0016292D" w:rsidP="00B447D1">
            <w:pPr>
              <w:rPr>
                <w:sz w:val="18"/>
                <w:szCs w:val="18"/>
                <w:highlight w:val="red"/>
              </w:rPr>
            </w:pPr>
            <w:r w:rsidRPr="00E560D5">
              <w:rPr>
                <w:sz w:val="18"/>
                <w:szCs w:val="18"/>
                <w:highlight w:val="red"/>
              </w:rPr>
              <w:t>Sydney Trains/</w:t>
            </w:r>
            <w:r>
              <w:rPr>
                <w:sz w:val="18"/>
                <w:szCs w:val="18"/>
                <w:highlight w:val="red"/>
              </w:rPr>
              <w:t xml:space="preserve"> </w:t>
            </w:r>
            <w:r w:rsidRPr="00E560D5">
              <w:rPr>
                <w:sz w:val="18"/>
                <w:szCs w:val="18"/>
                <w:highlight w:val="red"/>
              </w:rPr>
              <w:t>TfNSW</w:t>
            </w:r>
          </w:p>
        </w:tc>
      </w:tr>
    </w:tbl>
    <w:p w14:paraId="59FEB4B5" w14:textId="77777777" w:rsidR="0016292D" w:rsidRPr="00903D70" w:rsidRDefault="0016292D" w:rsidP="0016292D">
      <w:pPr>
        <w:spacing w:after="0"/>
        <w:rPr>
          <w:sz w:val="16"/>
          <w:szCs w:val="16"/>
        </w:rPr>
      </w:pPr>
      <w:r w:rsidRPr="00903D70">
        <w:rPr>
          <w:rFonts w:cstheme="minorHAnsi"/>
          <w:color w:val="424242"/>
          <w:sz w:val="16"/>
          <w:szCs w:val="16"/>
          <w:shd w:val="clear" w:color="auto" w:fill="FFFFFF"/>
        </w:rPr>
        <w:t xml:space="preserve">(a) Glenbrook Commission </w:t>
      </w:r>
      <w:r>
        <w:rPr>
          <w:rFonts w:cstheme="minorHAnsi"/>
          <w:color w:val="424242"/>
          <w:sz w:val="16"/>
          <w:szCs w:val="16"/>
          <w:shd w:val="clear" w:color="auto" w:fill="FFFFFF"/>
        </w:rPr>
        <w:t>(2</w:t>
      </w:r>
      <w:r w:rsidRPr="00A115B9">
        <w:rPr>
          <w:rFonts w:cstheme="minorHAnsi"/>
          <w:color w:val="424242"/>
          <w:sz w:val="16"/>
          <w:szCs w:val="16"/>
          <w:shd w:val="clear" w:color="auto" w:fill="FFFFFF"/>
          <w:vertAlign w:val="superscript"/>
        </w:rPr>
        <w:t>nd</w:t>
      </w:r>
      <w:r>
        <w:rPr>
          <w:rFonts w:cstheme="minorHAnsi"/>
          <w:color w:val="424242"/>
          <w:sz w:val="16"/>
          <w:szCs w:val="16"/>
          <w:shd w:val="clear" w:color="auto" w:fill="FFFFFF"/>
        </w:rPr>
        <w:t xml:space="preserve"> interim report) </w:t>
      </w:r>
      <w:r w:rsidRPr="00903D70">
        <w:rPr>
          <w:rFonts w:cstheme="minorHAnsi"/>
          <w:color w:val="424242"/>
          <w:sz w:val="16"/>
          <w:szCs w:val="16"/>
          <w:shd w:val="clear" w:color="auto" w:fill="FFFFFF"/>
        </w:rPr>
        <w:t xml:space="preserve">recommendation </w:t>
      </w:r>
      <w:r w:rsidRPr="00903D70">
        <w:rPr>
          <w:rFonts w:cstheme="minorHAnsi"/>
          <w:i/>
          <w:iCs/>
          <w:color w:val="424242"/>
          <w:sz w:val="16"/>
          <w:szCs w:val="16"/>
          <w:shd w:val="clear" w:color="auto" w:fill="FFFFFF"/>
        </w:rPr>
        <w:t xml:space="preserve">‘1. </w:t>
      </w:r>
      <w:r w:rsidRPr="00903D70">
        <w:rPr>
          <w:i/>
          <w:iCs/>
          <w:sz w:val="16"/>
          <w:szCs w:val="16"/>
        </w:rPr>
        <w:t>That the infrastructure owner RAC and the infrastructure maintainer RSA</w:t>
      </w:r>
      <w:r w:rsidRPr="00903D70">
        <w:rPr>
          <w:b/>
          <w:bCs/>
          <w:i/>
          <w:iCs/>
          <w:sz w:val="16"/>
          <w:szCs w:val="16"/>
        </w:rPr>
        <w:t xml:space="preserve"> </w:t>
      </w:r>
      <w:r w:rsidRPr="00903D70">
        <w:rPr>
          <w:i/>
          <w:iCs/>
          <w:sz w:val="16"/>
          <w:szCs w:val="16"/>
        </w:rPr>
        <w:t>cease to be State owned corporations and that their property and functions be merged into a single statutory authority, to be known as the Rail Infrastructure Authority, responsible to the Minister for Transport.’</w:t>
      </w:r>
      <w:r w:rsidRPr="00903D70">
        <w:rPr>
          <w:sz w:val="16"/>
          <w:szCs w:val="16"/>
        </w:rPr>
        <w:t xml:space="preserve"> </w:t>
      </w:r>
    </w:p>
    <w:p w14:paraId="1B6766F7" w14:textId="77777777" w:rsidR="0016292D" w:rsidRPr="00903D70" w:rsidRDefault="0016292D" w:rsidP="0016292D">
      <w:pPr>
        <w:spacing w:after="0"/>
        <w:rPr>
          <w:rFonts w:cstheme="minorHAnsi"/>
          <w:color w:val="424242"/>
          <w:sz w:val="16"/>
          <w:szCs w:val="16"/>
          <w:shd w:val="clear" w:color="auto" w:fill="FFFFFF"/>
        </w:rPr>
      </w:pPr>
      <w:r w:rsidRPr="00903D70">
        <w:rPr>
          <w:sz w:val="16"/>
          <w:szCs w:val="16"/>
        </w:rPr>
        <w:t xml:space="preserve">(b) Glenbrook Commission </w:t>
      </w:r>
      <w:r>
        <w:rPr>
          <w:sz w:val="16"/>
          <w:szCs w:val="16"/>
        </w:rPr>
        <w:t>(2</w:t>
      </w:r>
      <w:r w:rsidRPr="00A115B9">
        <w:rPr>
          <w:sz w:val="16"/>
          <w:szCs w:val="16"/>
          <w:vertAlign w:val="superscript"/>
        </w:rPr>
        <w:t>nd</w:t>
      </w:r>
      <w:r>
        <w:rPr>
          <w:sz w:val="16"/>
          <w:szCs w:val="16"/>
        </w:rPr>
        <w:t xml:space="preserve"> interim report) </w:t>
      </w:r>
      <w:r w:rsidRPr="00903D70">
        <w:rPr>
          <w:sz w:val="16"/>
          <w:szCs w:val="16"/>
        </w:rPr>
        <w:t>recommendation ‘</w:t>
      </w:r>
      <w:r w:rsidRPr="00903D70">
        <w:rPr>
          <w:i/>
          <w:iCs/>
          <w:sz w:val="16"/>
          <w:szCs w:val="16"/>
        </w:rPr>
        <w:t>3. That SRA be responsible for the control and management of timetabling and train movements and other functions of network control within the area of operation of the present CityRail network.’</w:t>
      </w:r>
    </w:p>
    <w:p w14:paraId="68E5C8BA" w14:textId="77777777" w:rsidR="0016292D" w:rsidRPr="00903D70" w:rsidRDefault="0016292D" w:rsidP="0016292D">
      <w:pPr>
        <w:spacing w:after="0"/>
        <w:rPr>
          <w:sz w:val="16"/>
          <w:szCs w:val="16"/>
        </w:rPr>
      </w:pPr>
      <w:r w:rsidRPr="00903D70">
        <w:rPr>
          <w:rFonts w:cstheme="minorHAnsi"/>
          <w:color w:val="424242"/>
          <w:sz w:val="16"/>
          <w:szCs w:val="16"/>
          <w:shd w:val="clear" w:color="auto" w:fill="FFFFFF"/>
        </w:rPr>
        <w:t>(c) S</w:t>
      </w:r>
      <w:r w:rsidRPr="00903D70">
        <w:rPr>
          <w:sz w:val="16"/>
          <w:szCs w:val="16"/>
        </w:rPr>
        <w:t>tatutory authority 1 July 1996 to 1 July 1998; State owned corporation from 1 July 1998</w:t>
      </w:r>
    </w:p>
    <w:p w14:paraId="0CB0856A" w14:textId="77777777" w:rsidR="00E34FCC" w:rsidRPr="00903D70" w:rsidRDefault="00E34FCC" w:rsidP="00E34FCC">
      <w:pPr>
        <w:spacing w:after="0"/>
        <w:rPr>
          <w:rFonts w:cstheme="minorHAnsi"/>
          <w:color w:val="424242"/>
          <w:sz w:val="16"/>
          <w:szCs w:val="16"/>
          <w:shd w:val="clear" w:color="auto" w:fill="FFFFFF"/>
        </w:rPr>
      </w:pPr>
    </w:p>
    <w:p w14:paraId="0B98BBF5" w14:textId="2F056D6A" w:rsidR="00E34FCC" w:rsidRDefault="008E71C1" w:rsidP="00E34FCC">
      <w:pPr>
        <w:spacing w:after="0"/>
      </w:pPr>
      <w:r>
        <w:t>First, it is worth noting t</w:t>
      </w:r>
      <w:r w:rsidR="00E34FCC">
        <w:t>he table shows some misleading organisational names – RailCorp was not relevantly a corporation after 2009, and the Transport Asset Holding Entity is a corporation.</w:t>
      </w:r>
      <w:r>
        <w:t xml:space="preserve">  This type of practice – ‘clever wording’ - is likely to cause confusion within Government, including of the type that led to the mistakes about what the crash Commissions said.</w:t>
      </w:r>
    </w:p>
    <w:p w14:paraId="1041BB19" w14:textId="78367D77" w:rsidR="006D2355" w:rsidRDefault="006D2355" w:rsidP="00E34FCC">
      <w:pPr>
        <w:spacing w:after="0"/>
      </w:pPr>
    </w:p>
    <w:p w14:paraId="5D783092" w14:textId="0ACDDB96" w:rsidR="008E71C1" w:rsidRDefault="008E71C1" w:rsidP="00E34FCC">
      <w:pPr>
        <w:spacing w:after="0"/>
      </w:pPr>
      <w:r>
        <w:t>The table indicates conformance pre 1996 and between 2009 and 2013.</w:t>
      </w:r>
    </w:p>
    <w:p w14:paraId="166DB1CE" w14:textId="77777777" w:rsidR="008E71C1" w:rsidRDefault="008E71C1" w:rsidP="00E34FCC">
      <w:pPr>
        <w:spacing w:after="0"/>
      </w:pPr>
    </w:p>
    <w:p w14:paraId="2FACE864" w14:textId="2B052945" w:rsidR="006D2355" w:rsidRDefault="006D2355" w:rsidP="00E34FCC">
      <w:pPr>
        <w:spacing w:after="0"/>
      </w:pPr>
      <w:r>
        <w:t>Between the Glenbrook crash and 2009, the non-conformance was rail infrastructure being owned by a State-owned corporation.  Up until shortly after the Waterfall crash train operations were not corporatized.</w:t>
      </w:r>
    </w:p>
    <w:p w14:paraId="7D6F55CE" w14:textId="77777777" w:rsidR="00E34FCC" w:rsidRDefault="00E34FCC" w:rsidP="00E34FCC">
      <w:pPr>
        <w:spacing w:after="0"/>
      </w:pPr>
    </w:p>
    <w:p w14:paraId="0B00B97A" w14:textId="5D0D2CD6" w:rsidR="00561527" w:rsidRDefault="006D2355" w:rsidP="00931787">
      <w:pPr>
        <w:spacing w:after="0"/>
      </w:pPr>
      <w:r>
        <w:t xml:space="preserve">Train operations – </w:t>
      </w:r>
      <w:r w:rsidR="003B67CB">
        <w:t>in</w:t>
      </w:r>
      <w:r>
        <w:t xml:space="preserve"> the</w:t>
      </w:r>
      <w:r w:rsidR="00561527">
        <w:t xml:space="preserve"> commuter railway - and ferries </w:t>
      </w:r>
      <w:r w:rsidR="00FA3393">
        <w:t>were</w:t>
      </w:r>
      <w:r w:rsidR="00561527">
        <w:t xml:space="preserve"> corporatized under Minister Costa in 2003.  This was prior to the report from the Waterfall Commission (2005) and prior to the final report from an inquiry into transport sustainability (December 2003) established by that Minister.</w:t>
      </w:r>
      <w:r w:rsidR="00561527">
        <w:rPr>
          <w:rStyle w:val="FootnoteReference"/>
        </w:rPr>
        <w:footnoteReference w:id="106"/>
      </w:r>
    </w:p>
    <w:p w14:paraId="15C1505D" w14:textId="77777777" w:rsidR="00561527" w:rsidRDefault="00561527" w:rsidP="00931787">
      <w:pPr>
        <w:spacing w:after="0"/>
      </w:pPr>
    </w:p>
    <w:p w14:paraId="6C2D05E6" w14:textId="069FF99D" w:rsidR="00584AB6" w:rsidRDefault="00840BA1" w:rsidP="00931787">
      <w:pPr>
        <w:spacing w:after="0"/>
      </w:pPr>
      <w:r>
        <w:t xml:space="preserve">The </w:t>
      </w:r>
      <w:r w:rsidR="00FA3393">
        <w:t xml:space="preserve">relevant </w:t>
      </w:r>
      <w:r>
        <w:t xml:space="preserve">second reading speech gave no explanation for </w:t>
      </w:r>
      <w:r w:rsidR="000F3360">
        <w:t xml:space="preserve">the </w:t>
      </w:r>
      <w:r>
        <w:t>corporatisation</w:t>
      </w:r>
      <w:r w:rsidR="000F3360">
        <w:t>s</w:t>
      </w:r>
      <w:r w:rsidR="00E749E6">
        <w:t>.  It</w:t>
      </w:r>
      <w:r w:rsidR="00B15D12">
        <w:t xml:space="preserve"> claimed vertical integration </w:t>
      </w:r>
      <w:r w:rsidR="006D2355">
        <w:t xml:space="preserve">of the commuter railway </w:t>
      </w:r>
      <w:r w:rsidR="00B15D12">
        <w:t>would deliver single point accountability.</w:t>
      </w:r>
      <w:r w:rsidR="007278FE">
        <w:t xml:space="preserve">  While it referred to the Glenbrook Commission</w:t>
      </w:r>
      <w:r w:rsidR="00A663F3">
        <w:t xml:space="preserve"> it ignored the recommendation that infrastructure should be in a statutory authority.  </w:t>
      </w:r>
      <w:r w:rsidR="00FA3393">
        <w:t>The legislation</w:t>
      </w:r>
      <w:r w:rsidR="00A663F3">
        <w:t xml:space="preserve"> exacerbated the inconsistency with </w:t>
      </w:r>
      <w:r w:rsidR="006D2355">
        <w:t xml:space="preserve">the </w:t>
      </w:r>
      <w:r w:rsidR="00A663F3">
        <w:t>Commission’s report by applying corporatisation to train operations.</w:t>
      </w:r>
      <w:r w:rsidR="00584AB6">
        <w:rPr>
          <w:rStyle w:val="FootnoteReference"/>
        </w:rPr>
        <w:footnoteReference w:id="107"/>
      </w:r>
      <w:r w:rsidR="00B15D12">
        <w:t xml:space="preserve">  </w:t>
      </w:r>
    </w:p>
    <w:p w14:paraId="6BD76658" w14:textId="77777777" w:rsidR="00584AB6" w:rsidRDefault="00584AB6" w:rsidP="00931787">
      <w:pPr>
        <w:spacing w:after="0"/>
      </w:pPr>
    </w:p>
    <w:p w14:paraId="7B1160F2" w14:textId="41AFBC24" w:rsidR="00FA3393" w:rsidRDefault="00584AB6" w:rsidP="00931787">
      <w:pPr>
        <w:spacing w:after="0"/>
      </w:pPr>
      <w:r>
        <w:lastRenderedPageBreak/>
        <w:t xml:space="preserve">The </w:t>
      </w:r>
      <w:r w:rsidR="000F3360">
        <w:t xml:space="preserve">later </w:t>
      </w:r>
      <w:r w:rsidR="00B15D12">
        <w:t xml:space="preserve">report on transport sustainability </w:t>
      </w:r>
      <w:r w:rsidR="00FA3393">
        <w:t>recommended corporatisation of Sydney Ferries as a means of separating the business from its parent – the bus operator State Transit.  However, it was silent about corporati</w:t>
      </w:r>
      <w:r w:rsidR="004B127B">
        <w:t>s</w:t>
      </w:r>
      <w:r w:rsidR="00FA3393">
        <w:t xml:space="preserve">ing the commuter rail system despite </w:t>
      </w:r>
      <w:r w:rsidR="003B67CB">
        <w:t xml:space="preserve">its </w:t>
      </w:r>
      <w:r w:rsidR="00FA3393">
        <w:t xml:space="preserve">criticising </w:t>
      </w:r>
      <w:r>
        <w:t>cost</w:t>
      </w:r>
      <w:r w:rsidR="00FA3393">
        <w:t>s</w:t>
      </w:r>
      <w:r>
        <w:t xml:space="preserve"> and </w:t>
      </w:r>
      <w:r w:rsidR="00B15D12">
        <w:t>management</w:t>
      </w:r>
      <w:r w:rsidR="00FA3393">
        <w:t>.</w:t>
      </w:r>
      <w:r w:rsidR="00FA3393">
        <w:rPr>
          <w:rStyle w:val="FootnoteReference"/>
        </w:rPr>
        <w:footnoteReference w:id="108"/>
      </w:r>
    </w:p>
    <w:p w14:paraId="5F7111C8" w14:textId="77777777" w:rsidR="00FA3393" w:rsidRDefault="00FA3393" w:rsidP="00931787">
      <w:pPr>
        <w:spacing w:after="0"/>
      </w:pPr>
    </w:p>
    <w:p w14:paraId="75D034E5" w14:textId="16074BC2" w:rsidR="00FD4DFF" w:rsidRDefault="003F5005" w:rsidP="00931787">
      <w:pPr>
        <w:spacing w:after="0"/>
      </w:pPr>
      <w:r>
        <w:t xml:space="preserve">The transport sustainability report </w:t>
      </w:r>
      <w:r w:rsidR="00FA3393">
        <w:t xml:space="preserve">raised the possibility of franchising public transport services.  It </w:t>
      </w:r>
      <w:r w:rsidR="00584AB6">
        <w:t>cited an infrastructure construction industry association, AusCID</w:t>
      </w:r>
      <w:r w:rsidR="00FA3393">
        <w:t>:</w:t>
      </w:r>
      <w:r w:rsidR="00FD4DFF">
        <w:t xml:space="preserve"> </w:t>
      </w:r>
    </w:p>
    <w:p w14:paraId="4F8A2EF3" w14:textId="2D25A53E" w:rsidR="00FD4DFF" w:rsidRDefault="00FD4DFF" w:rsidP="00931787">
      <w:pPr>
        <w:spacing w:after="0"/>
        <w:ind w:left="720"/>
      </w:pPr>
      <w:r w:rsidRPr="00ED6D92">
        <w:rPr>
          <w:i/>
          <w:iCs/>
        </w:rPr>
        <w:t>‘The ownership of heavy public transport infrastructure, such as railway tracks and roads or, indeed, train and bus rolling stock, is not necessarily important to an operator of services’.</w:t>
      </w:r>
      <w:r>
        <w:t xml:space="preserve"> </w:t>
      </w:r>
      <w:r w:rsidR="00FA3393">
        <w:t xml:space="preserve">  </w:t>
      </w:r>
    </w:p>
    <w:p w14:paraId="03380090" w14:textId="77777777" w:rsidR="00FD4DFF" w:rsidRDefault="00FD4DFF" w:rsidP="00931787">
      <w:pPr>
        <w:spacing w:after="0"/>
        <w:ind w:left="720"/>
      </w:pPr>
    </w:p>
    <w:p w14:paraId="0BBD7E2B" w14:textId="4D3D7B76" w:rsidR="00E31942" w:rsidRDefault="00E31942" w:rsidP="00931787">
      <w:pPr>
        <w:spacing w:after="0"/>
      </w:pPr>
      <w:r>
        <w:t xml:space="preserve">AusCID claimed commuter rail </w:t>
      </w:r>
      <w:r w:rsidR="00FD4DFF">
        <w:t xml:space="preserve">franchising </w:t>
      </w:r>
      <w:r>
        <w:t>was feasible despite problems occurring in Melbourne</w:t>
      </w:r>
      <w:r w:rsidR="00FD4DFF">
        <w:t xml:space="preserve">. </w:t>
      </w:r>
      <w:r>
        <w:t xml:space="preserve"> </w:t>
      </w:r>
      <w:r w:rsidR="00FD4DFF">
        <w:t xml:space="preserve">The report accepted this and </w:t>
      </w:r>
      <w:r>
        <w:t xml:space="preserve">further </w:t>
      </w:r>
      <w:r w:rsidR="00FD4DFF">
        <w:t xml:space="preserve">argued the Sydney rail network was tangled.  In so doing it </w:t>
      </w:r>
      <w:r w:rsidR="000F3360">
        <w:t xml:space="preserve">created policy furphies that still </w:t>
      </w:r>
      <w:r w:rsidR="000661BB">
        <w:t>retain</w:t>
      </w:r>
      <w:r w:rsidR="000F3360">
        <w:t xml:space="preserve"> currency.</w:t>
      </w:r>
      <w:r>
        <w:t xml:space="preserve">  </w:t>
      </w:r>
    </w:p>
    <w:p w14:paraId="67BB81FA" w14:textId="77777777" w:rsidR="00E31942" w:rsidRDefault="00E31942" w:rsidP="00931787">
      <w:pPr>
        <w:spacing w:after="0"/>
      </w:pPr>
    </w:p>
    <w:p w14:paraId="635AD02B" w14:textId="52E8A11E" w:rsidR="003F5005" w:rsidRDefault="00E31942" w:rsidP="00931787">
      <w:pPr>
        <w:spacing w:after="0"/>
      </w:pPr>
      <w:r>
        <w:t>A</w:t>
      </w:r>
      <w:r w:rsidR="003B67CB">
        <w:t>n</w:t>
      </w:r>
      <w:r>
        <w:t xml:space="preserve"> </w:t>
      </w:r>
      <w:r w:rsidR="003B67CB">
        <w:t xml:space="preserve">initial </w:t>
      </w:r>
      <w:r>
        <w:t>attempt to franchise Melbourne’s commuter train operation</w:t>
      </w:r>
      <w:r w:rsidR="000F3360">
        <w:t xml:space="preserve"> </w:t>
      </w:r>
      <w:r>
        <w:t>notoriously failed</w:t>
      </w:r>
      <w:r w:rsidR="000F3360">
        <w:t xml:space="preserve"> because the infrastructure was not to be included</w:t>
      </w:r>
      <w:r>
        <w:t xml:space="preserve">.   </w:t>
      </w:r>
      <w:r w:rsidR="000F3360">
        <w:t xml:space="preserve">Serious franchise bids were made only after the Government included control of the infrastructure in the franchise. </w:t>
      </w:r>
    </w:p>
    <w:p w14:paraId="1197F08F" w14:textId="77777777" w:rsidR="003F5005" w:rsidRDefault="003F5005" w:rsidP="00931787">
      <w:pPr>
        <w:spacing w:after="0"/>
      </w:pPr>
    </w:p>
    <w:p w14:paraId="34EC77BE" w14:textId="17C447A8" w:rsidR="000F3360" w:rsidRDefault="000661BB" w:rsidP="00931787">
      <w:pPr>
        <w:spacing w:after="0"/>
      </w:pPr>
      <w:r>
        <w:t>The example of Melbourne</w:t>
      </w:r>
      <w:r w:rsidR="000F3360">
        <w:t xml:space="preserve"> demonstrated that e</w:t>
      </w:r>
      <w:r w:rsidR="00E31942">
        <w:t>ffective ownership – control – of railway tracks</w:t>
      </w:r>
      <w:r w:rsidR="005F2369">
        <w:t xml:space="preserve"> is necessarily important to an operator of commuter rail services.</w:t>
      </w:r>
      <w:r w:rsidR="000F3360">
        <w:t xml:space="preserve">  I</w:t>
      </w:r>
      <w:r>
        <w:t xml:space="preserve">t also demonstrated </w:t>
      </w:r>
      <w:r w:rsidR="000F3360">
        <w:t xml:space="preserve">that franchising </w:t>
      </w:r>
      <w:r w:rsidR="00EA2B5D">
        <w:t>for commuter rail differs from aviation, shipping, other forms of public transport and indeed most other rail tasks.</w:t>
      </w:r>
      <w:r w:rsidR="008818F4">
        <w:rPr>
          <w:rStyle w:val="FootnoteReference"/>
        </w:rPr>
        <w:footnoteReference w:id="109"/>
      </w:r>
    </w:p>
    <w:p w14:paraId="01A299D9" w14:textId="77777777" w:rsidR="000F3360" w:rsidRDefault="000F3360" w:rsidP="00931787">
      <w:pPr>
        <w:spacing w:after="0"/>
      </w:pPr>
    </w:p>
    <w:p w14:paraId="4EDEC873" w14:textId="211A1939" w:rsidR="00E31942" w:rsidRDefault="003B67CB" w:rsidP="00931787">
      <w:pPr>
        <w:spacing w:after="0"/>
      </w:pPr>
      <w:r>
        <w:t>While feasibility of franchising might be an open question, the claim Sydney’s rail network was tangled was not.  The claim is simply wrong.</w:t>
      </w:r>
      <w:r w:rsidR="00EA2B5D">
        <w:t xml:space="preserve">  The reason</w:t>
      </w:r>
      <w:r>
        <w:t>:</w:t>
      </w:r>
      <w:r w:rsidR="00EA2B5D">
        <w:t xml:space="preserve"> a transport infrastructure network is not capable of being tangled.  What can get tangled is the traffic on it.  In Sydney</w:t>
      </w:r>
      <w:r w:rsidR="005F2369">
        <w:t xml:space="preserve"> if there </w:t>
      </w:r>
      <w:r w:rsidR="00EA2B5D">
        <w:t>was</w:t>
      </w:r>
      <w:r w:rsidR="005F2369">
        <w:t xml:space="preserve"> a tangle it was of trains, not tracks, and that is a consequence of operating patterns - timetabling.</w:t>
      </w:r>
      <w:r w:rsidR="005F2369">
        <w:rPr>
          <w:rStyle w:val="FootnoteReference"/>
        </w:rPr>
        <w:footnoteReference w:id="110"/>
      </w:r>
    </w:p>
    <w:p w14:paraId="0CDBFA9A" w14:textId="77777777" w:rsidR="00FD4DFF" w:rsidRDefault="00FD4DFF" w:rsidP="00931787">
      <w:pPr>
        <w:spacing w:after="0"/>
      </w:pPr>
    </w:p>
    <w:p w14:paraId="7999EA83" w14:textId="43D9351B" w:rsidR="007A066D" w:rsidRDefault="003F5005" w:rsidP="00931787">
      <w:pPr>
        <w:spacing w:after="0"/>
      </w:pPr>
      <w:r>
        <w:t>T</w:t>
      </w:r>
      <w:r w:rsidR="007A066D">
        <w:t xml:space="preserve">he </w:t>
      </w:r>
      <w:r w:rsidR="00A6676D">
        <w:t xml:space="preserve">transport sustainability </w:t>
      </w:r>
      <w:r w:rsidR="007A066D">
        <w:t xml:space="preserve">report </w:t>
      </w:r>
      <w:r>
        <w:t>w</w:t>
      </w:r>
      <w:r w:rsidR="007A066D">
        <w:t xml:space="preserve">elcomed corporatisation of Sydney Ferries </w:t>
      </w:r>
      <w:r w:rsidR="002F4D6B">
        <w:t>– so as to separate it from Sydney’s buses.  It</w:t>
      </w:r>
      <w:r w:rsidR="007A066D">
        <w:t xml:space="preserve"> was silent about corporatisation of the commuter railway.</w:t>
      </w:r>
      <w:r w:rsidR="007A066D">
        <w:rPr>
          <w:rStyle w:val="FootnoteReference"/>
        </w:rPr>
        <w:footnoteReference w:id="111"/>
      </w:r>
    </w:p>
    <w:p w14:paraId="37EF5DEE" w14:textId="77777777" w:rsidR="00EA2B5D" w:rsidRDefault="00EA2B5D" w:rsidP="00931787">
      <w:pPr>
        <w:spacing w:after="0"/>
      </w:pPr>
    </w:p>
    <w:p w14:paraId="0C6F4E38" w14:textId="7E434037" w:rsidR="004A1851" w:rsidRDefault="00EA2B5D" w:rsidP="00931787">
      <w:pPr>
        <w:spacing w:after="0"/>
      </w:pPr>
      <w:r>
        <w:t xml:space="preserve">The </w:t>
      </w:r>
      <w:r w:rsidR="004A1851">
        <w:t>purpose</w:t>
      </w:r>
      <w:r>
        <w:t xml:space="preserve"> of </w:t>
      </w:r>
      <w:r w:rsidR="009406DC">
        <w:t>corporati</w:t>
      </w:r>
      <w:r w:rsidR="004B127B">
        <w:t>s</w:t>
      </w:r>
      <w:r w:rsidR="009406DC">
        <w:t>ing the</w:t>
      </w:r>
      <w:r>
        <w:t xml:space="preserve"> commuter railway in 2003 is yet to be </w:t>
      </w:r>
      <w:r w:rsidR="004A1851">
        <w:t xml:space="preserve">explained.  It may </w:t>
      </w:r>
      <w:r w:rsidR="00915853">
        <w:t>have been</w:t>
      </w:r>
      <w:r w:rsidR="004A1851">
        <w:t xml:space="preserve"> a sop to ‘shareholder departments’</w:t>
      </w:r>
      <w:r w:rsidR="008E71C1">
        <w:t>,</w:t>
      </w:r>
      <w:r w:rsidR="004A1851">
        <w:t xml:space="preserve"> like Treasury, necessary to gain political and bureaucratic support for vertical integration of the railway</w:t>
      </w:r>
      <w:r w:rsidR="00915853">
        <w:t xml:space="preserve"> by increasing their ‘role’.</w:t>
      </w:r>
    </w:p>
    <w:p w14:paraId="346AEC46" w14:textId="77777777" w:rsidR="004A1851" w:rsidRDefault="004A1851" w:rsidP="00931787">
      <w:pPr>
        <w:spacing w:after="0"/>
      </w:pPr>
    </w:p>
    <w:p w14:paraId="4C3A24B7" w14:textId="75036D79" w:rsidR="003B67CB" w:rsidRDefault="004A1851" w:rsidP="00931787">
      <w:pPr>
        <w:spacing w:after="0"/>
      </w:pPr>
      <w:r>
        <w:t xml:space="preserve">At the time, the safeguarding of the public interest was to be in a performance ‘agreement’ between the Ministry of Transport and </w:t>
      </w:r>
      <w:r w:rsidR="005E17EC">
        <w:t>RailCorp – required by legislation.  However, like its sister ‘agreement’ for Sydney Ferries, it was effectively a phantom</w:t>
      </w:r>
      <w:r w:rsidR="003B67CB">
        <w:t>.</w:t>
      </w:r>
    </w:p>
    <w:p w14:paraId="1F8B9F97" w14:textId="663D02C9" w:rsidR="008E71C1" w:rsidRDefault="008E71C1" w:rsidP="00931787">
      <w:pPr>
        <w:spacing w:after="0"/>
      </w:pPr>
    </w:p>
    <w:p w14:paraId="4DA0B7A7" w14:textId="29B26B52" w:rsidR="008E71C1" w:rsidRDefault="008E71C1" w:rsidP="00931787">
      <w:pPr>
        <w:spacing w:after="0"/>
      </w:pPr>
    </w:p>
    <w:p w14:paraId="3CCBE09C" w14:textId="77777777" w:rsidR="008E71C1" w:rsidRDefault="008E71C1" w:rsidP="00931787">
      <w:pPr>
        <w:spacing w:after="0"/>
      </w:pPr>
    </w:p>
    <w:p w14:paraId="34931886" w14:textId="7826093B" w:rsidR="00EA2B5D" w:rsidRDefault="008E71C1" w:rsidP="00931787">
      <w:pPr>
        <w:spacing w:after="0"/>
      </w:pPr>
      <w:r>
        <w:lastRenderedPageBreak/>
        <w:t>Effective d</w:t>
      </w:r>
      <w:r w:rsidR="003B67CB">
        <w:t xml:space="preserve">isregard of legislative requirements was </w:t>
      </w:r>
      <w:r w:rsidR="005E17EC">
        <w:t xml:space="preserve">a result of </w:t>
      </w:r>
      <w:r w:rsidR="00915853">
        <w:t>2003</w:t>
      </w:r>
      <w:r w:rsidR="005E17EC">
        <w:t xml:space="preserve"> </w:t>
      </w:r>
      <w:r w:rsidR="00915853">
        <w:t>‘</w:t>
      </w:r>
      <w:r w:rsidR="005E17EC">
        <w:t>reforms</w:t>
      </w:r>
      <w:r w:rsidR="00915853">
        <w:t>’</w:t>
      </w:r>
      <w:r w:rsidR="005E17EC">
        <w:t xml:space="preserve"> being interpreted by officials as: the Ministry of Transport would deal with buses, and rail would be dealt with by the safety and reliability regulator.</w:t>
      </w:r>
      <w:r w:rsidR="00A663F3">
        <w:t xml:space="preserve">  That interpretation, too, was fundamentally inconsistent with the Glenbrook and Waterfall Commission reports.</w:t>
      </w:r>
      <w:r w:rsidR="005E17EC">
        <w:rPr>
          <w:rStyle w:val="FootnoteReference"/>
        </w:rPr>
        <w:footnoteReference w:id="112"/>
      </w:r>
      <w:r w:rsidR="00EA2B5D">
        <w:t xml:space="preserve">  </w:t>
      </w:r>
    </w:p>
    <w:p w14:paraId="6646B700" w14:textId="41E75AAF" w:rsidR="00EA2B5D" w:rsidRDefault="00EA2B5D" w:rsidP="00931787">
      <w:pPr>
        <w:spacing w:after="0"/>
      </w:pPr>
    </w:p>
    <w:p w14:paraId="333132AC" w14:textId="30E5208B" w:rsidR="00915853" w:rsidRDefault="00EA2B5D" w:rsidP="00931787">
      <w:pPr>
        <w:spacing w:after="0"/>
      </w:pPr>
      <w:r>
        <w:t xml:space="preserve">RailCorp was ‘de-corporatised’ by legislation passed in 2008.   Sydney Ferries was de-corporatised at the same time.  </w:t>
      </w:r>
      <w:r w:rsidR="00584AB6">
        <w:t xml:space="preserve">The </w:t>
      </w:r>
      <w:r w:rsidR="00CF60EC">
        <w:t xml:space="preserve">de-corporatisation </w:t>
      </w:r>
      <w:r w:rsidR="00584AB6">
        <w:t>bill</w:t>
      </w:r>
      <w:r w:rsidR="002F4D6B">
        <w:t xml:space="preserve"> </w:t>
      </w:r>
      <w:r w:rsidR="00584AB6">
        <w:t xml:space="preserve">was presented by the Hon. David Campbell MP, </w:t>
      </w:r>
      <w:r w:rsidR="002F4D6B">
        <w:t xml:space="preserve">in October, </w:t>
      </w:r>
      <w:r w:rsidR="00584AB6">
        <w:t>one month after he became Transport Minister in September.</w:t>
      </w:r>
      <w:r w:rsidR="002F4D6B">
        <w:t xml:space="preserve">  This followed a</w:t>
      </w:r>
      <w:r w:rsidR="00915853">
        <w:t xml:space="preserve"> Commission of </w:t>
      </w:r>
      <w:r w:rsidR="003F5005">
        <w:t>I</w:t>
      </w:r>
      <w:r w:rsidR="002F4D6B">
        <w:t>nquiry into Sydney Ferries.</w:t>
      </w:r>
      <w:r w:rsidR="00915853">
        <w:t xml:space="preserve">  </w:t>
      </w:r>
    </w:p>
    <w:p w14:paraId="611E4B56" w14:textId="77777777" w:rsidR="004F677E" w:rsidRDefault="004F677E" w:rsidP="00931787">
      <w:pPr>
        <w:spacing w:after="0"/>
      </w:pPr>
    </w:p>
    <w:p w14:paraId="2D3DE248" w14:textId="5600504B" w:rsidR="004F677E" w:rsidRDefault="004F677E" w:rsidP="004F677E">
      <w:pPr>
        <w:pStyle w:val="Heading4"/>
      </w:pPr>
      <w:r>
        <w:t>4.5.6</w:t>
      </w:r>
      <w:r>
        <w:tab/>
        <w:t>Sydney Ferries Commission of Inquiry</w:t>
      </w:r>
    </w:p>
    <w:p w14:paraId="78660DEA" w14:textId="4BC28F20" w:rsidR="004F677E" w:rsidRDefault="00E32EBD" w:rsidP="00931787">
      <w:pPr>
        <w:spacing w:after="0"/>
      </w:pPr>
      <w:r>
        <w:t xml:space="preserve">The </w:t>
      </w:r>
      <w:r w:rsidR="003F5005">
        <w:t>r</w:t>
      </w:r>
      <w:r>
        <w:t xml:space="preserve">eport </w:t>
      </w:r>
      <w:r w:rsidR="003F5005">
        <w:t xml:space="preserve">of the Commission of Inquiry </w:t>
      </w:r>
      <w:r w:rsidR="004F677E">
        <w:t>into Sydney Ferries, by Mr Walker SC</w:t>
      </w:r>
      <w:r w:rsidR="00E2227E">
        <w:t>, October 2007</w:t>
      </w:r>
      <w:r w:rsidR="004F677E">
        <w:t xml:space="preserve">, </w:t>
      </w:r>
      <w:r w:rsidR="002D178C">
        <w:t xml:space="preserve">highlighted problems of attempting to apply the NSW State-owned corporation model to highly subsidised activities related to public transport.  </w:t>
      </w:r>
      <w:r w:rsidR="00C318FD">
        <w:t xml:space="preserve">Essentially two were seen.  </w:t>
      </w:r>
    </w:p>
    <w:p w14:paraId="305D1048" w14:textId="77777777" w:rsidR="004F677E" w:rsidRDefault="004F677E" w:rsidP="00931787">
      <w:pPr>
        <w:spacing w:after="0"/>
      </w:pPr>
    </w:p>
    <w:p w14:paraId="2799A765" w14:textId="7E30C75C" w:rsidR="00E32EBD" w:rsidRDefault="00C318FD" w:rsidP="00931787">
      <w:pPr>
        <w:spacing w:after="0"/>
      </w:pPr>
      <w:r>
        <w:t>First the State</w:t>
      </w:r>
      <w:r w:rsidR="00CF60EC">
        <w:t>-</w:t>
      </w:r>
      <w:r>
        <w:t>owned corporation framework ignores the principal value of public transport:</w:t>
      </w:r>
    </w:p>
    <w:p w14:paraId="2E5DC942" w14:textId="0936F1DE" w:rsidR="00E32EBD" w:rsidRDefault="00C318FD" w:rsidP="00931787">
      <w:pPr>
        <w:spacing w:after="0"/>
        <w:ind w:left="720"/>
        <w:rPr>
          <w:i/>
          <w:iCs/>
        </w:rPr>
      </w:pPr>
      <w:r>
        <w:rPr>
          <w:i/>
          <w:iCs/>
        </w:rPr>
        <w:t>‘</w:t>
      </w:r>
      <w:r w:rsidR="00E32EBD" w:rsidRPr="00C318FD">
        <w:rPr>
          <w:i/>
          <w:iCs/>
        </w:rPr>
        <w:t xml:space="preserve">The adoption of the SOC model encourages a conceptual framework whereby </w:t>
      </w:r>
      <w:r>
        <w:rPr>
          <w:i/>
          <w:iCs/>
        </w:rPr>
        <w:t>….</w:t>
      </w:r>
      <w:r w:rsidR="00E32EBD" w:rsidRPr="00C318FD">
        <w:rPr>
          <w:i/>
          <w:iCs/>
        </w:rPr>
        <w:t>an organization is assessed on its measured financial performance, rather than on its overall, and real, contribution to an effective and reliable integrated public transport system</w:t>
      </w:r>
      <w:r>
        <w:rPr>
          <w:i/>
          <w:iCs/>
        </w:rPr>
        <w:t>’.</w:t>
      </w:r>
    </w:p>
    <w:p w14:paraId="1BE99277" w14:textId="6AA49746" w:rsidR="00C318FD" w:rsidRDefault="00C318FD" w:rsidP="00931787">
      <w:pPr>
        <w:spacing w:after="0"/>
        <w:rPr>
          <w:i/>
          <w:iCs/>
        </w:rPr>
      </w:pPr>
    </w:p>
    <w:p w14:paraId="20ED76FE" w14:textId="77F175AB" w:rsidR="002B6CCB" w:rsidRDefault="00C318FD" w:rsidP="00C460C8">
      <w:pPr>
        <w:spacing w:after="0"/>
      </w:pPr>
      <w:r w:rsidRPr="00C318FD">
        <w:t xml:space="preserve">Second, a </w:t>
      </w:r>
      <w:r>
        <w:t xml:space="preserve">transport </w:t>
      </w:r>
      <w:r w:rsidRPr="00C318FD">
        <w:t xml:space="preserve">State-owned corporation </w:t>
      </w:r>
      <w:r w:rsidR="00915853">
        <w:t xml:space="preserve">involved in public transport </w:t>
      </w:r>
      <w:r>
        <w:t>cannot</w:t>
      </w:r>
      <w:r w:rsidRPr="00C318FD">
        <w:t xml:space="preserve"> </w:t>
      </w:r>
      <w:r>
        <w:t xml:space="preserve">be </w:t>
      </w:r>
      <w:r w:rsidRPr="00C318FD">
        <w:t xml:space="preserve">subject to </w:t>
      </w:r>
      <w:r w:rsidR="00CF60EC">
        <w:t>commercial</w:t>
      </w:r>
      <w:r w:rsidRPr="00C318FD">
        <w:t xml:space="preserve"> pressures</w:t>
      </w:r>
      <w:r w:rsidR="00DA730E">
        <w:t xml:space="preserve">.  </w:t>
      </w:r>
      <w:r w:rsidR="002B6CCB">
        <w:t>The corporation’s</w:t>
      </w:r>
      <w:r w:rsidR="00DA730E">
        <w:t xml:space="preserve"> only real customer is the </w:t>
      </w:r>
      <w:r>
        <w:t>Government</w:t>
      </w:r>
      <w:r w:rsidR="00DA730E">
        <w:t xml:space="preserve"> which, at most, has a detailed service contract</w:t>
      </w:r>
      <w:r w:rsidR="00C460C8">
        <w:t xml:space="preserve">.  </w:t>
      </w:r>
      <w:r w:rsidR="00E2227E">
        <w:t>It is worth noting the</w:t>
      </w:r>
      <w:r w:rsidR="00915853">
        <w:t xml:space="preserve"> </w:t>
      </w:r>
      <w:r w:rsidR="00E2227E">
        <w:t xml:space="preserve">Government (Department of Transport) and corporation ignored the </w:t>
      </w:r>
      <w:r w:rsidR="00DE57B5">
        <w:t>legislative require</w:t>
      </w:r>
      <w:r w:rsidR="001E7C10">
        <w:t>ment for</w:t>
      </w:r>
      <w:r w:rsidR="002B6CCB">
        <w:t xml:space="preserve"> </w:t>
      </w:r>
      <w:r w:rsidR="001E7C10">
        <w:t xml:space="preserve">a </w:t>
      </w:r>
      <w:r w:rsidR="00C460C8">
        <w:t xml:space="preserve">service </w:t>
      </w:r>
      <w:r w:rsidR="00E2227E">
        <w:t>contract-</w:t>
      </w:r>
      <w:r w:rsidR="001E7C10">
        <w:t xml:space="preserve">substitute, </w:t>
      </w:r>
      <w:r w:rsidR="00E2227E">
        <w:t xml:space="preserve">a performance </w:t>
      </w:r>
      <w:r w:rsidR="00CF60EC">
        <w:t>‘agreement’</w:t>
      </w:r>
      <w:r w:rsidR="001E7C10">
        <w:t>,</w:t>
      </w:r>
      <w:r w:rsidR="00CF60EC">
        <w:t xml:space="preserve"> </w:t>
      </w:r>
      <w:r w:rsidR="001E7C10">
        <w:t>post 2003</w:t>
      </w:r>
      <w:r w:rsidR="00DA730E">
        <w:t xml:space="preserve">.  </w:t>
      </w:r>
    </w:p>
    <w:p w14:paraId="3EBF3F03" w14:textId="77777777" w:rsidR="002B6CCB" w:rsidRDefault="002B6CCB" w:rsidP="00931787">
      <w:pPr>
        <w:spacing w:after="0"/>
      </w:pPr>
    </w:p>
    <w:p w14:paraId="6C0C9AE9" w14:textId="71DEA6C1" w:rsidR="00C460C8" w:rsidRDefault="00DA730E" w:rsidP="00931787">
      <w:pPr>
        <w:spacing w:after="0"/>
      </w:pPr>
      <w:r>
        <w:t xml:space="preserve">However, </w:t>
      </w:r>
      <w:r w:rsidR="00E2227E">
        <w:t xml:space="preserve">even if the legislation </w:t>
      </w:r>
      <w:r w:rsidR="001257A9">
        <w:t>had been</w:t>
      </w:r>
      <w:r w:rsidR="00E2227E">
        <w:t xml:space="preserve"> taken seriously, </w:t>
      </w:r>
      <w:r>
        <w:t>th</w:t>
      </w:r>
      <w:r w:rsidR="00E2227E">
        <w:t>e</w:t>
      </w:r>
      <w:r w:rsidR="002B6CCB">
        <w:t xml:space="preserve"> </w:t>
      </w:r>
      <w:r w:rsidR="00E2227E">
        <w:t xml:space="preserve">agreements – like </w:t>
      </w:r>
      <w:r w:rsidR="002B6CCB">
        <w:t xml:space="preserve">service contracts </w:t>
      </w:r>
      <w:r w:rsidR="00E2227E">
        <w:t>– w</w:t>
      </w:r>
      <w:r w:rsidR="001257A9">
        <w:t>ere</w:t>
      </w:r>
      <w:r w:rsidR="00E2227E">
        <w:t xml:space="preserve"> </w:t>
      </w:r>
      <w:r w:rsidR="00190B21">
        <w:t>legal fictions.</w:t>
      </w:r>
      <w:r w:rsidR="002B6CCB">
        <w:t xml:space="preserve">  The </w:t>
      </w:r>
      <w:r w:rsidR="00E2227E">
        <w:t>Ferries Commission</w:t>
      </w:r>
      <w:r w:rsidR="002B6CCB">
        <w:t xml:space="preserve"> observed the Government</w:t>
      </w:r>
      <w:r>
        <w:t xml:space="preserve"> customer</w:t>
      </w:r>
      <w:r w:rsidR="00C318FD">
        <w:t xml:space="preserve"> cannot sue </w:t>
      </w:r>
      <w:r w:rsidR="00E2227E">
        <w:t>a State-owned</w:t>
      </w:r>
      <w:r w:rsidR="00423A49">
        <w:t xml:space="preserve"> corporation</w:t>
      </w:r>
      <w:r w:rsidR="00C318FD">
        <w:t xml:space="preserve"> for breach of contract</w:t>
      </w:r>
      <w:r w:rsidR="00C460C8">
        <w:t>:</w:t>
      </w:r>
    </w:p>
    <w:p w14:paraId="4133320E" w14:textId="77777777" w:rsidR="00C460C8" w:rsidRDefault="00C460C8" w:rsidP="00C460C8">
      <w:pPr>
        <w:spacing w:after="0"/>
        <w:ind w:left="720"/>
      </w:pPr>
      <w:r w:rsidRPr="00C460C8">
        <w:rPr>
          <w:i/>
          <w:iCs/>
        </w:rPr>
        <w:t>‘the unreality of the Government enforcing the obligations imposed on a SOC by a service contract. It would be an affront to the common sense of taxpayers for the Government to incur the expense of suing a corporation for damages, or litigating to justify reduced remuneration of the corporation, were it to breach or fall short of the standards required by its service contract</w:t>
      </w:r>
      <w:r>
        <w:rPr>
          <w:i/>
          <w:iCs/>
        </w:rPr>
        <w:t>’</w:t>
      </w:r>
      <w:r w:rsidRPr="00C460C8">
        <w:rPr>
          <w:i/>
          <w:iCs/>
        </w:rPr>
        <w:t>.</w:t>
      </w:r>
      <w:r>
        <w:t xml:space="preserve">  </w:t>
      </w:r>
    </w:p>
    <w:p w14:paraId="10C11AD9" w14:textId="77777777" w:rsidR="00C460C8" w:rsidRDefault="00C460C8" w:rsidP="00931787">
      <w:pPr>
        <w:spacing w:after="0"/>
      </w:pPr>
    </w:p>
    <w:p w14:paraId="484A06CB" w14:textId="2C31E439" w:rsidR="00DA730E" w:rsidRDefault="002B6CCB" w:rsidP="00931787">
      <w:pPr>
        <w:spacing w:after="0"/>
      </w:pPr>
      <w:r>
        <w:t>There</w:t>
      </w:r>
      <w:r w:rsidR="00C318FD">
        <w:t xml:space="preserve"> is </w:t>
      </w:r>
      <w:r w:rsidR="00DA730E">
        <w:t>li</w:t>
      </w:r>
      <w:r>
        <w:t>ttle</w:t>
      </w:r>
      <w:r w:rsidR="00C318FD">
        <w:t xml:space="preserve"> incentive on </w:t>
      </w:r>
      <w:r w:rsidR="00DA730E">
        <w:t xml:space="preserve">the corporation to perform its </w:t>
      </w:r>
      <w:r w:rsidR="007C366D">
        <w:t xml:space="preserve">contract </w:t>
      </w:r>
      <w:r w:rsidR="00DA730E">
        <w:t>obligations</w:t>
      </w:r>
      <w:r w:rsidR="00CF60EC">
        <w:t>, and none when</w:t>
      </w:r>
      <w:r w:rsidR="00DA730E">
        <w:t xml:space="preserve"> it is accountable to (other</w:t>
      </w:r>
      <w:r w:rsidR="00F008FD">
        <w:t xml:space="preserve"> Government</w:t>
      </w:r>
      <w:r w:rsidR="00DA730E">
        <w:t>) shareholders.</w:t>
      </w:r>
      <w:r w:rsidR="00DA730E">
        <w:rPr>
          <w:rStyle w:val="FootnoteReference"/>
        </w:rPr>
        <w:footnoteReference w:id="113"/>
      </w:r>
    </w:p>
    <w:p w14:paraId="11DB5F46" w14:textId="77777777" w:rsidR="00423A49" w:rsidRDefault="00423A49" w:rsidP="00931787">
      <w:pPr>
        <w:spacing w:after="0"/>
      </w:pPr>
    </w:p>
    <w:p w14:paraId="421CD198" w14:textId="77777777" w:rsidR="00F008FD" w:rsidRDefault="00423A49" w:rsidP="00931787">
      <w:pPr>
        <w:spacing w:after="0"/>
      </w:pPr>
      <w:r>
        <w:t>The</w:t>
      </w:r>
      <w:r w:rsidR="003F5005">
        <w:t xml:space="preserve"> beagle has put the</w:t>
      </w:r>
      <w:r>
        <w:t xml:space="preserve">se points as a root cause of the failure of the 1996 rail model – where contracts, especially access agreements – between the Government’s State-owned corporation Rail Access and Government owned rail operators were unenforceable and there was no bona fide dispute resolution mechanism.  </w:t>
      </w:r>
    </w:p>
    <w:p w14:paraId="474C5389" w14:textId="110D30FB" w:rsidR="00C318FD" w:rsidRDefault="007C366D" w:rsidP="00931787">
      <w:pPr>
        <w:spacing w:after="0"/>
      </w:pPr>
      <w:r>
        <w:lastRenderedPageBreak/>
        <w:t xml:space="preserve">Similar comments could be made about the ‘line CSO’.  </w:t>
      </w:r>
      <w:r w:rsidR="00423A49">
        <w:t>I</w:t>
      </w:r>
      <w:r w:rsidR="00253C25">
        <w:t>nstead of putting</w:t>
      </w:r>
      <w:r w:rsidR="00423A49">
        <w:t xml:space="preserve"> commercial</w:t>
      </w:r>
      <w:r w:rsidR="00C94239">
        <w:t xml:space="preserve"> </w:t>
      </w:r>
      <w:r w:rsidR="00253C25">
        <w:t xml:space="preserve">pressures on the railway, </w:t>
      </w:r>
      <w:r w:rsidR="00510921">
        <w:t>corporatisation</w:t>
      </w:r>
      <w:r w:rsidR="00253C25">
        <w:t xml:space="preserve"> introduced hidden political and bureaucratic influences</w:t>
      </w:r>
      <w:r w:rsidR="001E7C10">
        <w:t xml:space="preserve"> especially from Treasury</w:t>
      </w:r>
      <w:r w:rsidR="00423A49">
        <w:t>.</w:t>
      </w:r>
      <w:r w:rsidR="00423A49">
        <w:rPr>
          <w:rStyle w:val="FootnoteReference"/>
        </w:rPr>
        <w:footnoteReference w:id="114"/>
      </w:r>
    </w:p>
    <w:p w14:paraId="659A822B" w14:textId="738090D9" w:rsidR="003C2169" w:rsidRDefault="003C2169" w:rsidP="00931787">
      <w:pPr>
        <w:spacing w:after="0"/>
      </w:pPr>
    </w:p>
    <w:p w14:paraId="2641BDE2" w14:textId="647DBE5E" w:rsidR="003C2169" w:rsidRPr="00C318FD" w:rsidRDefault="003C2169" w:rsidP="00931787">
      <w:pPr>
        <w:spacing w:after="0"/>
      </w:pPr>
      <w:r>
        <w:t>The Ferries Commission concluded the only sensible options to deal with the issues were to make Sydney Ferries a statutory authority, or to privatise it via franchising.</w:t>
      </w:r>
      <w:r w:rsidR="00F008FD">
        <w:t xml:space="preserve">  Its preferred option was for the Government to develop a service contract and offer it to the private market – </w:t>
      </w:r>
      <w:r w:rsidR="00DF5228">
        <w:t>i.e.,</w:t>
      </w:r>
      <w:r w:rsidR="00F008FD">
        <w:t xml:space="preserve"> franchise.</w:t>
      </w:r>
    </w:p>
    <w:p w14:paraId="37C35635" w14:textId="77777777" w:rsidR="00E32EBD" w:rsidRDefault="00E32EBD" w:rsidP="00931787">
      <w:pPr>
        <w:spacing w:after="0"/>
      </w:pPr>
    </w:p>
    <w:p w14:paraId="5831ED60" w14:textId="6BAD684C" w:rsidR="008D0630" w:rsidRDefault="00F008FD" w:rsidP="00931787">
      <w:pPr>
        <w:spacing w:after="0"/>
      </w:pPr>
      <w:r>
        <w:t xml:space="preserve">The then Government </w:t>
      </w:r>
      <w:r w:rsidR="008D0630">
        <w:t xml:space="preserve">only partly </w:t>
      </w:r>
      <w:r>
        <w:t xml:space="preserve">agreed.  </w:t>
      </w:r>
      <w:r w:rsidR="008D0630">
        <w:t xml:space="preserve">It </w:t>
      </w:r>
      <w:r>
        <w:t>de-corporatise</w:t>
      </w:r>
      <w:r w:rsidR="008D0630">
        <w:t>d</w:t>
      </w:r>
      <w:r>
        <w:t xml:space="preserve"> Sydney Ferries</w:t>
      </w:r>
      <w:r w:rsidR="008D0630">
        <w:t>, developed a service contract and awarded most parts of it to the new authority</w:t>
      </w:r>
      <w:r>
        <w:t xml:space="preserve">.  </w:t>
      </w:r>
    </w:p>
    <w:p w14:paraId="70E9D391" w14:textId="77777777" w:rsidR="008D0630" w:rsidRDefault="008D0630" w:rsidP="00931787">
      <w:pPr>
        <w:spacing w:after="0"/>
      </w:pPr>
    </w:p>
    <w:p w14:paraId="121A5694" w14:textId="0E6C6EF8" w:rsidR="002D178C" w:rsidRDefault="00F008FD" w:rsidP="00931787">
      <w:pPr>
        <w:spacing w:after="0"/>
      </w:pPr>
      <w:r>
        <w:t>For completeness, i</w:t>
      </w:r>
      <w:r w:rsidR="002D178C">
        <w:t>n 2010 RailCorp’s board was abolished</w:t>
      </w:r>
      <w:r w:rsidR="00E32EBD">
        <w:t>.  After the election of a new Government</w:t>
      </w:r>
      <w:r w:rsidR="002D178C">
        <w:t xml:space="preserve"> </w:t>
      </w:r>
      <w:r w:rsidR="00253C25">
        <w:t xml:space="preserve">in 2011 </w:t>
      </w:r>
      <w:r w:rsidR="002D178C">
        <w:t>it became an agency of Transport for NSW.</w:t>
      </w:r>
      <w:r w:rsidR="002D178C">
        <w:rPr>
          <w:rStyle w:val="FootnoteReference"/>
        </w:rPr>
        <w:footnoteReference w:id="115"/>
      </w:r>
    </w:p>
    <w:p w14:paraId="3D7023CD" w14:textId="77777777" w:rsidR="002D178C" w:rsidRDefault="002D178C" w:rsidP="00931787">
      <w:pPr>
        <w:spacing w:after="0"/>
      </w:pPr>
    </w:p>
    <w:p w14:paraId="06D476D8" w14:textId="05A2E8DE" w:rsidR="00012C6C" w:rsidRDefault="003D6C0A" w:rsidP="00931787">
      <w:pPr>
        <w:pStyle w:val="Heading3"/>
      </w:pPr>
      <w:bookmarkStart w:id="23" w:name="_Toc93085769"/>
      <w:r>
        <w:t>4.6</w:t>
      </w:r>
      <w:r w:rsidR="00253C25">
        <w:tab/>
      </w:r>
      <w:r w:rsidR="00216253">
        <w:t xml:space="preserve">Origin of the </w:t>
      </w:r>
      <w:r w:rsidR="00C94239">
        <w:t xml:space="preserve">present </w:t>
      </w:r>
      <w:r w:rsidR="00216253">
        <w:t>mistake</w:t>
      </w:r>
      <w:bookmarkEnd w:id="23"/>
    </w:p>
    <w:p w14:paraId="494DDE09" w14:textId="330009B7" w:rsidR="00402E88" w:rsidRDefault="003D6C0A" w:rsidP="00931787">
      <w:pPr>
        <w:pStyle w:val="Heading4"/>
      </w:pPr>
      <w:r>
        <w:t>4.6.1</w:t>
      </w:r>
      <w:r w:rsidR="00DE35E1">
        <w:tab/>
      </w:r>
      <w:r w:rsidR="00402E88">
        <w:t>2012</w:t>
      </w:r>
      <w:r w:rsidR="00517034">
        <w:t xml:space="preserve"> – change of intention</w:t>
      </w:r>
      <w:r w:rsidR="00510921">
        <w:t xml:space="preserve"> conflicting with </w:t>
      </w:r>
      <w:r w:rsidR="00532D0E">
        <w:t>public</w:t>
      </w:r>
      <w:r>
        <w:t xml:space="preserve"> </w:t>
      </w:r>
      <w:r w:rsidR="00510921">
        <w:t>advice</w:t>
      </w:r>
    </w:p>
    <w:p w14:paraId="532A7913" w14:textId="77777777" w:rsidR="00190B21" w:rsidRDefault="00253C25" w:rsidP="00931787">
      <w:pPr>
        <w:spacing w:after="0"/>
      </w:pPr>
      <w:r>
        <w:t xml:space="preserve">In </w:t>
      </w:r>
      <w:r w:rsidR="00CC3696">
        <w:t xml:space="preserve">May </w:t>
      </w:r>
      <w:r>
        <w:t xml:space="preserve">2012, the Government signalled an intention to </w:t>
      </w:r>
      <w:r w:rsidR="00CC3696">
        <w:t xml:space="preserve">break-up RailCorp, with </w:t>
      </w:r>
      <w:r>
        <w:t xml:space="preserve">operations </w:t>
      </w:r>
      <w:r w:rsidR="00CC3696">
        <w:t>to be conducted by a new ‘specialist’ organisation.  This was</w:t>
      </w:r>
      <w:r>
        <w:t xml:space="preserve"> part of ‘fixing the trains’</w:t>
      </w:r>
      <w:r w:rsidR="00CC3696">
        <w:t xml:space="preserve"> announced by Transport Minister Berejiklian</w:t>
      </w:r>
      <w:r>
        <w:t>.</w:t>
      </w:r>
      <w:r w:rsidR="004C0F1A">
        <w:t xml:space="preserve">  </w:t>
      </w:r>
    </w:p>
    <w:p w14:paraId="32811B00" w14:textId="77777777" w:rsidR="00190B21" w:rsidRDefault="00190B21" w:rsidP="00931787">
      <w:pPr>
        <w:spacing w:after="0"/>
      </w:pPr>
    </w:p>
    <w:p w14:paraId="53D0033E" w14:textId="1F73A4AC" w:rsidR="00253C25" w:rsidRDefault="009104EA" w:rsidP="00931787">
      <w:pPr>
        <w:spacing w:after="0"/>
      </w:pPr>
      <w:r>
        <w:t>T</w:t>
      </w:r>
      <w:r w:rsidR="004C0F1A">
        <w:t>h</w:t>
      </w:r>
      <w:r>
        <w:t xml:space="preserve">e </w:t>
      </w:r>
      <w:r w:rsidR="004C0F1A">
        <w:t>sentiment of th</w:t>
      </w:r>
      <w:r>
        <w:t xml:space="preserve">at announcement could have been taken from </w:t>
      </w:r>
      <w:r w:rsidR="004C0F1A">
        <w:t>1996 changes – to pursue</w:t>
      </w:r>
      <w:r w:rsidR="004C0F1A" w:rsidRPr="00A6109B">
        <w:rPr>
          <w:i/>
          <w:iCs/>
          <w:shd w:val="clear" w:color="auto" w:fill="FFFFFF"/>
        </w:rPr>
        <w:t xml:space="preserve"> </w:t>
      </w:r>
      <w:r w:rsidR="004C0F1A">
        <w:rPr>
          <w:i/>
          <w:iCs/>
          <w:shd w:val="clear" w:color="auto" w:fill="FFFFFF"/>
        </w:rPr>
        <w:t>‘</w:t>
      </w:r>
      <w:r w:rsidR="004C0F1A" w:rsidRPr="00A6109B">
        <w:rPr>
          <w:i/>
          <w:iCs/>
          <w:shd w:val="clear" w:color="auto" w:fill="FFFFFF"/>
        </w:rPr>
        <w:t>customer service</w:t>
      </w:r>
      <w:r w:rsidR="004C0F1A">
        <w:rPr>
          <w:i/>
          <w:iCs/>
          <w:shd w:val="clear" w:color="auto" w:fill="FFFFFF"/>
        </w:rPr>
        <w:t xml:space="preserve">’ </w:t>
      </w:r>
      <w:r w:rsidR="004C0F1A" w:rsidRPr="00F14179">
        <w:rPr>
          <w:shd w:val="clear" w:color="auto" w:fill="FFFFFF"/>
        </w:rPr>
        <w:t xml:space="preserve">it was considered necessary </w:t>
      </w:r>
      <w:r w:rsidR="00F14179" w:rsidRPr="00F14179">
        <w:rPr>
          <w:shd w:val="clear" w:color="auto" w:fill="FFFFFF"/>
        </w:rPr>
        <w:t>to</w:t>
      </w:r>
      <w:r w:rsidR="004C0F1A">
        <w:rPr>
          <w:i/>
          <w:iCs/>
          <w:shd w:val="clear" w:color="auto" w:fill="FFFFFF"/>
        </w:rPr>
        <w:t xml:space="preserve"> </w:t>
      </w:r>
      <w:r w:rsidR="00F14179">
        <w:rPr>
          <w:i/>
          <w:iCs/>
          <w:shd w:val="clear" w:color="auto" w:fill="FFFFFF"/>
        </w:rPr>
        <w:t>‘</w:t>
      </w:r>
      <w:r w:rsidR="004C0F1A" w:rsidRPr="00A6109B">
        <w:rPr>
          <w:i/>
          <w:iCs/>
          <w:shd w:val="clear" w:color="auto" w:fill="FFFFFF"/>
        </w:rPr>
        <w:t>encourage train operators to focus on serving travellers</w:t>
      </w:r>
      <w:r w:rsidR="00F14179">
        <w:rPr>
          <w:i/>
          <w:iCs/>
          <w:shd w:val="clear" w:color="auto" w:fill="FFFFFF"/>
        </w:rPr>
        <w:t xml:space="preserve">’ </w:t>
      </w:r>
      <w:r w:rsidR="00F14179" w:rsidRPr="00F14179">
        <w:rPr>
          <w:shd w:val="clear" w:color="auto" w:fill="FFFFFF"/>
        </w:rPr>
        <w:t>and not be distracted by infrastructure.</w:t>
      </w:r>
      <w:r w:rsidR="00CC3696">
        <w:rPr>
          <w:rStyle w:val="FootnoteReference"/>
        </w:rPr>
        <w:footnoteReference w:id="116"/>
      </w:r>
      <w:r w:rsidR="00253C25">
        <w:t xml:space="preserve">  </w:t>
      </w:r>
    </w:p>
    <w:p w14:paraId="285324C4" w14:textId="77777777" w:rsidR="0001031D" w:rsidRDefault="0001031D" w:rsidP="00931787">
      <w:pPr>
        <w:spacing w:after="0"/>
      </w:pPr>
    </w:p>
    <w:p w14:paraId="2BC7EDDB" w14:textId="307AE2F2" w:rsidR="00517034" w:rsidRDefault="001E7C10" w:rsidP="00931787">
      <w:pPr>
        <w:spacing w:after="0"/>
      </w:pPr>
      <w:r>
        <w:t>It</w:t>
      </w:r>
      <w:r w:rsidR="00CC3696">
        <w:t xml:space="preserve"> took effect in 2013, with the new organisation called Sydney Trains.  In fact</w:t>
      </w:r>
      <w:r w:rsidR="00402E88">
        <w:t>,</w:t>
      </w:r>
      <w:r w:rsidR="00CC3696">
        <w:t xml:space="preserve"> </w:t>
      </w:r>
      <w:r w:rsidR="004514AD">
        <w:t xml:space="preserve">maintenance </w:t>
      </w:r>
      <w:r w:rsidR="00402E88">
        <w:t xml:space="preserve">and timetabling </w:t>
      </w:r>
      <w:r w:rsidR="00CC3696">
        <w:t xml:space="preserve">functions </w:t>
      </w:r>
      <w:r w:rsidR="00865C58">
        <w:t xml:space="preserve">were </w:t>
      </w:r>
      <w:r w:rsidR="00CC3696">
        <w:t xml:space="preserve">also </w:t>
      </w:r>
      <w:r w:rsidR="00865C58">
        <w:t xml:space="preserve">removed </w:t>
      </w:r>
      <w:r w:rsidR="004514AD">
        <w:t>from RailCorp</w:t>
      </w:r>
      <w:r w:rsidR="00402E88">
        <w:t xml:space="preserve"> – the former to </w:t>
      </w:r>
      <w:r w:rsidR="00E8744E">
        <w:t>Sydney Trains</w:t>
      </w:r>
      <w:r w:rsidR="00402E88">
        <w:t>, the latter to Transport for NSW</w:t>
      </w:r>
      <w:r w:rsidR="004514AD">
        <w:t xml:space="preserve">.  </w:t>
      </w:r>
    </w:p>
    <w:p w14:paraId="0EA872FF" w14:textId="77777777" w:rsidR="00517034" w:rsidRDefault="00517034" w:rsidP="00931787">
      <w:pPr>
        <w:spacing w:after="0"/>
      </w:pPr>
    </w:p>
    <w:p w14:paraId="01612605" w14:textId="3074921A" w:rsidR="00424DFE" w:rsidRDefault="00517034" w:rsidP="00931787">
      <w:pPr>
        <w:spacing w:after="0"/>
      </w:pPr>
      <w:r>
        <w:t xml:space="preserve">The changes left </w:t>
      </w:r>
      <w:r w:rsidR="00865C58">
        <w:t>RailCorp</w:t>
      </w:r>
      <w:r w:rsidR="004514AD">
        <w:t xml:space="preserve"> </w:t>
      </w:r>
      <w:r>
        <w:t xml:space="preserve">as </w:t>
      </w:r>
      <w:r w:rsidR="004514AD">
        <w:t>a</w:t>
      </w:r>
      <w:r w:rsidR="009104EA">
        <w:t>n</w:t>
      </w:r>
      <w:r w:rsidR="004514AD">
        <w:t xml:space="preserve"> asset owner</w:t>
      </w:r>
      <w:r>
        <w:t xml:space="preserve"> which did not conduct maintenance.  T</w:t>
      </w:r>
      <w:r w:rsidR="00B8632A">
        <w:t>hus</w:t>
      </w:r>
      <w:r>
        <w:t>,</w:t>
      </w:r>
      <w:r w:rsidR="00B8632A">
        <w:t xml:space="preserve"> assets were effectively split from maintenance</w:t>
      </w:r>
      <w:r w:rsidR="00402E88">
        <w:t>.  Network control was split, with part not conducted by the train operator</w:t>
      </w:r>
      <w:r w:rsidR="006A69B5">
        <w:t>.</w:t>
      </w:r>
      <w:r w:rsidR="00B8632A">
        <w:rPr>
          <w:rStyle w:val="FootnoteReference"/>
        </w:rPr>
        <w:footnoteReference w:id="117"/>
      </w:r>
      <w:r w:rsidR="006A69B5">
        <w:t xml:space="preserve">  </w:t>
      </w:r>
    </w:p>
    <w:p w14:paraId="146AA28E" w14:textId="77777777" w:rsidR="00424DFE" w:rsidRDefault="00424DFE" w:rsidP="00931787">
      <w:pPr>
        <w:spacing w:after="0"/>
      </w:pPr>
    </w:p>
    <w:p w14:paraId="6621ECB4" w14:textId="7FEAF1C1" w:rsidR="00865C58" w:rsidRDefault="00865C58" w:rsidP="00931787">
      <w:pPr>
        <w:spacing w:after="0"/>
      </w:pPr>
      <w:r>
        <w:t>The changes were almost diametrically opposed to Glenbrook (interim report 2) recommendations 1 and 3.   The o</w:t>
      </w:r>
      <w:r w:rsidR="00601DC6">
        <w:t xml:space="preserve">nly element of those recommendations not contradicted </w:t>
      </w:r>
      <w:r w:rsidR="00424DFE">
        <w:t xml:space="preserve">by the changes: </w:t>
      </w:r>
      <w:r w:rsidR="00601DC6">
        <w:t xml:space="preserve">the organisations were </w:t>
      </w:r>
      <w:r w:rsidR="00424DFE">
        <w:t xml:space="preserve">not </w:t>
      </w:r>
      <w:r w:rsidR="00601DC6">
        <w:t>then State-owned corporation</w:t>
      </w:r>
      <w:r w:rsidR="00424DFE">
        <w:t>s</w:t>
      </w:r>
      <w:r w:rsidR="00601DC6">
        <w:t>.</w:t>
      </w:r>
      <w:r w:rsidR="00601DC6">
        <w:rPr>
          <w:rStyle w:val="FootnoteReference"/>
        </w:rPr>
        <w:footnoteReference w:id="118"/>
      </w:r>
    </w:p>
    <w:p w14:paraId="37F593E9" w14:textId="63381740" w:rsidR="00D31549" w:rsidRDefault="00D31549" w:rsidP="00931787">
      <w:pPr>
        <w:spacing w:after="0"/>
      </w:pPr>
    </w:p>
    <w:p w14:paraId="31FF0392" w14:textId="75613B7F" w:rsidR="008308A9" w:rsidRDefault="00D31549" w:rsidP="00931787">
      <w:pPr>
        <w:spacing w:after="0"/>
      </w:pPr>
      <w:r>
        <w:t xml:space="preserve">The changes </w:t>
      </w:r>
      <w:r w:rsidR="00424DFE">
        <w:t>may</w:t>
      </w:r>
      <w:r>
        <w:t xml:space="preserve"> have been enabled by amendments to the </w:t>
      </w:r>
      <w:r w:rsidRPr="00424DFE">
        <w:rPr>
          <w:i/>
          <w:iCs/>
        </w:rPr>
        <w:t>Transport Administration Act (1988)</w:t>
      </w:r>
      <w:r>
        <w:t xml:space="preserve"> in 2011</w:t>
      </w:r>
      <w:r w:rsidR="001E7C10">
        <w:t>,</w:t>
      </w:r>
      <w:r w:rsidR="0076022F">
        <w:t xml:space="preserve"> some months after Ms </w:t>
      </w:r>
      <w:r w:rsidR="008308A9">
        <w:t>Berejiklian</w:t>
      </w:r>
      <w:r w:rsidR="0076022F">
        <w:t xml:space="preserve"> became Transport Minister</w:t>
      </w:r>
      <w:r w:rsidR="00517034">
        <w:t>.</w:t>
      </w:r>
      <w:r w:rsidR="009D5EAB">
        <w:t xml:space="preserve">  </w:t>
      </w:r>
    </w:p>
    <w:p w14:paraId="5E0A0240" w14:textId="77777777" w:rsidR="008308A9" w:rsidRDefault="008308A9" w:rsidP="00931787">
      <w:pPr>
        <w:spacing w:after="0"/>
      </w:pPr>
    </w:p>
    <w:p w14:paraId="46D838D9" w14:textId="3F0AF5DE" w:rsidR="009D5EAB" w:rsidRDefault="009D5EAB" w:rsidP="00931787">
      <w:pPr>
        <w:spacing w:after="0"/>
      </w:pPr>
      <w:r>
        <w:t xml:space="preserve">However, </w:t>
      </w:r>
      <w:r w:rsidR="00C25187">
        <w:t xml:space="preserve">in </w:t>
      </w:r>
      <w:r>
        <w:t xml:space="preserve">the second reading speech </w:t>
      </w:r>
      <w:r w:rsidR="00D418B7">
        <w:t xml:space="preserve">23 August 2011, the Minister with carriage for the </w:t>
      </w:r>
      <w:r w:rsidR="001E7C10">
        <w:t>amendments</w:t>
      </w:r>
      <w:r w:rsidR="00D418B7">
        <w:t>, the Hon. Duncan Gay MLC</w:t>
      </w:r>
      <w:r w:rsidR="001E7C10">
        <w:t>,</w:t>
      </w:r>
      <w:r w:rsidR="00D418B7">
        <w:t xml:space="preserve"> </w:t>
      </w:r>
      <w:r>
        <w:t>said the opposite</w:t>
      </w:r>
      <w:r w:rsidR="0076022F">
        <w:t>.  He said there would be no such change</w:t>
      </w:r>
      <w:r>
        <w:t>:</w:t>
      </w:r>
    </w:p>
    <w:p w14:paraId="0BBC690A" w14:textId="42A5C30D" w:rsidR="009D5EAB" w:rsidRDefault="009D5EAB" w:rsidP="00931787">
      <w:pPr>
        <w:pStyle w:val="FootnoteText"/>
        <w:ind w:left="720"/>
      </w:pPr>
      <w:r w:rsidRPr="009D5EAB">
        <w:rPr>
          <w:i/>
          <w:iCs/>
          <w:sz w:val="22"/>
          <w:szCs w:val="22"/>
        </w:rPr>
        <w:t>‘The existing publicly owned transport service providers will continue to own and maintain the assets, liabilities, rights and obligations to their transport services…..’</w:t>
      </w:r>
      <w:r>
        <w:t xml:space="preserve"> </w:t>
      </w:r>
      <w:r>
        <w:rPr>
          <w:rStyle w:val="FootnoteReference"/>
        </w:rPr>
        <w:footnoteReference w:id="119"/>
      </w:r>
    </w:p>
    <w:p w14:paraId="23732F86" w14:textId="77777777" w:rsidR="003577B9" w:rsidRDefault="003577B9" w:rsidP="00931787">
      <w:pPr>
        <w:spacing w:after="0"/>
      </w:pPr>
    </w:p>
    <w:p w14:paraId="207BFF5D" w14:textId="153824D9" w:rsidR="00865C58" w:rsidRDefault="001E7C10" w:rsidP="00931787">
      <w:pPr>
        <w:spacing w:after="0"/>
      </w:pPr>
      <w:r>
        <w:t>The</w:t>
      </w:r>
      <w:r w:rsidR="00517034">
        <w:t xml:space="preserve"> May 2012</w:t>
      </w:r>
      <w:r>
        <w:t xml:space="preserve"> actions did not match that</w:t>
      </w:r>
      <w:r w:rsidR="00517034">
        <w:t xml:space="preserve"> </w:t>
      </w:r>
      <w:r w:rsidR="009104EA">
        <w:t>statement</w:t>
      </w:r>
      <w:r w:rsidR="00517034">
        <w:t>.</w:t>
      </w:r>
      <w:r>
        <w:t xml:space="preserve">  </w:t>
      </w:r>
      <w:r w:rsidR="00424DFE">
        <w:t xml:space="preserve">Neither the second reading speech, nor the ‘fixing the trains’ announcement referred to the </w:t>
      </w:r>
      <w:r w:rsidR="00F14179">
        <w:t>Glenbrook or Waterfall crash</w:t>
      </w:r>
      <w:r w:rsidR="00424DFE">
        <w:t xml:space="preserve"> Commissions.</w:t>
      </w:r>
      <w:r w:rsidR="00510921">
        <w:t xml:space="preserve">  </w:t>
      </w:r>
    </w:p>
    <w:p w14:paraId="534F22D5" w14:textId="77777777" w:rsidR="00424DFE" w:rsidRDefault="00424DFE" w:rsidP="00931787">
      <w:pPr>
        <w:spacing w:after="0"/>
      </w:pPr>
    </w:p>
    <w:p w14:paraId="0AD9B451" w14:textId="2B49EE0D" w:rsidR="00F72E5D" w:rsidRDefault="008308A9" w:rsidP="00931787">
      <w:pPr>
        <w:spacing w:after="0"/>
      </w:pPr>
      <w:r>
        <w:t xml:space="preserve">Removing assets from </w:t>
      </w:r>
      <w:r w:rsidR="00F72E5D">
        <w:t xml:space="preserve">rail service providers owning assets </w:t>
      </w:r>
      <w:r w:rsidR="00865C58">
        <w:t xml:space="preserve">was not the only </w:t>
      </w:r>
      <w:r w:rsidR="00F72E5D">
        <w:t xml:space="preserve">radical change in </w:t>
      </w:r>
      <w:r w:rsidR="0076022F">
        <w:t xml:space="preserve">rail </w:t>
      </w:r>
      <w:r w:rsidR="00F72E5D">
        <w:t xml:space="preserve">policy </w:t>
      </w:r>
      <w:r w:rsidR="00E1770C">
        <w:t xml:space="preserve">between late 2011 and mid-2012 </w:t>
      </w:r>
      <w:r w:rsidR="00510921">
        <w:t>which i</w:t>
      </w:r>
      <w:r w:rsidR="00F72E5D">
        <w:t>gnor</w:t>
      </w:r>
      <w:r w:rsidR="001E7C10">
        <w:t>ed</w:t>
      </w:r>
      <w:r w:rsidR="00F72E5D">
        <w:t xml:space="preserve"> key information</w:t>
      </w:r>
      <w:r w:rsidR="00E1770C">
        <w:t>.</w:t>
      </w:r>
    </w:p>
    <w:p w14:paraId="30BF7F94" w14:textId="5CE855A1" w:rsidR="00F72E5D" w:rsidRDefault="00F72E5D" w:rsidP="00931787">
      <w:pPr>
        <w:spacing w:after="0"/>
      </w:pPr>
    </w:p>
    <w:p w14:paraId="5829DED9" w14:textId="1026B267" w:rsidR="00517034" w:rsidRDefault="003D6C0A" w:rsidP="00931787">
      <w:pPr>
        <w:pStyle w:val="Heading4"/>
      </w:pPr>
      <w:r>
        <w:t>4.6.2</w:t>
      </w:r>
      <w:r w:rsidR="00DE35E1">
        <w:tab/>
      </w:r>
      <w:r w:rsidR="00517034">
        <w:t>2012 – anothe</w:t>
      </w:r>
      <w:r w:rsidR="00532D0E">
        <w:t>r</w:t>
      </w:r>
      <w:r w:rsidR="00517034">
        <w:t xml:space="preserve"> change of intention</w:t>
      </w:r>
      <w:r w:rsidR="00510921">
        <w:t xml:space="preserve"> conflicting with </w:t>
      </w:r>
      <w:r w:rsidR="008D0630">
        <w:t xml:space="preserve">public </w:t>
      </w:r>
      <w:r w:rsidR="00510921">
        <w:t>advice</w:t>
      </w:r>
    </w:p>
    <w:p w14:paraId="4218F91E" w14:textId="11D6EF37" w:rsidR="00517034" w:rsidRDefault="00E1770C" w:rsidP="00931787">
      <w:pPr>
        <w:spacing w:after="0"/>
      </w:pPr>
      <w:r>
        <w:t>R</w:t>
      </w:r>
      <w:r w:rsidR="00487244">
        <w:t>eaders may recall reports</w:t>
      </w:r>
      <w:r w:rsidR="004B2FEE">
        <w:t xml:space="preserve"> Minister </w:t>
      </w:r>
      <w:r w:rsidR="00487244">
        <w:t>Berejiklian ‘confirmed’ in April 2011 that the North-West Rail Link would have ‘</w:t>
      </w:r>
      <w:r w:rsidR="00487244" w:rsidRPr="00487244">
        <w:rPr>
          <w:i/>
          <w:iCs/>
        </w:rPr>
        <w:t>standard double-decked trains</w:t>
      </w:r>
      <w:r w:rsidR="00487244">
        <w:t>’ as ‘</w:t>
      </w:r>
      <w:r w:rsidR="00487244" w:rsidRPr="00487244">
        <w:rPr>
          <w:i/>
          <w:iCs/>
        </w:rPr>
        <w:t>a heavy rail link’</w:t>
      </w:r>
      <w:r w:rsidR="00517034">
        <w:rPr>
          <w:i/>
          <w:iCs/>
        </w:rPr>
        <w:t xml:space="preserve">.  </w:t>
      </w:r>
      <w:r w:rsidR="00FB5C66">
        <w:t xml:space="preserve"> </w:t>
      </w:r>
      <w:r w:rsidR="00517034">
        <w:t>I</w:t>
      </w:r>
      <w:r w:rsidR="00FB5C66">
        <w:t>n December 2011</w:t>
      </w:r>
      <w:r w:rsidR="0076022F">
        <w:t>,</w:t>
      </w:r>
      <w:r w:rsidR="00FB5C66">
        <w:t xml:space="preserve"> </w:t>
      </w:r>
      <w:r w:rsidR="00517034">
        <w:t xml:space="preserve">she </w:t>
      </w:r>
      <w:r w:rsidR="00FB5C66">
        <w:t>sa</w:t>
      </w:r>
      <w:r w:rsidR="004B2FEE">
        <w:t>id</w:t>
      </w:r>
      <w:r w:rsidR="00FB5C66">
        <w:t xml:space="preserve"> it would ‘</w:t>
      </w:r>
      <w:r w:rsidR="00FB5C66" w:rsidRPr="00F72E5D">
        <w:rPr>
          <w:i/>
          <w:iCs/>
        </w:rPr>
        <w:t>link with Sydney’s CityRail network</w:t>
      </w:r>
      <w:r w:rsidR="00F72E5D">
        <w:rPr>
          <w:i/>
          <w:iCs/>
        </w:rPr>
        <w:t>’</w:t>
      </w:r>
      <w:r w:rsidR="00FB5C66">
        <w:t>.</w:t>
      </w:r>
      <w:r w:rsidR="00F72E5D">
        <w:t xml:space="preserve">  </w:t>
      </w:r>
    </w:p>
    <w:p w14:paraId="1EF1091A" w14:textId="77777777" w:rsidR="00517034" w:rsidRDefault="00517034" w:rsidP="00931787">
      <w:pPr>
        <w:spacing w:after="0"/>
      </w:pPr>
    </w:p>
    <w:p w14:paraId="70F149B4" w14:textId="5319C6EB" w:rsidR="00F72E5D" w:rsidRDefault="00FB5C66" w:rsidP="00931787">
      <w:pPr>
        <w:spacing w:after="0"/>
      </w:pPr>
      <w:r>
        <w:t xml:space="preserve">By June 2012, this had changed </w:t>
      </w:r>
      <w:r w:rsidR="00F72E5D">
        <w:t xml:space="preserve">with </w:t>
      </w:r>
      <w:r w:rsidR="004B2FEE">
        <w:t>Minister</w:t>
      </w:r>
      <w:r w:rsidR="00F72E5D">
        <w:t xml:space="preserve"> Berejiklian writing the North West Rai</w:t>
      </w:r>
      <w:r w:rsidR="004B2FEE">
        <w:t>l</w:t>
      </w:r>
      <w:r w:rsidR="00F72E5D">
        <w:t xml:space="preserve"> Link </w:t>
      </w:r>
      <w:r w:rsidR="004B2FEE">
        <w:t xml:space="preserve">would </w:t>
      </w:r>
      <w:r w:rsidR="00F72E5D">
        <w:t>having single deck rapid transit trains</w:t>
      </w:r>
      <w:r w:rsidR="004B2FEE">
        <w:t>.  W</w:t>
      </w:r>
      <w:r w:rsidR="00F72E5D">
        <w:t xml:space="preserve">hile the </w:t>
      </w:r>
      <w:r w:rsidR="004B2FEE">
        <w:t xml:space="preserve">relevant </w:t>
      </w:r>
      <w:r w:rsidR="00F72E5D">
        <w:t xml:space="preserve">document implied </w:t>
      </w:r>
      <w:r w:rsidR="004B2FEE">
        <w:t>i</w:t>
      </w:r>
      <w:r w:rsidR="00F72E5D">
        <w:t>t would link to the existing rail network, in fact it was designed to permanently prevent a connection</w:t>
      </w:r>
      <w:r w:rsidR="004B2FEE">
        <w:t xml:space="preserve"> via ‘bespoke’ Sydney Metro</w:t>
      </w:r>
      <w:r w:rsidR="00F72E5D">
        <w:t>.</w:t>
      </w:r>
      <w:r w:rsidR="00F72E5D">
        <w:rPr>
          <w:rStyle w:val="FootnoteReference"/>
        </w:rPr>
        <w:footnoteReference w:id="120"/>
      </w:r>
    </w:p>
    <w:p w14:paraId="2A75B2E7" w14:textId="77777777" w:rsidR="00F72E5D" w:rsidRDefault="00F72E5D" w:rsidP="00931787">
      <w:pPr>
        <w:spacing w:after="0"/>
      </w:pPr>
    </w:p>
    <w:p w14:paraId="2B8C2132" w14:textId="77777777" w:rsidR="009104EA" w:rsidRDefault="004B2FEE" w:rsidP="00931787">
      <w:pPr>
        <w:spacing w:after="0"/>
      </w:pPr>
      <w:r>
        <w:t xml:space="preserve">Careful readers would remember Government </w:t>
      </w:r>
      <w:r w:rsidR="0076022F">
        <w:t>a</w:t>
      </w:r>
      <w:r>
        <w:t xml:space="preserve">nnouncements and documents </w:t>
      </w:r>
      <w:r w:rsidR="0076022F">
        <w:t xml:space="preserve">about rail – particularly about Sydney Metro - </w:t>
      </w:r>
      <w:r>
        <w:t>failed to acknowledge a very</w:t>
      </w:r>
      <w:r w:rsidR="006A69B5">
        <w:t xml:space="preserve"> </w:t>
      </w:r>
      <w:r w:rsidR="00385C4D">
        <w:t>public warning</w:t>
      </w:r>
      <w:r w:rsidR="006A69B5">
        <w:t xml:space="preserve"> </w:t>
      </w:r>
      <w:r w:rsidR="000246CE">
        <w:t xml:space="preserve">about rail planning </w:t>
      </w:r>
      <w:r w:rsidR="006A69B5">
        <w:t xml:space="preserve">issued </w:t>
      </w:r>
      <w:r w:rsidR="003C3906">
        <w:t xml:space="preserve">in 2010 </w:t>
      </w:r>
      <w:r w:rsidR="006A69B5">
        <w:t>by an inquiry led by former Co-ordinator General</w:t>
      </w:r>
      <w:r w:rsidR="00194A84">
        <w:t xml:space="preserve"> Mr Christie</w:t>
      </w:r>
      <w:r w:rsidR="00385C4D">
        <w:t>.</w:t>
      </w:r>
    </w:p>
    <w:p w14:paraId="455D336A" w14:textId="25EA60B1" w:rsidR="00F14179" w:rsidRDefault="00385C4D" w:rsidP="00931787">
      <w:pPr>
        <w:spacing w:after="0"/>
      </w:pPr>
      <w:r>
        <w:t xml:space="preserve">  </w:t>
      </w:r>
    </w:p>
    <w:p w14:paraId="410C1209" w14:textId="0B84649D" w:rsidR="0076022F" w:rsidRDefault="00385C4D" w:rsidP="00931787">
      <w:pPr>
        <w:spacing w:after="0"/>
      </w:pPr>
      <w:r>
        <w:t xml:space="preserve">The caution </w:t>
      </w:r>
      <w:r w:rsidR="009104EA">
        <w:t xml:space="preserve">from Mr Christie </w:t>
      </w:r>
      <w:r>
        <w:t xml:space="preserve">was </w:t>
      </w:r>
      <w:r w:rsidR="006A69B5">
        <w:t xml:space="preserve">to ensure </w:t>
      </w:r>
      <w:r>
        <w:t xml:space="preserve">the route and dimensions of another </w:t>
      </w:r>
      <w:r w:rsidR="006A69B5">
        <w:t>harbour crossing</w:t>
      </w:r>
      <w:r>
        <w:t>-CBD line</w:t>
      </w:r>
      <w:r w:rsidR="006A69B5">
        <w:t xml:space="preserve"> </w:t>
      </w:r>
      <w:r>
        <w:t xml:space="preserve">would enhance rather than permanently jeopardise the commuter rail network.  </w:t>
      </w:r>
    </w:p>
    <w:p w14:paraId="06E34CF9" w14:textId="77777777" w:rsidR="00402E88" w:rsidRDefault="00402E88" w:rsidP="00931787">
      <w:pPr>
        <w:spacing w:after="0"/>
      </w:pPr>
    </w:p>
    <w:p w14:paraId="3EB470D1" w14:textId="4248C895" w:rsidR="004514AD" w:rsidRDefault="004B2FEE" w:rsidP="00931787">
      <w:pPr>
        <w:spacing w:after="0"/>
      </w:pPr>
      <w:r>
        <w:t xml:space="preserve">Also </w:t>
      </w:r>
      <w:r w:rsidR="003C3906">
        <w:t xml:space="preserve">apparently </w:t>
      </w:r>
      <w:r>
        <w:t xml:space="preserve">ignored </w:t>
      </w:r>
      <w:r w:rsidR="0076022F">
        <w:t xml:space="preserve">in policy making </w:t>
      </w:r>
      <w:r>
        <w:t>were expert report</w:t>
      </w:r>
      <w:r w:rsidR="003C3906">
        <w:t>s</w:t>
      </w:r>
      <w:r>
        <w:t xml:space="preserve"> for Transport for NSW</w:t>
      </w:r>
      <w:r w:rsidR="003C3906">
        <w:t xml:space="preserve"> (2011) and Infrastructure NSW (2012), and a report by Infrastructure NSW (2012).</w:t>
      </w:r>
      <w:r w:rsidR="00E1770C">
        <w:t xml:space="preserve">  A result is </w:t>
      </w:r>
      <w:r w:rsidR="008308A9">
        <w:t>the transport planning disaster centring on Sydney Metro.</w:t>
      </w:r>
      <w:r w:rsidR="00385C4D">
        <w:rPr>
          <w:rStyle w:val="FootnoteReference"/>
        </w:rPr>
        <w:footnoteReference w:id="121"/>
      </w:r>
      <w:r w:rsidR="004514AD">
        <w:t xml:space="preserve">  </w:t>
      </w:r>
    </w:p>
    <w:p w14:paraId="224EC4F8" w14:textId="5CFEBD7A" w:rsidR="0086428B" w:rsidRDefault="0086428B" w:rsidP="00931787">
      <w:pPr>
        <w:spacing w:after="0"/>
      </w:pPr>
    </w:p>
    <w:p w14:paraId="33B7E503" w14:textId="758D8ACF" w:rsidR="00D335A6" w:rsidRDefault="003D6C0A" w:rsidP="00931787">
      <w:pPr>
        <w:pStyle w:val="Heading4"/>
      </w:pPr>
      <w:r>
        <w:t>4.6</w:t>
      </w:r>
      <w:r w:rsidR="00DE35E1">
        <w:t>.3</w:t>
      </w:r>
      <w:r w:rsidR="00DE35E1">
        <w:tab/>
      </w:r>
      <w:r w:rsidR="00D335A6">
        <w:t>2017 legislation</w:t>
      </w:r>
    </w:p>
    <w:p w14:paraId="6A3DC3A6" w14:textId="721E78B8" w:rsidR="008B018F" w:rsidRDefault="00E8744E" w:rsidP="00931787">
      <w:pPr>
        <w:spacing w:after="0"/>
      </w:pPr>
      <w:r>
        <w:t xml:space="preserve">Further </w:t>
      </w:r>
      <w:r w:rsidR="000246CE">
        <w:t xml:space="preserve">changes </w:t>
      </w:r>
      <w:r w:rsidR="00385C4D">
        <w:t xml:space="preserve">to commuter </w:t>
      </w:r>
      <w:r w:rsidR="001E153F">
        <w:t>rail governance</w:t>
      </w:r>
      <w:r w:rsidR="00385C4D">
        <w:t xml:space="preserve"> saw</w:t>
      </w:r>
      <w:r>
        <w:t xml:space="preserve"> </w:t>
      </w:r>
      <w:r w:rsidR="004514AD">
        <w:t xml:space="preserve">Sydney Trains became </w:t>
      </w:r>
      <w:r w:rsidR="001E153F">
        <w:t xml:space="preserve">notionally </w:t>
      </w:r>
      <w:r w:rsidR="004514AD">
        <w:t xml:space="preserve">independent </w:t>
      </w:r>
      <w:r w:rsidR="001E153F">
        <w:t xml:space="preserve">of RailCorp in preparation for, and </w:t>
      </w:r>
      <w:r w:rsidR="006A69B5">
        <w:t>under the legislation t</w:t>
      </w:r>
      <w:r w:rsidR="009104EA">
        <w:t>o</w:t>
      </w:r>
      <w:r w:rsidR="006A69B5">
        <w:t xml:space="preserve"> establish</w:t>
      </w:r>
      <w:r w:rsidR="001E153F">
        <w:t>,</w:t>
      </w:r>
      <w:r w:rsidR="006A69B5">
        <w:t xml:space="preserve"> the Entity.</w:t>
      </w:r>
      <w:r w:rsidR="006A69B5">
        <w:rPr>
          <w:rStyle w:val="FootnoteReference"/>
        </w:rPr>
        <w:footnoteReference w:id="122"/>
      </w:r>
    </w:p>
    <w:p w14:paraId="2511F4EE" w14:textId="590C9AD6" w:rsidR="000E260E" w:rsidRDefault="000E260E" w:rsidP="00931787">
      <w:pPr>
        <w:spacing w:after="0"/>
      </w:pPr>
    </w:p>
    <w:p w14:paraId="45D6C337" w14:textId="77777777" w:rsidR="0084482E" w:rsidRDefault="009104EA" w:rsidP="00931787">
      <w:pPr>
        <w:spacing w:after="0"/>
      </w:pPr>
      <w:r>
        <w:t>The 2016 Cabinet submission appears to be the first p</w:t>
      </w:r>
      <w:r w:rsidR="001E153F">
        <w:t>ublic document</w:t>
      </w:r>
      <w:r>
        <w:t xml:space="preserve"> </w:t>
      </w:r>
      <w:r w:rsidR="001E153F">
        <w:t>explicit</w:t>
      </w:r>
      <w:r>
        <w:t>ly making</w:t>
      </w:r>
      <w:r w:rsidR="001E153F">
        <w:t xml:space="preserve"> the mistake – ‘don’t split maintenance from operations’ instead of ‘don’t split maintenance from assets</w:t>
      </w:r>
      <w:r w:rsidR="00F14179">
        <w:t>’</w:t>
      </w:r>
      <w:r w:rsidR="001E153F">
        <w:t xml:space="preserve">.  </w:t>
      </w:r>
    </w:p>
    <w:p w14:paraId="73DE5F92" w14:textId="77777777" w:rsidR="0084482E" w:rsidRDefault="0084482E" w:rsidP="00931787">
      <w:pPr>
        <w:spacing w:after="0"/>
      </w:pPr>
    </w:p>
    <w:p w14:paraId="28F7E650" w14:textId="1DF5918A" w:rsidR="0084482E" w:rsidRDefault="00874FBF" w:rsidP="00931787">
      <w:pPr>
        <w:spacing w:after="0"/>
      </w:pPr>
      <w:r>
        <w:lastRenderedPageBreak/>
        <w:t xml:space="preserve">Apparently </w:t>
      </w:r>
      <w:r w:rsidR="00402E88">
        <w:t>authored by Transport Minister Constance and Treasurer Berejiklian</w:t>
      </w:r>
      <w:r>
        <w:t>,</w:t>
      </w:r>
      <w:r w:rsidR="001E153F">
        <w:t xml:space="preserve"> </w:t>
      </w:r>
      <w:r>
        <w:t>it</w:t>
      </w:r>
      <w:r w:rsidR="001E153F">
        <w:t xml:space="preserve"> sought approval for the 2017 legislation</w:t>
      </w:r>
      <w:r w:rsidR="00402E88">
        <w:t xml:space="preserve">.  </w:t>
      </w:r>
    </w:p>
    <w:p w14:paraId="70DD19FF" w14:textId="77777777" w:rsidR="00190B21" w:rsidRDefault="00190B21" w:rsidP="00931787">
      <w:pPr>
        <w:spacing w:after="0"/>
      </w:pPr>
    </w:p>
    <w:p w14:paraId="466E71F6" w14:textId="3505576E" w:rsidR="00402E88" w:rsidRDefault="00533B18" w:rsidP="00931787">
      <w:pPr>
        <w:spacing w:after="0"/>
      </w:pPr>
      <w:r>
        <w:t xml:space="preserve">The Policy SPAD article noted then Treasurer Perrottet’s second reading speech </w:t>
      </w:r>
      <w:r w:rsidR="00874FBF">
        <w:t xml:space="preserve">for that legislation </w:t>
      </w:r>
      <w:r>
        <w:t>explicitly mentioned the split of maintenance from assets as a way to generate profits(!):</w:t>
      </w:r>
    </w:p>
    <w:p w14:paraId="2686FAA2" w14:textId="77777777" w:rsidR="00533B18" w:rsidRPr="00BF6389" w:rsidRDefault="00533B18" w:rsidP="00931787">
      <w:pPr>
        <w:spacing w:after="0" w:line="240" w:lineRule="auto"/>
        <w:ind w:left="720"/>
        <w:textAlignment w:val="baseline"/>
        <w:rPr>
          <w:rStyle w:val="normal-h"/>
          <w:rFonts w:cs="Arial"/>
        </w:rPr>
      </w:pPr>
      <w:r>
        <w:rPr>
          <w:rStyle w:val="normal-h"/>
          <w:rFonts w:cs="Arial"/>
          <w:i/>
          <w:iCs/>
        </w:rPr>
        <w:t>‘</w:t>
      </w:r>
      <w:r w:rsidRPr="00BF6389">
        <w:rPr>
          <w:rStyle w:val="normal-h"/>
          <w:rFonts w:cs="Arial"/>
          <w:i/>
          <w:iCs/>
        </w:rPr>
        <w:t>a clear delineation between a publicly owned asset holder and the State as a direct service provider</w:t>
      </w:r>
      <w:r>
        <w:rPr>
          <w:rStyle w:val="normal-h"/>
          <w:rFonts w:cs="Arial"/>
          <w:i/>
          <w:iCs/>
        </w:rPr>
        <w:t>.</w:t>
      </w:r>
      <w:r w:rsidRPr="00BF6389">
        <w:rPr>
          <w:rStyle w:val="normal-h"/>
          <w:rFonts w:cs="Arial"/>
          <w:i/>
          <w:iCs/>
        </w:rPr>
        <w:t>’</w:t>
      </w:r>
      <w:r w:rsidRPr="00BF6389">
        <w:rPr>
          <w:rStyle w:val="normal-h"/>
          <w:rFonts w:cs="Arial"/>
        </w:rPr>
        <w:t xml:space="preserve"> </w:t>
      </w:r>
    </w:p>
    <w:p w14:paraId="5C0EEB4B" w14:textId="77777777" w:rsidR="00533B18" w:rsidRDefault="00533B18" w:rsidP="00931787">
      <w:pPr>
        <w:spacing w:after="0"/>
      </w:pPr>
    </w:p>
    <w:p w14:paraId="02A2D4BB" w14:textId="68FD3250" w:rsidR="00402E88" w:rsidRDefault="00402E88" w:rsidP="00931787">
      <w:pPr>
        <w:spacing w:after="0"/>
      </w:pPr>
      <w:r>
        <w:t xml:space="preserve">Ms Berejiklian was former Transport Minister and shadow Minister in Opposition.  </w:t>
      </w:r>
      <w:r w:rsidR="00533B18">
        <w:t>With Mr Constance, t</w:t>
      </w:r>
      <w:r>
        <w:t xml:space="preserve">heir combined time in the transport portfolio was 9 ½ years.  During the period in opposition Ms Berejiklian, as Transport spokesperson, had cited recommendations of the </w:t>
      </w:r>
      <w:r w:rsidR="00F14179">
        <w:t>Glenbrook and Waterfall</w:t>
      </w:r>
      <w:r>
        <w:t xml:space="preserve"> Commissions.</w:t>
      </w:r>
      <w:r>
        <w:rPr>
          <w:rStyle w:val="FootnoteReference"/>
        </w:rPr>
        <w:footnoteReference w:id="123"/>
      </w:r>
    </w:p>
    <w:p w14:paraId="539CEE4A" w14:textId="77777777" w:rsidR="00402E88" w:rsidRDefault="00402E88" w:rsidP="00931787">
      <w:pPr>
        <w:spacing w:after="0"/>
      </w:pPr>
    </w:p>
    <w:p w14:paraId="22E85CC9" w14:textId="2405A638" w:rsidR="000E260E" w:rsidRDefault="000E260E" w:rsidP="00931787">
      <w:pPr>
        <w:spacing w:after="0"/>
      </w:pPr>
      <w:r>
        <w:t xml:space="preserve">Were the </w:t>
      </w:r>
      <w:r w:rsidR="00194A84">
        <w:t xml:space="preserve">2016 Cabinet submission to </w:t>
      </w:r>
      <w:r w:rsidR="006A69B5">
        <w:t xml:space="preserve">properly </w:t>
      </w:r>
      <w:r w:rsidR="00194A84">
        <w:t>advise</w:t>
      </w:r>
      <w:r>
        <w:t xml:space="preserve"> what the </w:t>
      </w:r>
      <w:r w:rsidR="00F14179">
        <w:t>crash</w:t>
      </w:r>
      <w:r w:rsidR="00194A84">
        <w:t xml:space="preserve"> Commissions</w:t>
      </w:r>
      <w:r>
        <w:t xml:space="preserve"> </w:t>
      </w:r>
      <w:r w:rsidR="009406DC">
        <w:t>actually recommended</w:t>
      </w:r>
      <w:r w:rsidR="005C516E">
        <w:t xml:space="preserve"> </w:t>
      </w:r>
      <w:r w:rsidR="00194A84">
        <w:t xml:space="preserve">it would likely have reflected adversely on the </w:t>
      </w:r>
      <w:r>
        <w:t xml:space="preserve">changes </w:t>
      </w:r>
      <w:r w:rsidR="001E153F">
        <w:t xml:space="preserve">that had already </w:t>
      </w:r>
      <w:r w:rsidR="00874FBF">
        <w:t>been made</w:t>
      </w:r>
      <w:r w:rsidR="001E153F">
        <w:t>.</w:t>
      </w:r>
      <w:r w:rsidR="00533B18">
        <w:t xml:space="preserve">  Almost certainly, Treasurer Perrottet would not have virtually boasted of measures in conflict with the Commissions</w:t>
      </w:r>
      <w:r w:rsidR="00F14179">
        <w:t>’</w:t>
      </w:r>
      <w:r w:rsidR="00533B18">
        <w:t xml:space="preserve"> recommendations.</w:t>
      </w:r>
    </w:p>
    <w:p w14:paraId="1F1B0386" w14:textId="6A62EC44" w:rsidR="000E260E" w:rsidRDefault="000E260E" w:rsidP="00931787">
      <w:pPr>
        <w:spacing w:after="0"/>
      </w:pPr>
    </w:p>
    <w:p w14:paraId="7B25931B" w14:textId="45380FBE" w:rsidR="00B06378" w:rsidRDefault="000E260E" w:rsidP="00931787">
      <w:pPr>
        <w:spacing w:after="0"/>
      </w:pPr>
      <w:r>
        <w:t xml:space="preserve">The </w:t>
      </w:r>
      <w:r w:rsidR="00533B18">
        <w:t xml:space="preserve">Transport </w:t>
      </w:r>
      <w:r>
        <w:t>Ministers and Transport for NSW had created a situation in which ownership of assets was seen as irrelevant to operations</w:t>
      </w:r>
      <w:r w:rsidR="00533B18">
        <w:t xml:space="preserve">, including – most likely – </w:t>
      </w:r>
      <w:r w:rsidR="00F14179">
        <w:t>by</w:t>
      </w:r>
      <w:r w:rsidR="00533B18">
        <w:t xml:space="preserve"> Treasurer</w:t>
      </w:r>
      <w:r w:rsidR="0084482E">
        <w:t xml:space="preserve"> Perrottet</w:t>
      </w:r>
      <w:r>
        <w:t xml:space="preserve">.  </w:t>
      </w:r>
    </w:p>
    <w:p w14:paraId="549804C5" w14:textId="77777777" w:rsidR="00337BB2" w:rsidRDefault="00337BB2" w:rsidP="00931787">
      <w:pPr>
        <w:spacing w:after="0"/>
      </w:pPr>
    </w:p>
    <w:p w14:paraId="0BEAE0EB" w14:textId="2FFF95E1" w:rsidR="000E260E" w:rsidRDefault="00393617" w:rsidP="00931787">
      <w:pPr>
        <w:spacing w:after="0"/>
      </w:pPr>
      <w:r>
        <w:t xml:space="preserve">Whatever the reason for separation of asset ownership from maintenance and operations, that reason did not require assets to be in </w:t>
      </w:r>
      <w:r w:rsidR="005C516E">
        <w:t>Transport for NSW</w:t>
      </w:r>
      <w:r>
        <w:t xml:space="preserve">.  </w:t>
      </w:r>
      <w:r w:rsidR="000E260E">
        <w:t xml:space="preserve">In those circumstances, it is little wonder Treasury sought control of those assets.  </w:t>
      </w:r>
    </w:p>
    <w:p w14:paraId="676E1CFE" w14:textId="77777777" w:rsidR="00337BB2" w:rsidRDefault="00337BB2" w:rsidP="00931787">
      <w:pPr>
        <w:spacing w:after="0"/>
      </w:pPr>
    </w:p>
    <w:p w14:paraId="02676FB0" w14:textId="40F89DE8" w:rsidR="00B94EE4" w:rsidRDefault="00B94EE4" w:rsidP="00931787">
      <w:pPr>
        <w:spacing w:after="0"/>
      </w:pPr>
      <w:r>
        <w:br w:type="page"/>
      </w:r>
    </w:p>
    <w:p w14:paraId="2137EAF1" w14:textId="43F26B21" w:rsidR="0060536F" w:rsidRDefault="003D6C0A" w:rsidP="00931787">
      <w:pPr>
        <w:pStyle w:val="Heading2"/>
      </w:pPr>
      <w:bookmarkStart w:id="24" w:name="_Toc93085770"/>
      <w:r>
        <w:lastRenderedPageBreak/>
        <w:t>5</w:t>
      </w:r>
      <w:r w:rsidR="00A752BF">
        <w:t>.</w:t>
      </w:r>
      <w:r w:rsidR="00A752BF">
        <w:tab/>
      </w:r>
      <w:r w:rsidR="005A5AE3">
        <w:t>Independent Pricing and Regulatory Tribunal</w:t>
      </w:r>
      <w:bookmarkEnd w:id="24"/>
    </w:p>
    <w:p w14:paraId="3F9BB00B" w14:textId="30E0BBF7" w:rsidR="0060536F" w:rsidRPr="0060536F" w:rsidRDefault="0060536F" w:rsidP="00931787">
      <w:pPr>
        <w:spacing w:after="0"/>
        <w:rPr>
          <w:b/>
        </w:rPr>
      </w:pPr>
      <w:r w:rsidRPr="0060536F">
        <w:t>On 11 October</w:t>
      </w:r>
      <w:r>
        <w:t>,</w:t>
      </w:r>
      <w:r w:rsidRPr="0060536F">
        <w:t xml:space="preserve"> the Independent Pricing and Regulatory Tribunal provided a submission to the inquiry. This was in response to an email by the </w:t>
      </w:r>
      <w:r>
        <w:t>C</w:t>
      </w:r>
      <w:r w:rsidRPr="0060536F">
        <w:t>ommittee</w:t>
      </w:r>
      <w:r>
        <w:t>,</w:t>
      </w:r>
      <w:r w:rsidRPr="0060536F">
        <w:t xml:space="preserve"> 25 September. </w:t>
      </w:r>
      <w:r w:rsidR="0055581B">
        <w:t xml:space="preserve"> </w:t>
      </w:r>
      <w:r w:rsidRPr="0060536F">
        <w:t>It clarifie</w:t>
      </w:r>
      <w:r w:rsidR="008E472D">
        <w:t>d</w:t>
      </w:r>
      <w:r w:rsidRPr="0060536F">
        <w:t xml:space="preserve"> – contradict</w:t>
      </w:r>
      <w:r w:rsidR="008E472D">
        <w:t>ed</w:t>
      </w:r>
      <w:r w:rsidRPr="0060536F">
        <w:t xml:space="preserve"> – aspects of submissions and evidence from the Government and the Entity.</w:t>
      </w:r>
      <w:r>
        <w:rPr>
          <w:rStyle w:val="FootnoteReference"/>
          <w:rFonts w:cstheme="minorHAnsi"/>
          <w:bCs/>
          <w:color w:val="000000"/>
        </w:rPr>
        <w:footnoteReference w:id="124"/>
      </w:r>
    </w:p>
    <w:bookmarkEnd w:id="15"/>
    <w:p w14:paraId="52BD79BA" w14:textId="77777777" w:rsidR="0060536F" w:rsidRPr="0060536F" w:rsidRDefault="0060536F" w:rsidP="00931787">
      <w:pPr>
        <w:pStyle w:val="NormalWeb"/>
        <w:spacing w:after="0" w:afterAutospacing="0"/>
        <w:rPr>
          <w:rFonts w:asciiTheme="minorHAnsi" w:hAnsiTheme="minorHAnsi" w:cstheme="minorHAnsi"/>
          <w:color w:val="000000"/>
          <w:sz w:val="22"/>
          <w:szCs w:val="22"/>
        </w:rPr>
      </w:pPr>
      <w:r w:rsidRPr="0060536F">
        <w:rPr>
          <w:rFonts w:asciiTheme="minorHAnsi" w:hAnsiTheme="minorHAnsi" w:cstheme="minorHAnsi"/>
          <w:color w:val="000000"/>
          <w:sz w:val="22"/>
          <w:szCs w:val="22"/>
        </w:rPr>
        <w:t>Those submissions and evidence suggested the Tribunal determines access charges. The Tribunal said it does not do so. Rather, it is concerned with floor and ceiling prices within which charges are negotiated between track owners and access seekers.</w:t>
      </w:r>
    </w:p>
    <w:p w14:paraId="49F3A558" w14:textId="327A1542" w:rsidR="0060536F" w:rsidRPr="0060536F" w:rsidRDefault="0060536F" w:rsidP="00931787">
      <w:pPr>
        <w:pStyle w:val="NormalWeb"/>
        <w:spacing w:after="0" w:afterAutospacing="0"/>
        <w:rPr>
          <w:rFonts w:asciiTheme="minorHAnsi" w:hAnsiTheme="minorHAnsi" w:cstheme="minorHAnsi"/>
          <w:color w:val="000000"/>
          <w:sz w:val="22"/>
          <w:szCs w:val="22"/>
        </w:rPr>
      </w:pPr>
      <w:r w:rsidRPr="0060536F">
        <w:rPr>
          <w:rFonts w:asciiTheme="minorHAnsi" w:hAnsiTheme="minorHAnsi" w:cstheme="minorHAnsi"/>
          <w:color w:val="000000"/>
          <w:sz w:val="22"/>
          <w:szCs w:val="22"/>
        </w:rPr>
        <w:t>The Tribunal’s submission implie</w:t>
      </w:r>
      <w:r w:rsidR="008E472D">
        <w:rPr>
          <w:rFonts w:asciiTheme="minorHAnsi" w:hAnsiTheme="minorHAnsi" w:cstheme="minorHAnsi"/>
          <w:color w:val="000000"/>
          <w:sz w:val="22"/>
          <w:szCs w:val="22"/>
        </w:rPr>
        <w:t>d</w:t>
      </w:r>
      <w:r w:rsidRPr="0060536F">
        <w:rPr>
          <w:rFonts w:asciiTheme="minorHAnsi" w:hAnsiTheme="minorHAnsi" w:cstheme="minorHAnsi"/>
          <w:color w:val="000000"/>
          <w:sz w:val="22"/>
          <w:szCs w:val="22"/>
        </w:rPr>
        <w:t xml:space="preserve"> this issue </w:t>
      </w:r>
      <w:r w:rsidR="008E472D">
        <w:rPr>
          <w:rFonts w:asciiTheme="minorHAnsi" w:hAnsiTheme="minorHAnsi" w:cstheme="minorHAnsi"/>
          <w:color w:val="000000"/>
          <w:sz w:val="22"/>
          <w:szCs w:val="22"/>
        </w:rPr>
        <w:t xml:space="preserve">is </w:t>
      </w:r>
      <w:r w:rsidRPr="0060536F">
        <w:rPr>
          <w:rFonts w:asciiTheme="minorHAnsi" w:hAnsiTheme="minorHAnsi" w:cstheme="minorHAnsi"/>
          <w:color w:val="000000"/>
          <w:sz w:val="22"/>
          <w:szCs w:val="22"/>
        </w:rPr>
        <w:t>largely confined to Hunter Valley coal rail operations.</w:t>
      </w:r>
    </w:p>
    <w:p w14:paraId="6B488175" w14:textId="0077A24C" w:rsidR="0060536F" w:rsidRDefault="0060536F" w:rsidP="00931787">
      <w:pPr>
        <w:pStyle w:val="NormalWeb"/>
        <w:spacing w:after="0" w:afterAutospacing="0"/>
        <w:rPr>
          <w:rFonts w:asciiTheme="minorHAnsi" w:hAnsiTheme="minorHAnsi" w:cstheme="minorHAnsi"/>
          <w:color w:val="000000"/>
          <w:sz w:val="22"/>
          <w:szCs w:val="22"/>
        </w:rPr>
      </w:pPr>
      <w:r w:rsidRPr="0060536F">
        <w:rPr>
          <w:rFonts w:asciiTheme="minorHAnsi" w:hAnsiTheme="minorHAnsi" w:cstheme="minorHAnsi"/>
          <w:color w:val="000000"/>
          <w:sz w:val="22"/>
          <w:szCs w:val="22"/>
        </w:rPr>
        <w:t xml:space="preserve">Most Hunter Valley coal rail operations occur on track operated by the Australian Rail Track Corporation – between Newcastle (Carrington, Kooragang Island) and north-west to Werris Creek/Gulgong. </w:t>
      </w:r>
      <w:r w:rsidR="0055581B">
        <w:rPr>
          <w:rFonts w:asciiTheme="minorHAnsi" w:hAnsiTheme="minorHAnsi" w:cstheme="minorHAnsi"/>
          <w:color w:val="000000"/>
          <w:sz w:val="22"/>
          <w:szCs w:val="22"/>
        </w:rPr>
        <w:t xml:space="preserve"> </w:t>
      </w:r>
      <w:r w:rsidR="008E472D">
        <w:rPr>
          <w:rFonts w:asciiTheme="minorHAnsi" w:hAnsiTheme="minorHAnsi" w:cstheme="minorHAnsi"/>
          <w:color w:val="000000"/>
          <w:sz w:val="22"/>
          <w:szCs w:val="22"/>
        </w:rPr>
        <w:t>They</w:t>
      </w:r>
      <w:r w:rsidRPr="0060536F">
        <w:rPr>
          <w:rFonts w:asciiTheme="minorHAnsi" w:hAnsiTheme="minorHAnsi" w:cstheme="minorHAnsi"/>
          <w:color w:val="000000"/>
          <w:sz w:val="22"/>
          <w:szCs w:val="22"/>
        </w:rPr>
        <w:t xml:space="preserve"> generated around $486.6m in access revenue in 2019-20.</w:t>
      </w:r>
      <w:r>
        <w:rPr>
          <w:rStyle w:val="FootnoteReference"/>
          <w:rFonts w:asciiTheme="minorHAnsi" w:hAnsiTheme="minorHAnsi" w:cstheme="minorHAnsi"/>
          <w:color w:val="000000"/>
          <w:sz w:val="22"/>
          <w:szCs w:val="22"/>
        </w:rPr>
        <w:footnoteReference w:id="125"/>
      </w:r>
    </w:p>
    <w:p w14:paraId="6888B5F6" w14:textId="551C9F67" w:rsidR="0060536F" w:rsidRDefault="0060536F" w:rsidP="00931787">
      <w:pPr>
        <w:pStyle w:val="NormalWeb"/>
        <w:spacing w:after="0" w:afterAutospacing="0"/>
        <w:rPr>
          <w:rFonts w:asciiTheme="minorHAnsi" w:hAnsiTheme="minorHAnsi" w:cstheme="minorHAnsi"/>
          <w:color w:val="000000"/>
          <w:sz w:val="22"/>
          <w:szCs w:val="22"/>
        </w:rPr>
      </w:pPr>
      <w:r w:rsidRPr="0060536F">
        <w:rPr>
          <w:rFonts w:asciiTheme="minorHAnsi" w:hAnsiTheme="minorHAnsi" w:cstheme="minorHAnsi"/>
          <w:color w:val="000000"/>
          <w:sz w:val="22"/>
          <w:szCs w:val="22"/>
        </w:rPr>
        <w:t xml:space="preserve">A limited amount of coal rail operations </w:t>
      </w:r>
      <w:r w:rsidR="002129A1" w:rsidRPr="0060536F">
        <w:rPr>
          <w:rFonts w:asciiTheme="minorHAnsi" w:hAnsiTheme="minorHAnsi" w:cstheme="minorHAnsi"/>
          <w:color w:val="000000"/>
          <w:sz w:val="22"/>
          <w:szCs w:val="22"/>
        </w:rPr>
        <w:t>occurs</w:t>
      </w:r>
      <w:r w:rsidRPr="0060536F">
        <w:rPr>
          <w:rFonts w:asciiTheme="minorHAnsi" w:hAnsiTheme="minorHAnsi" w:cstheme="minorHAnsi"/>
          <w:color w:val="000000"/>
          <w:sz w:val="22"/>
          <w:szCs w:val="22"/>
        </w:rPr>
        <w:t xml:space="preserve"> on track operated by NSW entities between Broadmeadow </w:t>
      </w:r>
      <w:r w:rsidR="00E946B8">
        <w:rPr>
          <w:rFonts w:asciiTheme="minorHAnsi" w:hAnsiTheme="minorHAnsi" w:cstheme="minorHAnsi"/>
          <w:color w:val="000000"/>
          <w:sz w:val="22"/>
          <w:szCs w:val="22"/>
        </w:rPr>
        <w:t>and</w:t>
      </w:r>
      <w:r w:rsidRPr="0060536F">
        <w:rPr>
          <w:rFonts w:asciiTheme="minorHAnsi" w:hAnsiTheme="minorHAnsi" w:cstheme="minorHAnsi"/>
          <w:color w:val="000000"/>
          <w:sz w:val="22"/>
          <w:szCs w:val="22"/>
        </w:rPr>
        <w:t xml:space="preserve"> Fassifern in the </w:t>
      </w:r>
      <w:r w:rsidR="00E946B8">
        <w:rPr>
          <w:rFonts w:asciiTheme="minorHAnsi" w:hAnsiTheme="minorHAnsi" w:cstheme="minorHAnsi"/>
          <w:color w:val="000000"/>
          <w:sz w:val="22"/>
          <w:szCs w:val="22"/>
        </w:rPr>
        <w:t xml:space="preserve">metropolitan </w:t>
      </w:r>
      <w:r w:rsidRPr="0060536F">
        <w:rPr>
          <w:rFonts w:asciiTheme="minorHAnsi" w:hAnsiTheme="minorHAnsi" w:cstheme="minorHAnsi"/>
          <w:color w:val="000000"/>
          <w:sz w:val="22"/>
          <w:szCs w:val="22"/>
        </w:rPr>
        <w:t xml:space="preserve">electrified area. </w:t>
      </w:r>
      <w:r w:rsidR="0055581B">
        <w:rPr>
          <w:rFonts w:asciiTheme="minorHAnsi" w:hAnsiTheme="minorHAnsi" w:cstheme="minorHAnsi"/>
          <w:color w:val="000000"/>
          <w:sz w:val="22"/>
          <w:szCs w:val="22"/>
        </w:rPr>
        <w:t xml:space="preserve"> </w:t>
      </w:r>
      <w:r w:rsidRPr="0060536F">
        <w:rPr>
          <w:rFonts w:asciiTheme="minorHAnsi" w:hAnsiTheme="minorHAnsi" w:cstheme="minorHAnsi"/>
          <w:color w:val="000000"/>
          <w:sz w:val="22"/>
          <w:szCs w:val="22"/>
        </w:rPr>
        <w:t>They generated $8.5m in revenue in 2019-20. The Tribunal is concerned these exceeded the ceiling limit.</w:t>
      </w:r>
      <w:r>
        <w:rPr>
          <w:rStyle w:val="FootnoteReference"/>
          <w:rFonts w:asciiTheme="minorHAnsi" w:hAnsiTheme="minorHAnsi" w:cstheme="minorHAnsi"/>
          <w:color w:val="000000"/>
          <w:sz w:val="22"/>
          <w:szCs w:val="22"/>
        </w:rPr>
        <w:footnoteReference w:id="126"/>
      </w:r>
    </w:p>
    <w:p w14:paraId="45AAC31E" w14:textId="461C2595" w:rsidR="0060536F" w:rsidRPr="0060536F" w:rsidRDefault="0060536F" w:rsidP="00931787">
      <w:pPr>
        <w:pStyle w:val="NormalWeb"/>
        <w:spacing w:after="0" w:afterAutospacing="0"/>
        <w:rPr>
          <w:rFonts w:asciiTheme="minorHAnsi" w:hAnsiTheme="minorHAnsi" w:cstheme="minorHAnsi"/>
          <w:color w:val="000000"/>
          <w:sz w:val="22"/>
          <w:szCs w:val="22"/>
        </w:rPr>
      </w:pPr>
      <w:r w:rsidRPr="0060536F">
        <w:rPr>
          <w:rFonts w:asciiTheme="minorHAnsi" w:hAnsiTheme="minorHAnsi" w:cstheme="minorHAnsi"/>
          <w:color w:val="000000"/>
          <w:sz w:val="22"/>
          <w:szCs w:val="22"/>
        </w:rPr>
        <w:t xml:space="preserve">No such issue arises for Sydney Trains use of the network. </w:t>
      </w:r>
      <w:r w:rsidR="0055581B">
        <w:rPr>
          <w:rFonts w:asciiTheme="minorHAnsi" w:hAnsiTheme="minorHAnsi" w:cstheme="minorHAnsi"/>
          <w:color w:val="000000"/>
          <w:sz w:val="22"/>
          <w:szCs w:val="22"/>
        </w:rPr>
        <w:t xml:space="preserve"> </w:t>
      </w:r>
      <w:r w:rsidRPr="0060536F">
        <w:rPr>
          <w:rFonts w:asciiTheme="minorHAnsi" w:hAnsiTheme="minorHAnsi" w:cstheme="minorHAnsi"/>
          <w:color w:val="000000"/>
          <w:sz w:val="22"/>
          <w:szCs w:val="22"/>
        </w:rPr>
        <w:t>The Tribunal has not considered that matter.</w:t>
      </w:r>
    </w:p>
    <w:p w14:paraId="430C25C6" w14:textId="1E061182" w:rsidR="0060536F" w:rsidRPr="0060536F" w:rsidRDefault="00E946B8" w:rsidP="00931787">
      <w:pPr>
        <w:pStyle w:val="NormalWeb"/>
        <w:spacing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 xml:space="preserve">Sydney Trains </w:t>
      </w:r>
      <w:r w:rsidR="0060536F" w:rsidRPr="0060536F">
        <w:rPr>
          <w:rFonts w:asciiTheme="minorHAnsi" w:hAnsiTheme="minorHAnsi" w:cstheme="minorHAnsi"/>
          <w:color w:val="000000"/>
          <w:sz w:val="22"/>
          <w:szCs w:val="22"/>
        </w:rPr>
        <w:t xml:space="preserve">use, together with lease of fleet, generated the vast bulk - $750.0m - </w:t>
      </w:r>
      <w:r>
        <w:rPr>
          <w:rFonts w:asciiTheme="minorHAnsi" w:hAnsiTheme="minorHAnsi" w:cstheme="minorHAnsi"/>
          <w:color w:val="000000"/>
          <w:sz w:val="22"/>
          <w:szCs w:val="22"/>
        </w:rPr>
        <w:t>of</w:t>
      </w:r>
      <w:r w:rsidR="0060536F" w:rsidRPr="0060536F">
        <w:rPr>
          <w:rFonts w:asciiTheme="minorHAnsi" w:hAnsiTheme="minorHAnsi" w:cstheme="minorHAnsi"/>
          <w:color w:val="000000"/>
          <w:sz w:val="22"/>
          <w:szCs w:val="22"/>
        </w:rPr>
        <w:t xml:space="preserve"> Entity revenue.</w:t>
      </w:r>
      <w:r w:rsidR="00EE4D68">
        <w:rPr>
          <w:rStyle w:val="FootnoteReference"/>
          <w:rFonts w:asciiTheme="minorHAnsi" w:hAnsiTheme="minorHAnsi" w:cstheme="minorHAnsi"/>
          <w:color w:val="000000"/>
          <w:sz w:val="22"/>
          <w:szCs w:val="22"/>
        </w:rPr>
        <w:footnoteReference w:id="127"/>
      </w:r>
      <w:r w:rsidR="0060536F" w:rsidRPr="0060536F">
        <w:rPr>
          <w:rFonts w:asciiTheme="minorHAnsi" w:hAnsiTheme="minorHAnsi" w:cstheme="minorHAnsi"/>
          <w:color w:val="000000"/>
          <w:sz w:val="22"/>
          <w:szCs w:val="22"/>
        </w:rPr>
        <w:t xml:space="preserve"> </w:t>
      </w:r>
    </w:p>
    <w:p w14:paraId="4411E888" w14:textId="40DAA5F0" w:rsidR="0060536F" w:rsidRDefault="0060536F" w:rsidP="00931787">
      <w:pPr>
        <w:pStyle w:val="NormalWeb"/>
        <w:spacing w:after="0" w:afterAutospacing="0"/>
        <w:rPr>
          <w:rFonts w:asciiTheme="minorHAnsi" w:hAnsiTheme="minorHAnsi" w:cstheme="minorHAnsi"/>
          <w:color w:val="000000"/>
          <w:sz w:val="22"/>
          <w:szCs w:val="22"/>
        </w:rPr>
      </w:pPr>
      <w:r w:rsidRPr="0060536F">
        <w:rPr>
          <w:rFonts w:asciiTheme="minorHAnsi" w:hAnsiTheme="minorHAnsi" w:cstheme="minorHAnsi"/>
          <w:color w:val="000000"/>
          <w:sz w:val="22"/>
          <w:szCs w:val="22"/>
        </w:rPr>
        <w:t xml:space="preserve">The conclusion to be drawn is: officials’ comments suggesting the Tribunal is or has been involved in determining financial arrangements of the Entity have been misleading and, at best, ignorant. </w:t>
      </w:r>
      <w:r w:rsidR="0055581B">
        <w:rPr>
          <w:rFonts w:asciiTheme="minorHAnsi" w:hAnsiTheme="minorHAnsi" w:cstheme="minorHAnsi"/>
          <w:color w:val="000000"/>
          <w:sz w:val="22"/>
          <w:szCs w:val="22"/>
        </w:rPr>
        <w:t xml:space="preserve"> </w:t>
      </w:r>
      <w:r w:rsidRPr="0060536F">
        <w:rPr>
          <w:rFonts w:asciiTheme="minorHAnsi" w:hAnsiTheme="minorHAnsi" w:cstheme="minorHAnsi"/>
          <w:color w:val="000000"/>
          <w:sz w:val="22"/>
          <w:szCs w:val="22"/>
        </w:rPr>
        <w:t>The Tribunal has felt the need to correct this evidence to ensure it can fulfil its legislated duties.</w:t>
      </w:r>
    </w:p>
    <w:p w14:paraId="7DC842D6" w14:textId="7DE0CDC8" w:rsidR="00B40CFF" w:rsidRDefault="00B40CFF" w:rsidP="00931787">
      <w:pPr>
        <w:spacing w:after="0"/>
        <w:rPr>
          <w:rFonts w:eastAsia="Times New Roman" w:cstheme="minorHAnsi"/>
          <w:color w:val="000000"/>
          <w:lang w:val="en-AU" w:eastAsia="en-AU"/>
        </w:rPr>
      </w:pPr>
      <w:r>
        <w:rPr>
          <w:rFonts w:cstheme="minorHAnsi"/>
          <w:color w:val="000000"/>
        </w:rPr>
        <w:br w:type="page"/>
      </w:r>
    </w:p>
    <w:p w14:paraId="524CD376" w14:textId="05C8E372" w:rsidR="00AB72DF" w:rsidRDefault="004304BD" w:rsidP="00931787">
      <w:pPr>
        <w:pStyle w:val="Heading2"/>
      </w:pPr>
      <w:bookmarkStart w:id="25" w:name="_Toc93085771"/>
      <w:r>
        <w:lastRenderedPageBreak/>
        <w:t>6</w:t>
      </w:r>
      <w:r w:rsidR="00AB72DF">
        <w:t>.</w:t>
      </w:r>
      <w:r w:rsidR="00AB72DF">
        <w:tab/>
      </w:r>
      <w:r w:rsidR="00D92F0D">
        <w:t>Consultant reports and access</w:t>
      </w:r>
      <w:bookmarkEnd w:id="25"/>
    </w:p>
    <w:p w14:paraId="67DF0075" w14:textId="77777777" w:rsidR="008E472D" w:rsidRDefault="008E472D" w:rsidP="008E472D">
      <w:pPr>
        <w:pStyle w:val="Heading3"/>
      </w:pPr>
      <w:bookmarkStart w:id="26" w:name="_Toc93085772"/>
      <w:r>
        <w:t>6.1</w:t>
      </w:r>
      <w:r>
        <w:tab/>
        <w:t>Introduction</w:t>
      </w:r>
      <w:bookmarkEnd w:id="26"/>
    </w:p>
    <w:p w14:paraId="64C13400" w14:textId="411BF050" w:rsidR="00AB72DF" w:rsidRDefault="00AB72DF" w:rsidP="00931787">
      <w:pPr>
        <w:spacing w:after="0"/>
      </w:pPr>
      <w:r>
        <w:t xml:space="preserve">Some of the media controversy about the Entity centres on a report by </w:t>
      </w:r>
      <w:r w:rsidR="00B45B2D">
        <w:t xml:space="preserve">accounting and consulting firm </w:t>
      </w:r>
      <w:r>
        <w:t>KPMG</w:t>
      </w:r>
      <w:r w:rsidR="00ED532C">
        <w:t xml:space="preserve"> for Transport for NSW, November 2020. </w:t>
      </w:r>
      <w:r w:rsidR="006A0B5E">
        <w:t xml:space="preserve"> </w:t>
      </w:r>
      <w:r w:rsidR="00D92F0D">
        <w:t xml:space="preserve">It followed previous reports </w:t>
      </w:r>
      <w:r w:rsidR="00B45B2D">
        <w:t xml:space="preserve">for Transport </w:t>
      </w:r>
      <w:r w:rsidR="00D92F0D">
        <w:t>by KPMG (Mid 2020) and PwC (201</w:t>
      </w:r>
      <w:r w:rsidR="00B94EE4">
        <w:t>9</w:t>
      </w:r>
      <w:r w:rsidR="00D92F0D">
        <w:t>).  These reports, and the 2016 Cabinet submission, were predicated on ‘access’ – by which Sydney Trains effectively pays to use rail infrastructure – underpinning the financial viability of the Entity and scheme.</w:t>
      </w:r>
    </w:p>
    <w:p w14:paraId="64B39BBB" w14:textId="596A46AC" w:rsidR="00B45B2D" w:rsidRDefault="00B45B2D" w:rsidP="00931787">
      <w:pPr>
        <w:spacing w:after="0"/>
      </w:pPr>
    </w:p>
    <w:p w14:paraId="1C336775" w14:textId="6887E16B" w:rsidR="00B45B2D" w:rsidRDefault="00B45B2D" w:rsidP="00931787">
      <w:pPr>
        <w:spacing w:after="0"/>
      </w:pPr>
      <w:r>
        <w:t xml:space="preserve">The firms were </w:t>
      </w:r>
      <w:r w:rsidR="006A0B5E">
        <w:t>t</w:t>
      </w:r>
      <w:r>
        <w:t xml:space="preserve">asked by Transport for NSW with developing an ‘operating model’ for the Entity.  In this context, an operating model entails a structure of accounts and expected financial flows.  Given the nature of the Entity, </w:t>
      </w:r>
      <w:r w:rsidR="006A0B5E">
        <w:t>any</w:t>
      </w:r>
      <w:r>
        <w:t xml:space="preserve"> model </w:t>
      </w:r>
      <w:r w:rsidR="006A0B5E">
        <w:t xml:space="preserve">will </w:t>
      </w:r>
      <w:r>
        <w:t xml:space="preserve">contain assumptions about control of assets, staff and railways.  It </w:t>
      </w:r>
      <w:r w:rsidR="00874FBF">
        <w:t>might</w:t>
      </w:r>
      <w:r w:rsidR="006A0B5E">
        <w:t xml:space="preserve"> </w:t>
      </w:r>
      <w:r>
        <w:t>ha</w:t>
      </w:r>
      <w:r w:rsidR="006A0B5E">
        <w:t>ve</w:t>
      </w:r>
      <w:r>
        <w:t xml:space="preserve"> implications for the State Budget.</w:t>
      </w:r>
    </w:p>
    <w:p w14:paraId="7B14C626" w14:textId="77777777" w:rsidR="00B45B2D" w:rsidRDefault="00B45B2D" w:rsidP="00931787">
      <w:pPr>
        <w:spacing w:after="0"/>
      </w:pPr>
    </w:p>
    <w:p w14:paraId="6702870E" w14:textId="785757F1" w:rsidR="00B45B2D" w:rsidRDefault="00B45B2D" w:rsidP="00931787">
      <w:pPr>
        <w:spacing w:after="0"/>
      </w:pPr>
      <w:r>
        <w:t xml:space="preserve">Such a task is not new.  It was performed by various accounting and consulting firms, including KPMG, for the 1996 structural changes to NSW railways.  However, </w:t>
      </w:r>
      <w:r w:rsidR="006A0B5E">
        <w:t>then</w:t>
      </w:r>
      <w:r>
        <w:t xml:space="preserve"> the operating model was </w:t>
      </w:r>
      <w:r w:rsidR="006A0B5E">
        <w:t>known</w:t>
      </w:r>
      <w:r>
        <w:t xml:space="preserve"> well in advance of legislation and structural changes.</w:t>
      </w:r>
    </w:p>
    <w:p w14:paraId="49D5B7A1" w14:textId="26F277BA" w:rsidR="004B1749" w:rsidRDefault="004B1749" w:rsidP="00931787">
      <w:pPr>
        <w:spacing w:after="0"/>
      </w:pPr>
    </w:p>
    <w:p w14:paraId="3EE7E50D" w14:textId="2F3A683C" w:rsidR="004B1749" w:rsidRDefault="004B1749" w:rsidP="00931787">
      <w:pPr>
        <w:spacing w:after="0"/>
      </w:pPr>
      <w:r>
        <w:t>In each case, the accounting and consulting firms are reliant on Government agencies for information and interpretations of policy.  Mistakes of fact and interpretation in their reports often – usually – reflect erroneous information provided by agencies, or amendments/</w:t>
      </w:r>
      <w:r w:rsidR="008D0243">
        <w:t>’</w:t>
      </w:r>
      <w:proofErr w:type="gramStart"/>
      <w:r>
        <w:t>refinements</w:t>
      </w:r>
      <w:r w:rsidR="008D0243">
        <w:t>’</w:t>
      </w:r>
      <w:proofErr w:type="gramEnd"/>
      <w:r>
        <w:t xml:space="preserve"> suggested by agencies</w:t>
      </w:r>
      <w:r w:rsidR="008D0243">
        <w:t xml:space="preserve"> to address their sensitivities</w:t>
      </w:r>
      <w:r>
        <w:t>.  The following comments, therefore, are not criticisms of the efforts</w:t>
      </w:r>
      <w:r w:rsidR="008D0243">
        <w:t>, expertise</w:t>
      </w:r>
      <w:r>
        <w:t xml:space="preserve"> or work of the </w:t>
      </w:r>
      <w:r w:rsidR="00D73F61">
        <w:t>authors</w:t>
      </w:r>
      <w:r>
        <w:t xml:space="preserve">, but reflect more on what they are likely to have been told by officials. </w:t>
      </w:r>
    </w:p>
    <w:p w14:paraId="64D2B3DE" w14:textId="77777777" w:rsidR="00AB72DF" w:rsidRDefault="00AB72DF" w:rsidP="00931787">
      <w:pPr>
        <w:spacing w:after="0"/>
      </w:pPr>
    </w:p>
    <w:p w14:paraId="56F07AAE" w14:textId="5A8D27B9" w:rsidR="00A3375E" w:rsidRDefault="008E472D" w:rsidP="00931787">
      <w:pPr>
        <w:pStyle w:val="Heading3"/>
      </w:pPr>
      <w:bookmarkStart w:id="27" w:name="_Toc93085773"/>
      <w:r>
        <w:t>6</w:t>
      </w:r>
      <w:r w:rsidR="00A3375E">
        <w:t>.</w:t>
      </w:r>
      <w:r>
        <w:t>2</w:t>
      </w:r>
      <w:r w:rsidR="00A3375E">
        <w:tab/>
        <w:t>PwC</w:t>
      </w:r>
      <w:bookmarkEnd w:id="27"/>
    </w:p>
    <w:p w14:paraId="2279D31A" w14:textId="68C29570" w:rsidR="00B45B2D" w:rsidRDefault="00A3375E" w:rsidP="00931787">
      <w:pPr>
        <w:spacing w:after="0"/>
      </w:pPr>
      <w:r>
        <w:t>PwC</w:t>
      </w:r>
      <w:r w:rsidR="006A0B5E">
        <w:t>’s report post</w:t>
      </w:r>
      <w:r w:rsidR="00B94EE4">
        <w:t>-</w:t>
      </w:r>
      <w:r w:rsidR="006A0B5E">
        <w:t xml:space="preserve">dated </w:t>
      </w:r>
      <w:r>
        <w:t xml:space="preserve">legislation </w:t>
      </w:r>
      <w:r w:rsidR="006A0B5E">
        <w:t xml:space="preserve">enabling the Entity be over </w:t>
      </w:r>
      <w:r w:rsidR="00B94EE4">
        <w:t>two</w:t>
      </w:r>
      <w:r w:rsidR="006A0B5E">
        <w:t xml:space="preserve"> year</w:t>
      </w:r>
      <w:r w:rsidR="00B94EE4">
        <w:t>s</w:t>
      </w:r>
      <w:r>
        <w:t>.</w:t>
      </w:r>
      <w:r w:rsidR="006A48E4">
        <w:t xml:space="preserve">  </w:t>
      </w:r>
      <w:r>
        <w:t xml:space="preserve">It </w:t>
      </w:r>
      <w:r w:rsidR="00EC5BE2">
        <w:t>said the issue was</w:t>
      </w:r>
      <w:r w:rsidR="008E472D">
        <w:t>:</w:t>
      </w:r>
      <w:r w:rsidR="00EC5BE2">
        <w:t xml:space="preserve"> new accounting standards meant governance changes were necessary to ensure rail assets did not appear on the general government balance sheet.  This implied the driving consideration </w:t>
      </w:r>
      <w:r w:rsidR="008E472D">
        <w:t xml:space="preserve">for later changes </w:t>
      </w:r>
      <w:r w:rsidR="00874FBF">
        <w:t xml:space="preserve">– or at least the request for PwC advice! - </w:t>
      </w:r>
      <w:r w:rsidR="00EC5BE2">
        <w:t xml:space="preserve">to be government accounting.  </w:t>
      </w:r>
      <w:r w:rsidR="006A0B5E">
        <w:t>It</w:t>
      </w:r>
      <w:r>
        <w:t xml:space="preserve"> advised most model options were infeasible or were inconsistent with objectives.</w:t>
      </w:r>
      <w:r w:rsidR="00B94EE4">
        <w:rPr>
          <w:rStyle w:val="FootnoteReference"/>
        </w:rPr>
        <w:footnoteReference w:id="128"/>
      </w:r>
      <w:r>
        <w:t xml:space="preserve"> </w:t>
      </w:r>
    </w:p>
    <w:p w14:paraId="6FEB264D" w14:textId="77777777" w:rsidR="008E472D" w:rsidRDefault="008E472D" w:rsidP="00931787">
      <w:pPr>
        <w:spacing w:after="0"/>
      </w:pPr>
    </w:p>
    <w:p w14:paraId="33B5D74F" w14:textId="524D05FA" w:rsidR="00EC5BE2" w:rsidRDefault="00EC5BE2" w:rsidP="00931787">
      <w:pPr>
        <w:spacing w:after="0"/>
      </w:pPr>
      <w:r>
        <w:t>The reason:</w:t>
      </w:r>
    </w:p>
    <w:p w14:paraId="6AE744EB" w14:textId="7F712C1A" w:rsidR="00EC5BE2" w:rsidRPr="00EC5BE2" w:rsidRDefault="00EC5BE2" w:rsidP="00931787">
      <w:pPr>
        <w:spacing w:after="0"/>
        <w:ind w:left="720"/>
        <w:rPr>
          <w:i/>
          <w:iCs/>
        </w:rPr>
      </w:pPr>
      <w:r w:rsidRPr="00EC5BE2">
        <w:rPr>
          <w:i/>
          <w:iCs/>
        </w:rPr>
        <w:t xml:space="preserve">‘the following changes are required to ensure that assets owned by TAHE are not reflected on the TfNSW balance sheet: </w:t>
      </w:r>
    </w:p>
    <w:p w14:paraId="09F8966A" w14:textId="77777777" w:rsidR="00EC5BE2" w:rsidRPr="00EC5BE2" w:rsidRDefault="00EC5BE2" w:rsidP="00931787">
      <w:pPr>
        <w:spacing w:after="0"/>
        <w:ind w:left="720"/>
        <w:rPr>
          <w:i/>
          <w:iCs/>
        </w:rPr>
      </w:pPr>
      <w:r w:rsidRPr="00EC5BE2">
        <w:rPr>
          <w:i/>
          <w:iCs/>
        </w:rPr>
        <w:sym w:font="Symbol" w:char="F0A7"/>
      </w:r>
      <w:r w:rsidRPr="00EC5BE2">
        <w:rPr>
          <w:i/>
          <w:iCs/>
        </w:rPr>
        <w:t xml:space="preserve"> TAHE must contract directly with transport operators and have control over transport operations; </w:t>
      </w:r>
    </w:p>
    <w:p w14:paraId="7961C7E9" w14:textId="77777777" w:rsidR="00EC5BE2" w:rsidRPr="00EC5BE2" w:rsidRDefault="00EC5BE2" w:rsidP="00931787">
      <w:pPr>
        <w:spacing w:after="0"/>
        <w:ind w:left="720"/>
        <w:rPr>
          <w:i/>
          <w:iCs/>
        </w:rPr>
      </w:pPr>
      <w:r w:rsidRPr="00EC5BE2">
        <w:rPr>
          <w:i/>
          <w:iCs/>
        </w:rPr>
        <w:sym w:font="Symbol" w:char="F0A7"/>
      </w:r>
      <w:r w:rsidRPr="00EC5BE2">
        <w:rPr>
          <w:i/>
          <w:iCs/>
        </w:rPr>
        <w:t xml:space="preserve"> TfNSW retains the strategic role of integrated transport planning, execution should be governed by TAHE; </w:t>
      </w:r>
    </w:p>
    <w:p w14:paraId="0FB6AF82" w14:textId="77777777" w:rsidR="00EC5BE2" w:rsidRPr="00EC5BE2" w:rsidRDefault="00EC5BE2" w:rsidP="00931787">
      <w:pPr>
        <w:spacing w:after="0"/>
        <w:ind w:left="720"/>
        <w:rPr>
          <w:i/>
          <w:iCs/>
        </w:rPr>
      </w:pPr>
      <w:r w:rsidRPr="00EC5BE2">
        <w:rPr>
          <w:i/>
          <w:iCs/>
        </w:rPr>
        <w:sym w:font="Symbol" w:char="F0A7"/>
      </w:r>
      <w:r w:rsidRPr="00EC5BE2">
        <w:rPr>
          <w:i/>
          <w:iCs/>
        </w:rPr>
        <w:t xml:space="preserve"> IPART continues to regulate prices while TAHE will determine pricing within the boundaries provided; </w:t>
      </w:r>
    </w:p>
    <w:p w14:paraId="06AA6166" w14:textId="77777777" w:rsidR="00EC5BE2" w:rsidRPr="00EC5BE2" w:rsidRDefault="00EC5BE2" w:rsidP="00931787">
      <w:pPr>
        <w:spacing w:after="0"/>
        <w:ind w:left="720"/>
        <w:rPr>
          <w:i/>
          <w:iCs/>
        </w:rPr>
      </w:pPr>
      <w:r w:rsidRPr="00EC5BE2">
        <w:rPr>
          <w:i/>
          <w:iCs/>
        </w:rPr>
        <w:sym w:font="Symbol" w:char="F0A7"/>
      </w:r>
      <w:r w:rsidRPr="00EC5BE2">
        <w:rPr>
          <w:i/>
          <w:iCs/>
        </w:rPr>
        <w:t xml:space="preserve"> TfNSW or another General Government Agency can retain protective safety or regulatory functions;</w:t>
      </w:r>
    </w:p>
    <w:p w14:paraId="21415322" w14:textId="356C0BBD" w:rsidR="00EC5BE2" w:rsidRPr="00EC5BE2" w:rsidRDefault="00EC5BE2" w:rsidP="00931787">
      <w:pPr>
        <w:spacing w:after="0"/>
        <w:ind w:left="720"/>
        <w:rPr>
          <w:i/>
          <w:iCs/>
        </w:rPr>
      </w:pPr>
      <w:r w:rsidRPr="00EC5BE2">
        <w:rPr>
          <w:i/>
          <w:iCs/>
        </w:rPr>
        <w:t xml:space="preserve"> </w:t>
      </w:r>
      <w:r w:rsidRPr="00EC5BE2">
        <w:rPr>
          <w:i/>
          <w:iCs/>
        </w:rPr>
        <w:sym w:font="Symbol" w:char="F0A7"/>
      </w:r>
      <w:r w:rsidRPr="00EC5BE2">
        <w:rPr>
          <w:i/>
          <w:iCs/>
        </w:rPr>
        <w:t xml:space="preserve"> TfNSW or another General Government Agency or Department should not control or direct TAHE. TAHE should have the freedom to direct transport operations within safety or regulatory boundaries.</w:t>
      </w:r>
      <w:r>
        <w:rPr>
          <w:i/>
          <w:iCs/>
        </w:rPr>
        <w:t>’</w:t>
      </w:r>
    </w:p>
    <w:p w14:paraId="2651C4F9" w14:textId="77777777" w:rsidR="00EC5BE2" w:rsidRDefault="00EC5BE2" w:rsidP="00931787">
      <w:pPr>
        <w:spacing w:after="0"/>
      </w:pPr>
    </w:p>
    <w:p w14:paraId="5CA78035" w14:textId="24E3CB6D" w:rsidR="00C77260" w:rsidRDefault="00C77260" w:rsidP="00931787">
      <w:pPr>
        <w:spacing w:after="0"/>
      </w:pPr>
      <w:r>
        <w:t xml:space="preserve">That is, </w:t>
      </w:r>
      <w:r w:rsidR="005B5933">
        <w:t xml:space="preserve">PwC held </w:t>
      </w:r>
      <w:r>
        <w:t>the accounting objective can only be achieved by real world changes – removing the railways from the control of Government.</w:t>
      </w:r>
    </w:p>
    <w:p w14:paraId="53D6BDDC" w14:textId="77777777" w:rsidR="00697982" w:rsidRDefault="00697982" w:rsidP="00931787">
      <w:pPr>
        <w:spacing w:after="0"/>
      </w:pPr>
    </w:p>
    <w:p w14:paraId="5C066EDC" w14:textId="3F7EF505" w:rsidR="00C77260" w:rsidRDefault="00C77260" w:rsidP="00931787">
      <w:pPr>
        <w:spacing w:after="0"/>
      </w:pPr>
      <w:r>
        <w:t xml:space="preserve">Several </w:t>
      </w:r>
      <w:r w:rsidR="00A3375E">
        <w:t>model</w:t>
      </w:r>
      <w:r w:rsidR="006A0B5E">
        <w:t>s</w:t>
      </w:r>
      <w:r w:rsidR="00A3375E">
        <w:t xml:space="preserve"> </w:t>
      </w:r>
      <w:r>
        <w:t>were considered.  In some</w:t>
      </w:r>
      <w:r w:rsidR="0021493E">
        <w:t>,</w:t>
      </w:r>
      <w:r>
        <w:t xml:space="preserve"> </w:t>
      </w:r>
      <w:r w:rsidR="00A3375E">
        <w:t>the Entity had notional but not actual control of assets</w:t>
      </w:r>
      <w:r w:rsidR="006A0B5E">
        <w:t>.  I</w:t>
      </w:r>
      <w:r>
        <w:t xml:space="preserve">n others </w:t>
      </w:r>
      <w:r w:rsidR="00A3375E">
        <w:t xml:space="preserve">the Entity had actual control of assets and would (therefore) determine rail services and </w:t>
      </w:r>
      <w:r w:rsidR="006A0B5E">
        <w:t>the</w:t>
      </w:r>
      <w:r w:rsidR="00A3375E">
        <w:t xml:space="preserve"> organisation</w:t>
      </w:r>
      <w:r w:rsidR="006A0B5E">
        <w:t>s to conduct them</w:t>
      </w:r>
      <w:r w:rsidR="00A3375E">
        <w:t xml:space="preserve"> </w:t>
      </w:r>
      <w:r w:rsidR="009406DC">
        <w:t>i.e.,</w:t>
      </w:r>
      <w:r w:rsidR="00A3375E">
        <w:t xml:space="preserve"> </w:t>
      </w:r>
      <w:r w:rsidR="0021493E">
        <w:t xml:space="preserve">be </w:t>
      </w:r>
      <w:r w:rsidR="00A3375E">
        <w:t xml:space="preserve">a franchisor.  </w:t>
      </w:r>
    </w:p>
    <w:p w14:paraId="268B4CF0" w14:textId="77777777" w:rsidR="00697982" w:rsidRDefault="00697982" w:rsidP="00931787">
      <w:pPr>
        <w:spacing w:after="0"/>
      </w:pPr>
    </w:p>
    <w:p w14:paraId="5E047A41" w14:textId="0EC0F433" w:rsidR="00A3375E" w:rsidRDefault="00A3375E" w:rsidP="00931787">
      <w:pPr>
        <w:spacing w:after="0"/>
      </w:pPr>
      <w:r>
        <w:t xml:space="preserve">The latter </w:t>
      </w:r>
      <w:r w:rsidR="006A0B5E">
        <w:t xml:space="preserve">models </w:t>
      </w:r>
      <w:r>
        <w:t xml:space="preserve">would have </w:t>
      </w:r>
      <w:r w:rsidR="00697982">
        <w:t>the Entity</w:t>
      </w:r>
      <w:r>
        <w:t xml:space="preserve"> effectively replacing Transport for NSW.</w:t>
      </w:r>
    </w:p>
    <w:p w14:paraId="072E0F88" w14:textId="77777777" w:rsidR="00697982" w:rsidRDefault="00697982" w:rsidP="00931787">
      <w:pPr>
        <w:spacing w:after="0"/>
      </w:pPr>
    </w:p>
    <w:p w14:paraId="27783D4B" w14:textId="59927FE6" w:rsidR="00B45B2D" w:rsidRDefault="00697982" w:rsidP="00931787">
      <w:pPr>
        <w:spacing w:after="0"/>
      </w:pPr>
      <w:r>
        <w:t xml:space="preserve">The PwC report’s </w:t>
      </w:r>
      <w:r w:rsidR="00A3375E">
        <w:t>preferred model was to ‘corporatise’ all of Transport for NSW, includ</w:t>
      </w:r>
      <w:r w:rsidR="008B3384">
        <w:t xml:space="preserve">ing </w:t>
      </w:r>
      <w:r w:rsidR="00A3375E">
        <w:t>buses</w:t>
      </w:r>
      <w:r w:rsidR="00C77260">
        <w:t>,</w:t>
      </w:r>
      <w:r w:rsidR="00A3375E">
        <w:t xml:space="preserve"> ferries and certain roads.  </w:t>
      </w:r>
      <w:r w:rsidR="008B3384">
        <w:t xml:space="preserve">The corporatized Transport would gain funds from road </w:t>
      </w:r>
      <w:r w:rsidR="00C77260">
        <w:t>and</w:t>
      </w:r>
      <w:r w:rsidR="008B3384">
        <w:t xml:space="preserve"> public transport charges.  </w:t>
      </w:r>
      <w:r>
        <w:t>The report</w:t>
      </w:r>
      <w:r w:rsidR="00A3375E">
        <w:t xml:space="preserve"> recognised this as a radical solution, but argued other options either failed to meet fiscal objectives or led to unacceptable institutional risk</w:t>
      </w:r>
      <w:r w:rsidR="008B3384">
        <w:t>s</w:t>
      </w:r>
      <w:r w:rsidR="00A3375E">
        <w:t xml:space="preserve"> to public safety.  </w:t>
      </w:r>
    </w:p>
    <w:p w14:paraId="3FC1A55A" w14:textId="77777777" w:rsidR="00697982" w:rsidRDefault="00697982" w:rsidP="00931787">
      <w:pPr>
        <w:spacing w:after="0"/>
      </w:pPr>
    </w:p>
    <w:p w14:paraId="04D5C0CE" w14:textId="4D8F775E" w:rsidR="00A3375E" w:rsidRDefault="00A3375E" w:rsidP="00931787">
      <w:pPr>
        <w:spacing w:after="0"/>
      </w:pPr>
      <w:r>
        <w:t xml:space="preserve">Circumstances in which fiscal objectives would not be met were where the Entity did not have effective control of assets – if it did not control maintenance, improvement and use.  In </w:t>
      </w:r>
      <w:r w:rsidR="00697982">
        <w:t>such a</w:t>
      </w:r>
      <w:r>
        <w:t xml:space="preserve"> case, PwC argued the assets could not be put on the Entity’s accounts, and the scheme proposed first by Treasurer Berejiklian and her successor Mr Perrottet would not be accept</w:t>
      </w:r>
      <w:r w:rsidR="008B3384">
        <w:t xml:space="preserve">able to </w:t>
      </w:r>
      <w:r>
        <w:t xml:space="preserve">accounting </w:t>
      </w:r>
      <w:r w:rsidR="008B3384">
        <w:t>authorities</w:t>
      </w:r>
      <w:r>
        <w:t>.</w:t>
      </w:r>
    </w:p>
    <w:p w14:paraId="13E342AB" w14:textId="77777777" w:rsidR="00697982" w:rsidRDefault="00697982" w:rsidP="00931787">
      <w:pPr>
        <w:spacing w:after="0"/>
      </w:pPr>
    </w:p>
    <w:p w14:paraId="44705C9A" w14:textId="07C00ADB" w:rsidR="00A3375E" w:rsidRDefault="00697982" w:rsidP="00931787">
      <w:pPr>
        <w:pStyle w:val="Heading3"/>
      </w:pPr>
      <w:bookmarkStart w:id="28" w:name="_Toc93085774"/>
      <w:r>
        <w:t>6</w:t>
      </w:r>
      <w:r w:rsidR="00A3375E">
        <w:t>.</w:t>
      </w:r>
      <w:r>
        <w:t>3</w:t>
      </w:r>
      <w:r w:rsidR="00A3375E">
        <w:tab/>
        <w:t>KPMG 2020 July</w:t>
      </w:r>
      <w:bookmarkEnd w:id="28"/>
    </w:p>
    <w:p w14:paraId="0BC18272" w14:textId="486DAAAC" w:rsidR="00EB44D2" w:rsidRDefault="00C77260" w:rsidP="00931787">
      <w:pPr>
        <w:spacing w:after="0"/>
      </w:pPr>
      <w:r>
        <w:t xml:space="preserve">KPMG did an initial assessment of options for the Entity in </w:t>
      </w:r>
      <w:r w:rsidR="009406DC">
        <w:t>mid-2020</w:t>
      </w:r>
      <w:r>
        <w:t xml:space="preserve"> – three years after the relevant legislation was passed.</w:t>
      </w:r>
      <w:r w:rsidR="00D70B89">
        <w:rPr>
          <w:rStyle w:val="FootnoteReference"/>
        </w:rPr>
        <w:footnoteReference w:id="129"/>
      </w:r>
    </w:p>
    <w:p w14:paraId="0EFDFBC4" w14:textId="77777777" w:rsidR="00697982" w:rsidRDefault="00697982" w:rsidP="00931787">
      <w:pPr>
        <w:spacing w:after="0"/>
      </w:pPr>
    </w:p>
    <w:p w14:paraId="011B814A" w14:textId="572CB4C4" w:rsidR="00D70B89" w:rsidRDefault="00697982" w:rsidP="00931787">
      <w:pPr>
        <w:spacing w:after="0"/>
      </w:pPr>
      <w:r>
        <w:t xml:space="preserve">This report </w:t>
      </w:r>
      <w:r w:rsidR="00C77260">
        <w:t>posited</w:t>
      </w:r>
      <w:r>
        <w:t>:</w:t>
      </w:r>
      <w:r w:rsidR="00C77260">
        <w:t xml:space="preserve"> government rail structures changed only in response to fiscal or accident inquiry drivers.  </w:t>
      </w:r>
      <w:r w:rsidR="0021493E">
        <w:t>It</w:t>
      </w:r>
      <w:r>
        <w:t xml:space="preserve"> </w:t>
      </w:r>
      <w:r w:rsidR="00D70B89">
        <w:t xml:space="preserve">provided a short history of </w:t>
      </w:r>
      <w:r w:rsidR="00E827FA">
        <w:t xml:space="preserve">commuter rail </w:t>
      </w:r>
      <w:r w:rsidR="00D70B89">
        <w:t xml:space="preserve">sector structure since 1996, but did not explicitly cite recommendations of the Glenbrook or Waterfall Commissions.  It referred to the recommendation to merge Rail Access and Rail Services but did not </w:t>
      </w:r>
      <w:r w:rsidR="005B5933">
        <w:t>mention it said</w:t>
      </w:r>
      <w:r>
        <w:t xml:space="preserve"> </w:t>
      </w:r>
      <w:r w:rsidR="00D70B89">
        <w:t xml:space="preserve">the new organisation should be a statutory authority not a State-owned corporation.  In that, it was consistent with Parliament’s response.  </w:t>
      </w:r>
    </w:p>
    <w:p w14:paraId="5A5C7A59" w14:textId="77777777" w:rsidR="00697982" w:rsidRDefault="00697982" w:rsidP="00931787">
      <w:pPr>
        <w:spacing w:after="0"/>
      </w:pPr>
    </w:p>
    <w:p w14:paraId="5F3C170E" w14:textId="6AFB2B38" w:rsidR="00F60805" w:rsidRDefault="00D70B89" w:rsidP="00931787">
      <w:pPr>
        <w:spacing w:after="0"/>
      </w:pPr>
      <w:r>
        <w:t xml:space="preserve">After tracing the history of re-integration and de-corporatisation since 2005, </w:t>
      </w:r>
      <w:r w:rsidR="00697982">
        <w:t>the report</w:t>
      </w:r>
      <w:r>
        <w:t xml:space="preserve"> noted 2020 saw the return of se</w:t>
      </w:r>
      <w:r w:rsidR="00F60805">
        <w:t>paration and corporatisation.</w:t>
      </w:r>
    </w:p>
    <w:p w14:paraId="40B5FB74" w14:textId="77777777" w:rsidR="00697982" w:rsidRDefault="00697982" w:rsidP="00931787">
      <w:pPr>
        <w:spacing w:after="0"/>
      </w:pPr>
    </w:p>
    <w:p w14:paraId="1843D806" w14:textId="611CAB16" w:rsidR="00600D2B" w:rsidRDefault="00F60805" w:rsidP="00931787">
      <w:pPr>
        <w:spacing w:after="0"/>
      </w:pPr>
      <w:r>
        <w:t>It considered three models against ten criteria.  The first model</w:t>
      </w:r>
      <w:r w:rsidR="00697982">
        <w:t>,</w:t>
      </w:r>
      <w:r>
        <w:t xml:space="preserve"> ‘TAHE </w:t>
      </w:r>
      <w:r w:rsidR="00600D2B">
        <w:t>pure</w:t>
      </w:r>
      <w:r>
        <w:t>’</w:t>
      </w:r>
      <w:r w:rsidR="00697982">
        <w:t>,</w:t>
      </w:r>
      <w:r>
        <w:t xml:space="preserve"> had </w:t>
      </w:r>
      <w:r w:rsidR="00600D2B">
        <w:t xml:space="preserve">segmentation of businesses according to accounting rules needed to keep assets off the general government balance sheet.  It </w:t>
      </w:r>
      <w:r w:rsidR="00B62B87">
        <w:t>failed</w:t>
      </w:r>
      <w:r w:rsidR="00600D2B">
        <w:t xml:space="preserve"> four criteria</w:t>
      </w:r>
      <w:r w:rsidR="00B62B87">
        <w:t xml:space="preserve"> and could only partially satisfy four others.  It</w:t>
      </w:r>
      <w:r w:rsidR="00600D2B">
        <w:t xml:space="preserve"> would severely fragment transport</w:t>
      </w:r>
      <w:r w:rsidR="00B62B87">
        <w:t xml:space="preserve"> and was not recommended</w:t>
      </w:r>
      <w:r w:rsidR="00600D2B">
        <w:t>.</w:t>
      </w:r>
    </w:p>
    <w:p w14:paraId="23DC5325" w14:textId="77777777" w:rsidR="00697982" w:rsidRDefault="00697982" w:rsidP="00931787">
      <w:pPr>
        <w:spacing w:after="0"/>
      </w:pPr>
    </w:p>
    <w:p w14:paraId="4C98D8B3" w14:textId="0B9F1033" w:rsidR="00B62B87" w:rsidRDefault="00600D2B" w:rsidP="00931787">
      <w:pPr>
        <w:spacing w:after="0"/>
      </w:pPr>
      <w:r>
        <w:t xml:space="preserve">The second model ‘TAHE </w:t>
      </w:r>
      <w:r w:rsidR="00E827FA">
        <w:t>real</w:t>
      </w:r>
      <w:r w:rsidRPr="00E827FA">
        <w:t>’ relied on</w:t>
      </w:r>
      <w:r w:rsidR="00F60805" w:rsidRPr="00E827FA">
        <w:t xml:space="preserve"> </w:t>
      </w:r>
      <w:r w:rsidR="00E827FA">
        <w:t xml:space="preserve">bureaucratic mechanisms - </w:t>
      </w:r>
      <w:r w:rsidR="00F60805" w:rsidRPr="00E827FA">
        <w:t>coordination unit</w:t>
      </w:r>
      <w:r w:rsidRPr="00E827FA">
        <w:t>s for operation and capital funding</w:t>
      </w:r>
      <w:r w:rsidR="00F60805" w:rsidRPr="00E827FA">
        <w:t xml:space="preserve"> with Transport for NSW.  </w:t>
      </w:r>
      <w:r w:rsidR="00B62B87" w:rsidRPr="00E827FA">
        <w:t>The report</w:t>
      </w:r>
      <w:r w:rsidR="00B62B87">
        <w:t xml:space="preserve"> said the idea</w:t>
      </w:r>
      <w:r>
        <w:t xml:space="preserve"> </w:t>
      </w:r>
      <w:r w:rsidR="00B62B87">
        <w:t xml:space="preserve">could satisfy the </w:t>
      </w:r>
      <w:r w:rsidR="009406DC">
        <w:t>objectives;</w:t>
      </w:r>
      <w:r w:rsidR="00B62B87">
        <w:t xml:space="preserve"> however, details were yet to be developed.</w:t>
      </w:r>
    </w:p>
    <w:p w14:paraId="75C4C018" w14:textId="77777777" w:rsidR="00697982" w:rsidRDefault="00697982" w:rsidP="00931787">
      <w:pPr>
        <w:spacing w:after="0"/>
      </w:pPr>
    </w:p>
    <w:p w14:paraId="70C8C664" w14:textId="4B560D96" w:rsidR="00B62B87" w:rsidRDefault="00B62B87" w:rsidP="00931787">
      <w:pPr>
        <w:spacing w:after="0"/>
      </w:pPr>
      <w:r>
        <w:lastRenderedPageBreak/>
        <w:t>The third model</w:t>
      </w:r>
      <w:r w:rsidR="00697982">
        <w:t>,</w:t>
      </w:r>
      <w:r>
        <w:t xml:space="preserve"> ‘TAHE for NSW’</w:t>
      </w:r>
      <w:r w:rsidR="00697982">
        <w:t>,</w:t>
      </w:r>
      <w:r>
        <w:t xml:space="preserve"> was more likely to satisfy all objectives.  However, it would involve </w:t>
      </w:r>
      <w:r w:rsidR="00663347">
        <w:t xml:space="preserve">the Entity </w:t>
      </w:r>
      <w:r>
        <w:t xml:space="preserve">effectively taking over Transport for NSW – </w:t>
      </w:r>
      <w:r w:rsidR="009406DC">
        <w:t>i.e.,</w:t>
      </w:r>
      <w:r>
        <w:t xml:space="preserve"> corporatisation of Trasport for NSW </w:t>
      </w:r>
      <w:r w:rsidR="005B5933">
        <w:t>similar to what w</w:t>
      </w:r>
      <w:r>
        <w:t>as described by PwC.</w:t>
      </w:r>
    </w:p>
    <w:p w14:paraId="3F540E75" w14:textId="77777777" w:rsidR="00D73F61" w:rsidRDefault="00D73F61" w:rsidP="00931787">
      <w:pPr>
        <w:spacing w:after="0"/>
      </w:pPr>
    </w:p>
    <w:p w14:paraId="3797CF52" w14:textId="3EE34BBC" w:rsidR="00AB72DF" w:rsidRDefault="00697982" w:rsidP="00931787">
      <w:pPr>
        <w:pStyle w:val="Heading3"/>
      </w:pPr>
      <w:bookmarkStart w:id="29" w:name="_Toc93085775"/>
      <w:r>
        <w:t>6.4</w:t>
      </w:r>
      <w:r w:rsidR="00AB72DF">
        <w:tab/>
      </w:r>
      <w:r w:rsidR="00D92F0D">
        <w:t xml:space="preserve">KPMG </w:t>
      </w:r>
      <w:r w:rsidR="009F6922">
        <w:t>November 2020</w:t>
      </w:r>
      <w:bookmarkEnd w:id="29"/>
    </w:p>
    <w:p w14:paraId="77DEDC0A" w14:textId="501E4D34" w:rsidR="009F6922" w:rsidRPr="009F6922" w:rsidRDefault="00697982" w:rsidP="00931787">
      <w:pPr>
        <w:pStyle w:val="Heading4"/>
      </w:pPr>
      <w:r>
        <w:t>6.4.1</w:t>
      </w:r>
      <w:r w:rsidR="009F6922">
        <w:tab/>
        <w:t>Overview</w:t>
      </w:r>
    </w:p>
    <w:p w14:paraId="29141D37" w14:textId="53E2E680" w:rsidR="00B62B87" w:rsidRDefault="00AB72DF" w:rsidP="00931787">
      <w:pPr>
        <w:spacing w:after="0"/>
      </w:pPr>
      <w:r>
        <w:t>KPMG</w:t>
      </w:r>
      <w:r w:rsidR="00B62B87">
        <w:t>’s second re</w:t>
      </w:r>
      <w:r>
        <w:t xml:space="preserve">port </w:t>
      </w:r>
      <w:r w:rsidR="00697982">
        <w:t xml:space="preserve">regarding </w:t>
      </w:r>
      <w:r>
        <w:t>Entity</w:t>
      </w:r>
      <w:r w:rsidR="00697982">
        <w:t>-</w:t>
      </w:r>
      <w:r>
        <w:t>changes in November 2020</w:t>
      </w:r>
      <w:r w:rsidR="00B62B87">
        <w:t xml:space="preserve"> was the one creating controversy</w:t>
      </w:r>
      <w:r>
        <w:t>.</w:t>
      </w:r>
      <w:r w:rsidR="00B62B87">
        <w:t xml:space="preserve">  It appear</w:t>
      </w:r>
      <w:r w:rsidR="00697982">
        <w:t>ed</w:t>
      </w:r>
      <w:r w:rsidR="00B62B87">
        <w:t xml:space="preserve"> to be based on filling out the idea of ‘TAHE pure’</w:t>
      </w:r>
      <w:r w:rsidR="00C505C8">
        <w:t>, and from that it can be inferred this was the Government’s preferred model</w:t>
      </w:r>
      <w:r w:rsidR="00B62B87">
        <w:t>.</w:t>
      </w:r>
    </w:p>
    <w:p w14:paraId="4CA215EE" w14:textId="77777777" w:rsidR="00B62B87" w:rsidRDefault="00B62B87" w:rsidP="00931787">
      <w:pPr>
        <w:spacing w:after="0"/>
      </w:pPr>
    </w:p>
    <w:p w14:paraId="7CDBC97D" w14:textId="46631AFC" w:rsidR="00AB72DF" w:rsidRDefault="00B62B87" w:rsidP="00931787">
      <w:pPr>
        <w:spacing w:after="0"/>
      </w:pPr>
      <w:r>
        <w:t>The document</w:t>
      </w:r>
      <w:r w:rsidR="00AB72DF">
        <w:t xml:space="preserve"> was marked ‘highly confidential’.</w:t>
      </w:r>
      <w:r w:rsidR="008B3384">
        <w:t xml:space="preserve">  The lead author – as for the </w:t>
      </w:r>
      <w:r w:rsidR="00835FB9">
        <w:t>July report – was the former partner who</w:t>
      </w:r>
      <w:r w:rsidR="00C505C8">
        <w:t>se</w:t>
      </w:r>
      <w:r w:rsidR="00835FB9">
        <w:t xml:space="preserve"> evidence to the Parliamentary inquiry reflected poorly on policy making.</w:t>
      </w:r>
      <w:r w:rsidR="00455E5F">
        <w:rPr>
          <w:rStyle w:val="FootnoteReference"/>
        </w:rPr>
        <w:footnoteReference w:id="130"/>
      </w:r>
    </w:p>
    <w:p w14:paraId="7812C57B" w14:textId="1C57D0A4" w:rsidR="00C84C4B" w:rsidRDefault="00C84C4B" w:rsidP="00931787">
      <w:pPr>
        <w:spacing w:after="0"/>
      </w:pPr>
    </w:p>
    <w:p w14:paraId="6FEBE2AA" w14:textId="58C86ECA" w:rsidR="00854501" w:rsidRDefault="00854501" w:rsidP="00931787">
      <w:pPr>
        <w:spacing w:after="0"/>
      </w:pPr>
      <w:r>
        <w:t>The proposed arrangements were supposed to conform with Treasury requirements that:</w:t>
      </w:r>
    </w:p>
    <w:p w14:paraId="14F9D1B8" w14:textId="1C4F1779" w:rsidR="00854501" w:rsidRDefault="00854501" w:rsidP="00854501">
      <w:pPr>
        <w:spacing w:after="0"/>
        <w:ind w:left="720"/>
        <w:rPr>
          <w:i/>
          <w:iCs/>
        </w:rPr>
      </w:pPr>
      <w:r w:rsidRPr="00854501">
        <w:rPr>
          <w:i/>
          <w:iCs/>
        </w:rPr>
        <w:t>‘TAHE must have demonstrable independence and control of its assets, revenues, investments and costs’</w:t>
      </w:r>
      <w:r>
        <w:rPr>
          <w:rStyle w:val="FootnoteReference"/>
          <w:i/>
          <w:iCs/>
        </w:rPr>
        <w:footnoteReference w:id="131"/>
      </w:r>
    </w:p>
    <w:p w14:paraId="21443980" w14:textId="515EB459" w:rsidR="00854501" w:rsidRDefault="00854501" w:rsidP="00854501">
      <w:pPr>
        <w:spacing w:after="0"/>
        <w:ind w:left="720"/>
        <w:rPr>
          <w:i/>
          <w:iCs/>
        </w:rPr>
      </w:pPr>
    </w:p>
    <w:p w14:paraId="61952C0C" w14:textId="12E5A46C" w:rsidR="00F10A08" w:rsidRDefault="00854501" w:rsidP="00854501">
      <w:pPr>
        <w:spacing w:after="0"/>
        <w:rPr>
          <w:i/>
          <w:iCs/>
        </w:rPr>
      </w:pPr>
      <w:r w:rsidRPr="00F10A08">
        <w:t>The Entity would take over Transport for NSW functions</w:t>
      </w:r>
      <w:r w:rsidR="00F10A08" w:rsidRPr="00F10A08">
        <w:t>:</w:t>
      </w:r>
      <w:r w:rsidRPr="00F10A08">
        <w:t xml:space="preserve"> </w:t>
      </w:r>
      <w:r w:rsidR="00F10A08" w:rsidRPr="00F10A08">
        <w:t xml:space="preserve">pricing and terms of track access; level and terms of rail investment; </w:t>
      </w:r>
      <w:r w:rsidR="00F10A08">
        <w:rPr>
          <w:i/>
          <w:iCs/>
        </w:rPr>
        <w:t xml:space="preserve">‘endorsement’ </w:t>
      </w:r>
      <w:r w:rsidR="00F10A08" w:rsidRPr="00F10A08">
        <w:t>of maintenance levels; assurance maintenance has been</w:t>
      </w:r>
      <w:r w:rsidR="00F10A08">
        <w:rPr>
          <w:i/>
          <w:iCs/>
        </w:rPr>
        <w:t xml:space="preserve"> ‘appropriately performed’.</w:t>
      </w:r>
      <w:r w:rsidR="00F10A08">
        <w:rPr>
          <w:rStyle w:val="FootnoteReference"/>
          <w:i/>
          <w:iCs/>
        </w:rPr>
        <w:footnoteReference w:id="132"/>
      </w:r>
    </w:p>
    <w:p w14:paraId="0EE18B65" w14:textId="7DAD5217" w:rsidR="00F10A08" w:rsidRDefault="00F10A08" w:rsidP="00854501">
      <w:pPr>
        <w:spacing w:after="0"/>
        <w:rPr>
          <w:i/>
          <w:iCs/>
        </w:rPr>
      </w:pPr>
    </w:p>
    <w:p w14:paraId="6C468962" w14:textId="77777777" w:rsidR="00076205" w:rsidRDefault="00F10A08" w:rsidP="00854501">
      <w:pPr>
        <w:spacing w:after="0"/>
        <w:rPr>
          <w:i/>
          <w:iCs/>
        </w:rPr>
      </w:pPr>
      <w:r w:rsidRPr="00801C99">
        <w:t>However, the Entity would not, among other things</w:t>
      </w:r>
      <w:r w:rsidR="00801C99">
        <w:rPr>
          <w:i/>
          <w:iCs/>
        </w:rPr>
        <w:t>:</w:t>
      </w:r>
    </w:p>
    <w:p w14:paraId="7D334998" w14:textId="69115389" w:rsidR="00F10A08" w:rsidRDefault="00801C99" w:rsidP="00076205">
      <w:pPr>
        <w:spacing w:after="0"/>
        <w:ind w:left="720" w:firstLine="45"/>
        <w:rPr>
          <w:i/>
          <w:iCs/>
        </w:rPr>
      </w:pPr>
      <w:r>
        <w:rPr>
          <w:i/>
          <w:iCs/>
        </w:rPr>
        <w:t>’</w:t>
      </w:r>
      <w:r w:rsidR="00F10A08">
        <w:rPr>
          <w:i/>
          <w:iCs/>
        </w:rPr>
        <w:t>develop, monitor and enforce compliance with access agreements</w:t>
      </w:r>
      <w:r>
        <w:rPr>
          <w:i/>
          <w:iCs/>
        </w:rPr>
        <w:t>’</w:t>
      </w:r>
      <w:r w:rsidR="00F10A08">
        <w:rPr>
          <w:i/>
          <w:iCs/>
        </w:rPr>
        <w:t xml:space="preserve">; </w:t>
      </w:r>
      <w:r>
        <w:rPr>
          <w:i/>
          <w:iCs/>
        </w:rPr>
        <w:t>‘</w:t>
      </w:r>
      <w:r w:rsidR="00F10A08">
        <w:rPr>
          <w:i/>
          <w:iCs/>
        </w:rPr>
        <w:t>manage the SWTT or DWTT</w:t>
      </w:r>
      <w:r>
        <w:rPr>
          <w:i/>
          <w:iCs/>
        </w:rPr>
        <w:t>’</w:t>
      </w:r>
      <w:r w:rsidR="00F10A08">
        <w:rPr>
          <w:i/>
          <w:iCs/>
        </w:rPr>
        <w:t xml:space="preserve">; </w:t>
      </w:r>
      <w:r>
        <w:rPr>
          <w:i/>
          <w:iCs/>
        </w:rPr>
        <w:t>‘</w:t>
      </w:r>
      <w:r w:rsidR="00F10A08">
        <w:rPr>
          <w:i/>
          <w:iCs/>
        </w:rPr>
        <w:t xml:space="preserve">have accountability for procurement </w:t>
      </w:r>
      <w:r>
        <w:rPr>
          <w:i/>
          <w:iCs/>
        </w:rPr>
        <w:t xml:space="preserve">and delivery </w:t>
      </w:r>
      <w:r w:rsidR="00F10A08">
        <w:rPr>
          <w:i/>
          <w:iCs/>
        </w:rPr>
        <w:t>of operational capital projects</w:t>
      </w:r>
      <w:r>
        <w:rPr>
          <w:i/>
          <w:iCs/>
        </w:rPr>
        <w:t>’</w:t>
      </w:r>
      <w:r w:rsidR="00F10A08">
        <w:rPr>
          <w:i/>
          <w:iCs/>
        </w:rPr>
        <w:t xml:space="preserve">; </w:t>
      </w:r>
      <w:r>
        <w:rPr>
          <w:i/>
          <w:iCs/>
        </w:rPr>
        <w:t xml:space="preserve">‘directly deliver maintenance services, undertake asset assurance and set asset standards’; ‘determine the level of maintenance expenditure of </w:t>
      </w:r>
      <w:r w:rsidRPr="005B5933">
        <w:t>(sic?)</w:t>
      </w:r>
      <w:r>
        <w:rPr>
          <w:i/>
          <w:iCs/>
        </w:rPr>
        <w:t xml:space="preserve"> funding’.</w:t>
      </w:r>
      <w:r>
        <w:rPr>
          <w:rStyle w:val="FootnoteReference"/>
          <w:i/>
          <w:iCs/>
        </w:rPr>
        <w:footnoteReference w:id="133"/>
      </w:r>
    </w:p>
    <w:p w14:paraId="393993CC" w14:textId="34019E06" w:rsidR="00854501" w:rsidRPr="00854501" w:rsidRDefault="00854501" w:rsidP="00854501">
      <w:pPr>
        <w:spacing w:after="0"/>
        <w:rPr>
          <w:i/>
          <w:iCs/>
        </w:rPr>
      </w:pPr>
    </w:p>
    <w:p w14:paraId="178B4B8D" w14:textId="292C6BCD" w:rsidR="00854501" w:rsidRDefault="00B40CFF" w:rsidP="00931787">
      <w:pPr>
        <w:spacing w:after="0"/>
      </w:pPr>
      <w:r>
        <w:t>The report’s</w:t>
      </w:r>
      <w:r w:rsidR="00C84C4B">
        <w:t xml:space="preserve"> discussion </w:t>
      </w:r>
      <w:r w:rsidR="00991A77">
        <w:t>about NSW</w:t>
      </w:r>
      <w:r w:rsidR="00835FB9">
        <w:t>’s proposed</w:t>
      </w:r>
      <w:r w:rsidR="00991A77">
        <w:t xml:space="preserve"> rail arrangements was charitable</w:t>
      </w:r>
      <w:r>
        <w:t xml:space="preserve">.  </w:t>
      </w:r>
      <w:r w:rsidR="00991A77">
        <w:t xml:space="preserve">Nonetheless, it </w:t>
      </w:r>
      <w:r w:rsidR="00C84C4B">
        <w:t xml:space="preserve">demonstrated the </w:t>
      </w:r>
      <w:r w:rsidR="008B3384">
        <w:t xml:space="preserve">proposed </w:t>
      </w:r>
      <w:r w:rsidR="00C84C4B">
        <w:t>arrangements to be artificia</w:t>
      </w:r>
      <w:r w:rsidR="00991A77">
        <w:t>l</w:t>
      </w:r>
      <w:r w:rsidR="00C84C4B">
        <w:t xml:space="preserve"> </w:t>
      </w:r>
      <w:r w:rsidR="00991A77">
        <w:t xml:space="preserve">and </w:t>
      </w:r>
      <w:r w:rsidR="00C84C4B">
        <w:t>confused.</w:t>
      </w:r>
      <w:r w:rsidR="00991A77">
        <w:t xml:space="preserve"> </w:t>
      </w:r>
      <w:r w:rsidR="008B3384">
        <w:rPr>
          <w:rStyle w:val="FootnoteReference"/>
        </w:rPr>
        <w:footnoteReference w:id="134"/>
      </w:r>
    </w:p>
    <w:p w14:paraId="7322E333" w14:textId="77777777" w:rsidR="00B40CFF" w:rsidRDefault="00B40CFF" w:rsidP="00931787">
      <w:pPr>
        <w:spacing w:after="0"/>
      </w:pPr>
    </w:p>
    <w:p w14:paraId="395B6468" w14:textId="1201CF97" w:rsidR="00C84C4B" w:rsidRDefault="00991A77" w:rsidP="00931787">
      <w:pPr>
        <w:spacing w:after="0"/>
      </w:pPr>
      <w:r>
        <w:t xml:space="preserve">The report did not draw </w:t>
      </w:r>
      <w:r w:rsidR="005B5933">
        <w:t xml:space="preserve">what seems to me </w:t>
      </w:r>
      <w:r>
        <w:t>the obvious conclusion about this mess: it likely creates risk to the public from NSW rail.</w:t>
      </w:r>
      <w:r w:rsidR="00C84C4B">
        <w:t xml:space="preserve">   </w:t>
      </w:r>
    </w:p>
    <w:p w14:paraId="6D5AA4AD" w14:textId="6037FC36" w:rsidR="00AB72DF" w:rsidRDefault="00AB72DF" w:rsidP="00931787">
      <w:pPr>
        <w:spacing w:after="0"/>
      </w:pPr>
    </w:p>
    <w:p w14:paraId="4BCFE079" w14:textId="35AC23B6" w:rsidR="00C84C4B" w:rsidRDefault="00663347" w:rsidP="00931787">
      <w:pPr>
        <w:spacing w:after="0"/>
      </w:pPr>
      <w:r>
        <w:t xml:space="preserve">However, </w:t>
      </w:r>
      <w:r w:rsidR="005B5933">
        <w:t>the report could be interpreted as</w:t>
      </w:r>
      <w:r>
        <w:t xml:space="preserve"> </w:t>
      </w:r>
      <w:r w:rsidR="00C84C4B">
        <w:t>effect</w:t>
      </w:r>
      <w:r>
        <w:t xml:space="preserve">ively </w:t>
      </w:r>
      <w:r w:rsidR="00C84C4B">
        <w:t>advis</w:t>
      </w:r>
      <w:r w:rsidR="005B5933">
        <w:t>ing</w:t>
      </w:r>
      <w:r w:rsidR="00C84C4B">
        <w:t xml:space="preserve"> against the Entity</w:t>
      </w:r>
      <w:r w:rsidR="005B5933">
        <w:t xml:space="preserve"> model</w:t>
      </w:r>
      <w:r w:rsidR="00C84C4B">
        <w:t xml:space="preserve">.  It provided an assessment of proposed arrangements against </w:t>
      </w:r>
      <w:r w:rsidR="008D03E1">
        <w:t>ten</w:t>
      </w:r>
      <w:r w:rsidR="00991A77">
        <w:t xml:space="preserve"> </w:t>
      </w:r>
      <w:r w:rsidR="00C84C4B">
        <w:t>stated Government objectives.</w:t>
      </w:r>
      <w:r w:rsidR="00991A77">
        <w:t xml:space="preserve">  Even its lenient view held the arrangements </w:t>
      </w:r>
      <w:r w:rsidR="00835FB9">
        <w:t xml:space="preserve">would </w:t>
      </w:r>
      <w:r w:rsidR="00991A77">
        <w:t>meet only t</w:t>
      </w:r>
      <w:r w:rsidR="008D03E1">
        <w:t>hree</w:t>
      </w:r>
      <w:r w:rsidR="00991A77">
        <w:t xml:space="preserve"> objectives.  The </w:t>
      </w:r>
      <w:r w:rsidR="00835FB9">
        <w:t xml:space="preserve">proposed </w:t>
      </w:r>
      <w:r w:rsidR="00991A77">
        <w:t xml:space="preserve">arrangements </w:t>
      </w:r>
      <w:r w:rsidR="00835FB9">
        <w:t xml:space="preserve">would </w:t>
      </w:r>
      <w:r w:rsidR="00991A77">
        <w:t>prevent achievement of two Government objectives.</w:t>
      </w:r>
      <w:r w:rsidR="00991A77">
        <w:rPr>
          <w:rStyle w:val="FootnoteReference"/>
        </w:rPr>
        <w:footnoteReference w:id="135"/>
      </w:r>
      <w:r w:rsidR="00991A77">
        <w:t xml:space="preserve">  </w:t>
      </w:r>
    </w:p>
    <w:p w14:paraId="59C10A35" w14:textId="77777777" w:rsidR="00991A77" w:rsidRDefault="00991A77" w:rsidP="00931787">
      <w:pPr>
        <w:spacing w:after="0"/>
      </w:pPr>
    </w:p>
    <w:p w14:paraId="63A070F1" w14:textId="77777777" w:rsidR="00D73F61" w:rsidRDefault="00BC5345" w:rsidP="00931787">
      <w:pPr>
        <w:spacing w:after="0"/>
      </w:pPr>
      <w:r>
        <w:t>Despite this assessment, the</w:t>
      </w:r>
      <w:r w:rsidR="00AB72DF">
        <w:t xml:space="preserve"> </w:t>
      </w:r>
      <w:r w:rsidR="00455E5F">
        <w:t xml:space="preserve">bureaucratic </w:t>
      </w:r>
      <w:r w:rsidR="00663347">
        <w:t xml:space="preserve">and media </w:t>
      </w:r>
      <w:r w:rsidR="00AB72DF">
        <w:t xml:space="preserve">controversy </w:t>
      </w:r>
      <w:r>
        <w:t xml:space="preserve">was </w:t>
      </w:r>
      <w:r w:rsidR="00AB72DF">
        <w:t xml:space="preserve">about </w:t>
      </w:r>
      <w:r w:rsidR="00455E5F">
        <w:t>an</w:t>
      </w:r>
      <w:r>
        <w:t>other</w:t>
      </w:r>
      <w:r w:rsidR="00455E5F">
        <w:t xml:space="preserve"> aspect of </w:t>
      </w:r>
      <w:r w:rsidR="00AB72DF">
        <w:t>the report</w:t>
      </w:r>
      <w:r w:rsidR="00455E5F">
        <w:t xml:space="preserve"> – implications of the Entity for presentation of the State Budget.</w:t>
      </w:r>
    </w:p>
    <w:p w14:paraId="6AF2AE08" w14:textId="28306506" w:rsidR="00ED532C" w:rsidRDefault="00455E5F" w:rsidP="00931787">
      <w:pPr>
        <w:spacing w:after="0"/>
      </w:pPr>
      <w:r>
        <w:t xml:space="preserve">  </w:t>
      </w:r>
    </w:p>
    <w:p w14:paraId="200B03B9" w14:textId="77777777" w:rsidR="009444DD" w:rsidRDefault="009444DD" w:rsidP="009444DD">
      <w:pPr>
        <w:pStyle w:val="Heading4"/>
      </w:pPr>
      <w:r>
        <w:t>6.4.2</w:t>
      </w:r>
      <w:r>
        <w:tab/>
        <w:t>Budget controversy source</w:t>
      </w:r>
    </w:p>
    <w:p w14:paraId="5FC676DB" w14:textId="193D24CD" w:rsidR="00455E5F" w:rsidRDefault="00455E5F" w:rsidP="00931787">
      <w:pPr>
        <w:spacing w:after="0"/>
      </w:pPr>
      <w:r>
        <w:t xml:space="preserve">This </w:t>
      </w:r>
      <w:r w:rsidR="00BC5345">
        <w:t xml:space="preserve">controversy </w:t>
      </w:r>
      <w:r>
        <w:t>is recorded in the report via separate scenarios – one preferred by NSW Treasury and the other by KPMG.  The consequen</w:t>
      </w:r>
      <w:r w:rsidR="00B40CFF">
        <w:t xml:space="preserve">ce of the </w:t>
      </w:r>
      <w:r>
        <w:t xml:space="preserve">difference between the scenarios </w:t>
      </w:r>
      <w:r w:rsidR="00B94165">
        <w:t>is</w:t>
      </w:r>
      <w:r>
        <w:t xml:space="preserve"> a substantial variation in </w:t>
      </w:r>
      <w:r w:rsidR="00663347">
        <w:t xml:space="preserve">estimates presented in the </w:t>
      </w:r>
      <w:r>
        <w:t>NSW Budget.</w:t>
      </w:r>
    </w:p>
    <w:p w14:paraId="0449039E" w14:textId="001C842B" w:rsidR="00455E5F" w:rsidRDefault="00455E5F" w:rsidP="00931787">
      <w:pPr>
        <w:spacing w:after="0"/>
      </w:pPr>
    </w:p>
    <w:p w14:paraId="610708D6" w14:textId="41AA1747" w:rsidR="00455E5F" w:rsidRDefault="00455E5F" w:rsidP="00931787">
      <w:pPr>
        <w:spacing w:after="0"/>
      </w:pPr>
      <w:r>
        <w:t>Of more interest here are the sources of that difference.  There were two</w:t>
      </w:r>
      <w:r w:rsidR="00135A8A">
        <w:t xml:space="preserve"> </w:t>
      </w:r>
      <w:r w:rsidR="00835FB9">
        <w:t xml:space="preserve">sources </w:t>
      </w:r>
      <w:r w:rsidR="00135A8A">
        <w:t>stemming from arrangements assumed by KPMG</w:t>
      </w:r>
      <w:r>
        <w:t>: control of NSW railways; access charges.</w:t>
      </w:r>
      <w:r w:rsidR="00BC5345">
        <w:t xml:space="preserve">  </w:t>
      </w:r>
      <w:r w:rsidR="00135A8A">
        <w:t xml:space="preserve">The extent to which the arrangements assumed </w:t>
      </w:r>
      <w:r w:rsidR="009444DD">
        <w:t>by</w:t>
      </w:r>
      <w:r w:rsidR="00135A8A">
        <w:t xml:space="preserve"> the report </w:t>
      </w:r>
      <w:r w:rsidR="009444DD">
        <w:t>have/had been</w:t>
      </w:r>
      <w:r w:rsidR="00135A8A">
        <w:t xml:space="preserve"> implemented is unknown.  Nonetheless, the report is </w:t>
      </w:r>
      <w:r w:rsidR="00BC5345">
        <w:t xml:space="preserve">suggestive of a </w:t>
      </w:r>
      <w:r w:rsidR="00835FB9">
        <w:t>dreadful</w:t>
      </w:r>
      <w:r w:rsidR="00BC5345">
        <w:t xml:space="preserve"> </w:t>
      </w:r>
      <w:r w:rsidR="00835FB9">
        <w:t>tangle</w:t>
      </w:r>
      <w:r w:rsidR="00D73F61">
        <w:t xml:space="preserve"> in policy</w:t>
      </w:r>
      <w:r w:rsidR="00BC5345">
        <w:t>.</w:t>
      </w:r>
      <w:r w:rsidR="00135A8A">
        <w:t xml:space="preserve">  </w:t>
      </w:r>
    </w:p>
    <w:p w14:paraId="0B83E810" w14:textId="5E6A5AC5" w:rsidR="00931719" w:rsidRDefault="00931719" w:rsidP="00931787">
      <w:pPr>
        <w:spacing w:after="0"/>
      </w:pPr>
    </w:p>
    <w:p w14:paraId="312910CF" w14:textId="7D70C54E" w:rsidR="00931719" w:rsidRDefault="00931719" w:rsidP="00931787">
      <w:pPr>
        <w:spacing w:after="0"/>
      </w:pPr>
      <w:r>
        <w:t xml:space="preserve">Unfortunately, the copy of the report </w:t>
      </w:r>
      <w:r w:rsidR="00BF3ED9">
        <w:t xml:space="preserve">at the Inquiry’s website </w:t>
      </w:r>
      <w:r>
        <w:t xml:space="preserve">is in parts illegible and does not include calculations.  The following </w:t>
      </w:r>
      <w:r w:rsidR="00BF3ED9">
        <w:t>is based on</w:t>
      </w:r>
      <w:r>
        <w:t xml:space="preserve"> what </w:t>
      </w:r>
      <w:r w:rsidR="00BF3ED9">
        <w:t>might</w:t>
      </w:r>
      <w:r>
        <w:t xml:space="preserve"> be understood from that copy.</w:t>
      </w:r>
      <w:r w:rsidR="00BF3ED9">
        <w:rPr>
          <w:rStyle w:val="FootnoteReference"/>
        </w:rPr>
        <w:footnoteReference w:id="136"/>
      </w:r>
    </w:p>
    <w:p w14:paraId="3753607C" w14:textId="404FE942" w:rsidR="00455E5F" w:rsidRDefault="00455E5F" w:rsidP="00931787">
      <w:pPr>
        <w:spacing w:after="0"/>
      </w:pPr>
    </w:p>
    <w:p w14:paraId="54B4661D" w14:textId="73FC85D4" w:rsidR="00455E5F" w:rsidRDefault="009444DD" w:rsidP="00931787">
      <w:pPr>
        <w:pStyle w:val="Heading4"/>
      </w:pPr>
      <w:r>
        <w:t>6.4.</w:t>
      </w:r>
      <w:r w:rsidR="009F6922">
        <w:t>3</w:t>
      </w:r>
      <w:r w:rsidR="00455E5F">
        <w:tab/>
        <w:t>Control of NSW railways</w:t>
      </w:r>
    </w:p>
    <w:p w14:paraId="0B6CCB58" w14:textId="751A1CE0" w:rsidR="009D3560" w:rsidRDefault="009D3560" w:rsidP="00931787">
      <w:pPr>
        <w:spacing w:after="0"/>
      </w:pPr>
      <w:r>
        <w:t>KPMG offer</w:t>
      </w:r>
      <w:r w:rsidR="00835FB9">
        <w:t>ed</w:t>
      </w:r>
      <w:r>
        <w:t xml:space="preserve"> some explanation of the </w:t>
      </w:r>
      <w:r w:rsidR="004E3497">
        <w:t xml:space="preserve">proposed operation of the </w:t>
      </w:r>
      <w:r>
        <w:t>Entity and control of NSW railways.</w:t>
      </w:r>
      <w:r w:rsidR="00835FB9">
        <w:t xml:space="preserve">  </w:t>
      </w:r>
      <w:r>
        <w:t>The report suggest</w:t>
      </w:r>
      <w:r w:rsidR="00835FB9">
        <w:t>ed</w:t>
      </w:r>
      <w:r>
        <w:t xml:space="preserve"> the operational arrangements include:</w:t>
      </w:r>
    </w:p>
    <w:p w14:paraId="6C49DFCD" w14:textId="0F7D17E4" w:rsidR="009D3560" w:rsidRDefault="009D3560" w:rsidP="00931787">
      <w:pPr>
        <w:pStyle w:val="ListParagraph"/>
        <w:numPr>
          <w:ilvl w:val="0"/>
          <w:numId w:val="4"/>
        </w:numPr>
        <w:spacing w:after="0"/>
        <w:ind w:left="360"/>
      </w:pPr>
      <w:r>
        <w:t>Sydney Trains conducts maintenance including of track;</w:t>
      </w:r>
    </w:p>
    <w:p w14:paraId="4D0A3D80" w14:textId="5A87CE9A" w:rsidR="009D3560" w:rsidRDefault="009444DD" w:rsidP="00931787">
      <w:pPr>
        <w:pStyle w:val="ListParagraph"/>
        <w:numPr>
          <w:ilvl w:val="0"/>
          <w:numId w:val="4"/>
        </w:numPr>
        <w:spacing w:after="0"/>
        <w:ind w:left="360"/>
      </w:pPr>
      <w:r>
        <w:t>t</w:t>
      </w:r>
      <w:r w:rsidR="009D3560">
        <w:t>he level of maintenance spending is determined – ‘endorsed’ – by the Entity;</w:t>
      </w:r>
    </w:p>
    <w:p w14:paraId="34A6B873" w14:textId="6C29180E" w:rsidR="00AA3C1E" w:rsidRDefault="00AA3C1E" w:rsidP="00931787">
      <w:pPr>
        <w:pStyle w:val="ListParagraph"/>
        <w:numPr>
          <w:ilvl w:val="0"/>
          <w:numId w:val="4"/>
        </w:numPr>
        <w:spacing w:after="0"/>
        <w:ind w:left="360"/>
      </w:pPr>
      <w:r>
        <w:t>Transport for NSW pays Sydney Trains for maintenance of the Entity’s assets;</w:t>
      </w:r>
    </w:p>
    <w:p w14:paraId="0F890759" w14:textId="5A52B731" w:rsidR="009D3560" w:rsidRDefault="009444DD" w:rsidP="00931787">
      <w:pPr>
        <w:pStyle w:val="ListParagraph"/>
        <w:numPr>
          <w:ilvl w:val="0"/>
          <w:numId w:val="4"/>
        </w:numPr>
        <w:spacing w:after="0"/>
        <w:ind w:left="360"/>
      </w:pPr>
      <w:r>
        <w:t>t</w:t>
      </w:r>
      <w:r w:rsidR="009D3560">
        <w:t>he split between types of maintenance works is determined by Transport for NSW;</w:t>
      </w:r>
    </w:p>
    <w:p w14:paraId="4F4A1F95" w14:textId="79DB928F" w:rsidR="009D3560" w:rsidRDefault="009444DD" w:rsidP="00931787">
      <w:pPr>
        <w:pStyle w:val="ListParagraph"/>
        <w:numPr>
          <w:ilvl w:val="0"/>
          <w:numId w:val="4"/>
        </w:numPr>
        <w:spacing w:after="0"/>
        <w:ind w:left="360"/>
      </w:pPr>
      <w:r>
        <w:t>s</w:t>
      </w:r>
      <w:r w:rsidR="009D3560">
        <w:t>cheduling - the Standard Working Timetable - is conducted by Transport for NSW;</w:t>
      </w:r>
    </w:p>
    <w:p w14:paraId="5036AF11" w14:textId="4A4BD427" w:rsidR="009D3560" w:rsidRDefault="009444DD" w:rsidP="00931787">
      <w:pPr>
        <w:pStyle w:val="ListParagraph"/>
        <w:numPr>
          <w:ilvl w:val="0"/>
          <w:numId w:val="4"/>
        </w:numPr>
        <w:spacing w:after="0"/>
        <w:ind w:left="360"/>
      </w:pPr>
      <w:r>
        <w:t>r</w:t>
      </w:r>
      <w:r w:rsidR="009D3560">
        <w:t xml:space="preserve">eal time </w:t>
      </w:r>
      <w:r w:rsidR="004E3497">
        <w:t>train</w:t>
      </w:r>
      <w:r w:rsidR="009D3560">
        <w:t xml:space="preserve"> control is performed by Sydney Trains via Ministerial direction;</w:t>
      </w:r>
    </w:p>
    <w:p w14:paraId="01C9A104" w14:textId="338245B6" w:rsidR="009D3560" w:rsidRDefault="009444DD" w:rsidP="00931787">
      <w:pPr>
        <w:pStyle w:val="ListParagraph"/>
        <w:numPr>
          <w:ilvl w:val="0"/>
          <w:numId w:val="4"/>
        </w:numPr>
        <w:spacing w:after="0"/>
        <w:ind w:left="360"/>
      </w:pPr>
      <w:r>
        <w:t>t</w:t>
      </w:r>
      <w:r w:rsidR="009D3560">
        <w:t>he Entity signs access agreements.</w:t>
      </w:r>
    </w:p>
    <w:p w14:paraId="5BB0DBC0" w14:textId="77777777" w:rsidR="009F6922" w:rsidRDefault="009F6922" w:rsidP="00931787">
      <w:pPr>
        <w:spacing w:after="0"/>
      </w:pPr>
    </w:p>
    <w:p w14:paraId="57A738CA" w14:textId="1B324949" w:rsidR="004E3497" w:rsidRDefault="00AA3C1E" w:rsidP="00931787">
      <w:pPr>
        <w:spacing w:after="0"/>
      </w:pPr>
      <w:r>
        <w:t>The report d</w:t>
      </w:r>
      <w:r w:rsidR="00835FB9">
        <w:t>id</w:t>
      </w:r>
      <w:r>
        <w:t xml:space="preserve"> not say how </w:t>
      </w:r>
      <w:r w:rsidR="004E3497">
        <w:t>the Entity will be controlled such that it does not enter access agreements for which capacity is not available.</w:t>
      </w:r>
      <w:r w:rsidR="004E3497">
        <w:rPr>
          <w:rStyle w:val="FootnoteReference"/>
        </w:rPr>
        <w:footnoteReference w:id="137"/>
      </w:r>
      <w:r w:rsidR="004E3497">
        <w:t xml:space="preserve">  </w:t>
      </w:r>
    </w:p>
    <w:p w14:paraId="72387221" w14:textId="77777777" w:rsidR="004E3497" w:rsidRDefault="004E3497" w:rsidP="00931787">
      <w:pPr>
        <w:spacing w:after="0"/>
      </w:pPr>
    </w:p>
    <w:p w14:paraId="01A16626" w14:textId="319509E1" w:rsidR="00AA3C1E" w:rsidRDefault="004E3497" w:rsidP="00931787">
      <w:pPr>
        <w:spacing w:after="0"/>
      </w:pPr>
      <w:r>
        <w:t xml:space="preserve">Two of the three network control functions – scheduling, train control - are organisationally separated.  However, the critical third aspect of </w:t>
      </w:r>
      <w:r w:rsidR="00AA3C1E">
        <w:t xml:space="preserve">network control – the Safe Working Rules – </w:t>
      </w:r>
      <w:r>
        <w:t>is not mentioned</w:t>
      </w:r>
      <w:r w:rsidR="00AA3C1E">
        <w:t>.</w:t>
      </w:r>
    </w:p>
    <w:p w14:paraId="3DA8CAD1" w14:textId="0F797D3F" w:rsidR="004E3497" w:rsidRDefault="004E3497" w:rsidP="00931787">
      <w:pPr>
        <w:spacing w:after="0"/>
      </w:pPr>
    </w:p>
    <w:p w14:paraId="3C12B070" w14:textId="0F728831" w:rsidR="00935367" w:rsidRDefault="004E3497" w:rsidP="00931787">
      <w:pPr>
        <w:spacing w:after="0"/>
      </w:pPr>
      <w:r>
        <w:t xml:space="preserve">Nor </w:t>
      </w:r>
      <w:r w:rsidR="00835FB9">
        <w:t>wa</w:t>
      </w:r>
      <w:r>
        <w:t xml:space="preserve">s there mention of any </w:t>
      </w:r>
      <w:r w:rsidR="00935367">
        <w:t xml:space="preserve">proper </w:t>
      </w:r>
      <w:r>
        <w:t xml:space="preserve">mechanism to resolve disputes among the parties.  The absence of such a </w:t>
      </w:r>
      <w:r w:rsidRPr="00935367">
        <w:t>mechanism doomed the 1996 changes to failure.</w:t>
      </w:r>
      <w:r w:rsidR="009444DD" w:rsidRPr="00935367">
        <w:t xml:space="preserve">  </w:t>
      </w:r>
      <w:r w:rsidR="00935367" w:rsidRPr="00935367">
        <w:t>At the Parliamentary Inquiry, t</w:t>
      </w:r>
      <w:r w:rsidR="009444DD" w:rsidRPr="00935367">
        <w:t xml:space="preserve">he Secretary of Transport for NSW </w:t>
      </w:r>
      <w:r w:rsidR="00935367">
        <w:t xml:space="preserve">did </w:t>
      </w:r>
      <w:r w:rsidR="00935367" w:rsidRPr="00935367">
        <w:t>claim the ‘agreements’ among the Entity, Transport for NSW and Sydney Trains have dispute resolution mechanisms</w:t>
      </w:r>
      <w:r w:rsidR="00935367">
        <w:t>:</w:t>
      </w:r>
    </w:p>
    <w:p w14:paraId="11456FA5" w14:textId="37DF6FAE" w:rsidR="00935367" w:rsidRPr="00935367" w:rsidRDefault="00935367" w:rsidP="00935367">
      <w:pPr>
        <w:spacing w:after="0"/>
        <w:ind w:left="720"/>
        <w:rPr>
          <w:i/>
          <w:iCs/>
        </w:rPr>
      </w:pPr>
      <w:r w:rsidRPr="00935367">
        <w:rPr>
          <w:i/>
          <w:iCs/>
        </w:rPr>
        <w:t>‘</w:t>
      </w:r>
      <w:r w:rsidRPr="00935367">
        <w:rPr>
          <w:i/>
          <w:iCs/>
        </w:rPr>
        <w:t>and nominated contract managers who will facilitate the solution of these issues on behalf of their respective entities</w:t>
      </w:r>
      <w:r w:rsidRPr="00935367">
        <w:rPr>
          <w:i/>
          <w:iCs/>
        </w:rPr>
        <w:t>.’</w:t>
      </w:r>
      <w:r>
        <w:rPr>
          <w:rStyle w:val="FootnoteReference"/>
          <w:i/>
          <w:iCs/>
        </w:rPr>
        <w:footnoteReference w:id="138"/>
      </w:r>
    </w:p>
    <w:p w14:paraId="42B0F9F2" w14:textId="77777777" w:rsidR="005B5933" w:rsidRDefault="005B5933" w:rsidP="00935367">
      <w:pPr>
        <w:spacing w:after="0"/>
      </w:pPr>
    </w:p>
    <w:p w14:paraId="30AEBDBB" w14:textId="27E2CBCB" w:rsidR="00DD4214" w:rsidRDefault="00935367" w:rsidP="00935367">
      <w:pPr>
        <w:spacing w:after="0"/>
      </w:pPr>
      <w:r>
        <w:t>However, if that is the extent of dispute resolution</w:t>
      </w:r>
      <w:r w:rsidR="004060B2">
        <w:t xml:space="preserve"> processes</w:t>
      </w:r>
      <w:r>
        <w:t xml:space="preserve">, the mechanism is </w:t>
      </w:r>
      <w:r w:rsidR="00887977">
        <w:t xml:space="preserve">merely </w:t>
      </w:r>
      <w:r>
        <w:t>a watered-down version of the ineffective, probably counter-productive</w:t>
      </w:r>
      <w:r w:rsidR="004060B2">
        <w:t>,</w:t>
      </w:r>
      <w:r w:rsidR="00DD4214">
        <w:t xml:space="preserve"> dispute process of the 1996 changes</w:t>
      </w:r>
      <w:r w:rsidR="004060B2">
        <w:t xml:space="preserve"> – which also involved representatives of the parties and senior officials</w:t>
      </w:r>
      <w:r w:rsidR="00DD4214">
        <w:t>.</w:t>
      </w:r>
      <w:r w:rsidR="004060B2">
        <w:t xml:space="preserve">  Neither </w:t>
      </w:r>
      <w:r w:rsidR="00F82FC1">
        <w:t>is</w:t>
      </w:r>
      <w:r w:rsidR="004060B2">
        <w:t xml:space="preserve"> capable of dealing with the issue</w:t>
      </w:r>
      <w:r w:rsidR="00F82FC1">
        <w:t>s</w:t>
      </w:r>
      <w:r w:rsidR="004060B2">
        <w:t xml:space="preserve"> identified in the Special Commission of Inquiry into Sydney Ferries.</w:t>
      </w:r>
      <w:r w:rsidR="00DD4214">
        <w:rPr>
          <w:rStyle w:val="FootnoteReference"/>
        </w:rPr>
        <w:footnoteReference w:id="139"/>
      </w:r>
    </w:p>
    <w:p w14:paraId="5377E565" w14:textId="77777777" w:rsidR="009D3560" w:rsidRDefault="009D3560" w:rsidP="00931787">
      <w:pPr>
        <w:spacing w:after="0"/>
      </w:pPr>
    </w:p>
    <w:p w14:paraId="24655D05" w14:textId="7CD8ED8F" w:rsidR="009D3560" w:rsidRDefault="009D3560" w:rsidP="00931787">
      <w:pPr>
        <w:spacing w:after="0"/>
      </w:pPr>
      <w:r>
        <w:t>The report explain</w:t>
      </w:r>
      <w:r w:rsidR="00835FB9">
        <w:t>ed</w:t>
      </w:r>
      <w:r>
        <w:t xml:space="preserve"> the Entity’s role in terms such as:</w:t>
      </w:r>
    </w:p>
    <w:p w14:paraId="122DD50D" w14:textId="62BADB21" w:rsidR="009D3560" w:rsidRPr="00D47908" w:rsidRDefault="00D47908" w:rsidP="00931787">
      <w:pPr>
        <w:spacing w:after="0"/>
        <w:ind w:left="720"/>
        <w:rPr>
          <w:i/>
          <w:iCs/>
        </w:rPr>
      </w:pPr>
      <w:r w:rsidRPr="00D47908">
        <w:rPr>
          <w:i/>
          <w:iCs/>
        </w:rPr>
        <w:t xml:space="preserve">‘at its core the long term operating model seeks to allocateTAHE </w:t>
      </w:r>
      <w:r w:rsidRPr="00D47908">
        <w:t>(the Entity)</w:t>
      </w:r>
      <w:r>
        <w:rPr>
          <w:i/>
          <w:iCs/>
        </w:rPr>
        <w:t xml:space="preserve"> </w:t>
      </w:r>
      <w:r w:rsidRPr="00D47908">
        <w:rPr>
          <w:i/>
          <w:iCs/>
        </w:rPr>
        <w:t>required control over its assets through an assurance framework that sees TAHE with the accountability to assure itself that those charged with the delegated authority to undertake maintenance activities are doing so</w:t>
      </w:r>
      <w:r>
        <w:rPr>
          <w:i/>
          <w:iCs/>
        </w:rPr>
        <w:t xml:space="preserve"> </w:t>
      </w:r>
      <w:r w:rsidRPr="00D47908">
        <w:rPr>
          <w:i/>
          <w:iCs/>
        </w:rPr>
        <w:t>in accordance with its objective outcomes</w:t>
      </w:r>
      <w:r>
        <w:rPr>
          <w:i/>
          <w:iCs/>
        </w:rPr>
        <w:t xml:space="preserve"> </w:t>
      </w:r>
      <w:r w:rsidRPr="00D47908">
        <w:rPr>
          <w:i/>
          <w:iCs/>
        </w:rPr>
        <w:t>and relevant standards</w:t>
      </w:r>
    </w:p>
    <w:p w14:paraId="6E277204" w14:textId="57997E62" w:rsidR="00D47908" w:rsidRDefault="00D47908" w:rsidP="00931787">
      <w:pPr>
        <w:spacing w:after="0"/>
        <w:ind w:left="720"/>
      </w:pPr>
      <w:r w:rsidRPr="00D47908">
        <w:rPr>
          <w:i/>
          <w:iCs/>
        </w:rPr>
        <w:t>Through its assurance framework TAHE is required to endorse funding envelopes year to year; but sees TfNSW or the public rail operators charged with the prioritisation and delivery of maintenance activities’</w:t>
      </w:r>
      <w:r>
        <w:rPr>
          <w:rStyle w:val="FootnoteReference"/>
        </w:rPr>
        <w:footnoteReference w:id="140"/>
      </w:r>
    </w:p>
    <w:p w14:paraId="789712B8" w14:textId="77777777" w:rsidR="009D3560" w:rsidRDefault="009D3560" w:rsidP="00931787">
      <w:pPr>
        <w:spacing w:after="0"/>
      </w:pPr>
    </w:p>
    <w:p w14:paraId="641B9768" w14:textId="57048F42" w:rsidR="00EF189D" w:rsidRDefault="00D47908" w:rsidP="00931787">
      <w:pPr>
        <w:spacing w:after="0"/>
      </w:pPr>
      <w:r>
        <w:t>T</w:t>
      </w:r>
      <w:r w:rsidR="006A48E4">
        <w:t>hat</w:t>
      </w:r>
      <w:r>
        <w:t xml:space="preserve"> </w:t>
      </w:r>
      <w:r w:rsidR="005B5933">
        <w:t>looks</w:t>
      </w:r>
      <w:r>
        <w:t xml:space="preserve"> </w:t>
      </w:r>
      <w:r w:rsidR="00D73F61">
        <w:t>strained</w:t>
      </w:r>
      <w:r>
        <w:t xml:space="preserve">.  An ‘accountability’ to merely ‘assure’ oneself is no accountability at all.  </w:t>
      </w:r>
      <w:r w:rsidR="00EF189D">
        <w:t xml:space="preserve">If another determines who undertakes maintenance on the Entity’s assets, the Entity’s </w:t>
      </w:r>
      <w:r w:rsidR="00AA3C1E">
        <w:t>(</w:t>
      </w:r>
      <w:r w:rsidR="00EF189D">
        <w:t>potential</w:t>
      </w:r>
      <w:r w:rsidR="00AA3C1E">
        <w:t>)</w:t>
      </w:r>
      <w:r w:rsidR="00EF189D">
        <w:t xml:space="preserve"> relevant accountability is to give its opinion of the quality of maintenance work to that party.</w:t>
      </w:r>
      <w:r w:rsidR="00F82FC1">
        <w:t xml:space="preserve">  The </w:t>
      </w:r>
      <w:r w:rsidR="00EF189D">
        <w:t xml:space="preserve">Entity </w:t>
      </w:r>
      <w:r w:rsidR="00F82FC1">
        <w:t>would need very substantial rail expertise to fulfil that role</w:t>
      </w:r>
      <w:r w:rsidR="00EF189D">
        <w:t>.</w:t>
      </w:r>
    </w:p>
    <w:p w14:paraId="51D79C3D" w14:textId="77777777" w:rsidR="00EF189D" w:rsidRDefault="00EF189D" w:rsidP="00931787">
      <w:pPr>
        <w:spacing w:after="0"/>
      </w:pPr>
    </w:p>
    <w:p w14:paraId="2FDC3F62" w14:textId="41F2CE27" w:rsidR="00AC21B0" w:rsidRDefault="00EF189D" w:rsidP="00931787">
      <w:pPr>
        <w:spacing w:after="0"/>
      </w:pPr>
      <w:r>
        <w:t xml:space="preserve">The </w:t>
      </w:r>
      <w:r w:rsidR="00A73F29">
        <w:t>E</w:t>
      </w:r>
      <w:r w:rsidR="004E3497">
        <w:t>ntity’s ‘</w:t>
      </w:r>
      <w:r>
        <w:t>endorsement</w:t>
      </w:r>
      <w:r w:rsidR="004E3497">
        <w:t>’</w:t>
      </w:r>
      <w:r>
        <w:t xml:space="preserve"> of ‘funding envelopes’ is </w:t>
      </w:r>
      <w:r w:rsidR="009F6922">
        <w:t>ambiguous</w:t>
      </w:r>
      <w:r>
        <w:t xml:space="preserve">.  On one reading – the Entity must endorse whatever is put forward – the Entity has no real function and no control over its assets.  </w:t>
      </w:r>
      <w:r w:rsidR="00A73F29">
        <w:t>An</w:t>
      </w:r>
      <w:r>
        <w:t xml:space="preserve"> alternative reading</w:t>
      </w:r>
      <w:r w:rsidR="00A73F29">
        <w:t xml:space="preserve"> is:</w:t>
      </w:r>
      <w:r>
        <w:t xml:space="preserve"> the Entity may refuse to endorse a particular proposal, </w:t>
      </w:r>
      <w:r w:rsidR="00A73F29">
        <w:t>and decide</w:t>
      </w:r>
      <w:r w:rsidR="006306DC">
        <w:t xml:space="preserve"> whether to </w:t>
      </w:r>
      <w:r>
        <w:t>adopt the plans for prioritisation and delivery put forward by TfNSW etc</w:t>
      </w:r>
      <w:r w:rsidR="00A73F29">
        <w:t xml:space="preserve"> – if </w:t>
      </w:r>
      <w:r w:rsidR="009406DC">
        <w:t>so,</w:t>
      </w:r>
      <w:r w:rsidR="00AC21B0">
        <w:t xml:space="preserve"> </w:t>
      </w:r>
      <w:r w:rsidR="003937C6">
        <w:t xml:space="preserve">whatever plan is adopted is the </w:t>
      </w:r>
      <w:r w:rsidR="00AC21B0">
        <w:t xml:space="preserve">Entity’s </w:t>
      </w:r>
      <w:r w:rsidR="006306DC">
        <w:t>(</w:t>
      </w:r>
      <w:r w:rsidR="002129A1">
        <w:t>responsibility)</w:t>
      </w:r>
      <w:r w:rsidR="006306DC">
        <w:t>.</w:t>
      </w:r>
    </w:p>
    <w:p w14:paraId="47D1AF02" w14:textId="5233BD03" w:rsidR="00AA3C1E" w:rsidRDefault="00AA3C1E" w:rsidP="00931787">
      <w:pPr>
        <w:spacing w:after="0"/>
      </w:pPr>
    </w:p>
    <w:p w14:paraId="0EE55C56" w14:textId="77777777" w:rsidR="006306DC" w:rsidRDefault="006306DC" w:rsidP="00931787">
      <w:pPr>
        <w:spacing w:after="0"/>
      </w:pPr>
      <w:r>
        <w:t>The report talked further about the Entity’s roles:</w:t>
      </w:r>
    </w:p>
    <w:p w14:paraId="25E6FB67" w14:textId="652E35B5" w:rsidR="00AA3C1E" w:rsidRPr="006306DC" w:rsidRDefault="006306DC" w:rsidP="00931787">
      <w:pPr>
        <w:spacing w:after="0"/>
        <w:ind w:left="720"/>
        <w:rPr>
          <w:i/>
          <w:iCs/>
        </w:rPr>
      </w:pPr>
      <w:r w:rsidRPr="006306DC">
        <w:rPr>
          <w:i/>
          <w:iCs/>
        </w:rPr>
        <w:t>‘</w:t>
      </w:r>
      <w:r w:rsidR="00AA3C1E" w:rsidRPr="006306DC">
        <w:rPr>
          <w:i/>
          <w:iCs/>
        </w:rPr>
        <w:t>TAHE is accountable to endorse the recommendation to be included in the funding submission relating to TAHE owned assets; where a mechanism will be developed to resolve disputes</w:t>
      </w:r>
      <w:r w:rsidRPr="006306DC">
        <w:rPr>
          <w:i/>
          <w:iCs/>
        </w:rPr>
        <w:t xml:space="preserve"> </w:t>
      </w:r>
      <w:r w:rsidR="00AA3C1E" w:rsidRPr="006306DC">
        <w:rPr>
          <w:i/>
          <w:iCs/>
        </w:rPr>
        <w:t>or changes that TAHE may have to the proposed funding request…..</w:t>
      </w:r>
    </w:p>
    <w:p w14:paraId="21F8248F" w14:textId="54ABDB13" w:rsidR="00AA3C1E" w:rsidRDefault="00AA3C1E" w:rsidP="00931787">
      <w:pPr>
        <w:spacing w:after="0"/>
        <w:ind w:left="720"/>
      </w:pPr>
      <w:r w:rsidRPr="006306DC">
        <w:rPr>
          <w:i/>
          <w:iCs/>
        </w:rPr>
        <w:t>Once funding is endorsed through the budget process, TAHE will again need to endorse allocation of funding that its service providers receive for the maintenance of its assets.</w:t>
      </w:r>
      <w:r w:rsidR="006306DC">
        <w:rPr>
          <w:i/>
          <w:iCs/>
        </w:rPr>
        <w:t>’</w:t>
      </w:r>
      <w:r>
        <w:rPr>
          <w:rStyle w:val="FootnoteReference"/>
        </w:rPr>
        <w:footnoteReference w:id="141"/>
      </w:r>
    </w:p>
    <w:p w14:paraId="05E5EA22" w14:textId="60004928" w:rsidR="00455E5F" w:rsidRDefault="00455E5F" w:rsidP="00931787">
      <w:pPr>
        <w:spacing w:after="0"/>
      </w:pPr>
    </w:p>
    <w:p w14:paraId="06037AE5" w14:textId="7CC88EF1" w:rsidR="006306DC" w:rsidRDefault="002129A1" w:rsidP="00931787">
      <w:pPr>
        <w:spacing w:after="0"/>
      </w:pPr>
      <w:r>
        <w:t>Again,</w:t>
      </w:r>
      <w:r w:rsidR="006306DC">
        <w:t xml:space="preserve"> there is ambiguity about the legal and operational implications of ‘endorse’.  Further, it app</w:t>
      </w:r>
      <w:r w:rsidR="00A73F29">
        <w:t>arently suggests</w:t>
      </w:r>
      <w:r w:rsidR="006306DC">
        <w:t xml:space="preserve"> another party is to pay for maintenance of the Entity’s assets.  If so, the relationship between the maintainer and the Entity </w:t>
      </w:r>
      <w:r w:rsidR="003937C6">
        <w:t>could</w:t>
      </w:r>
      <w:r w:rsidR="006306DC">
        <w:t xml:space="preserve"> be vexed</w:t>
      </w:r>
      <w:r w:rsidR="00A73F29">
        <w:t>, and accountabilities arguable</w:t>
      </w:r>
      <w:r w:rsidR="006306DC">
        <w:t>.</w:t>
      </w:r>
    </w:p>
    <w:p w14:paraId="272BD37C" w14:textId="575CF750" w:rsidR="006306DC" w:rsidRDefault="006306DC" w:rsidP="00931787">
      <w:pPr>
        <w:spacing w:after="0"/>
      </w:pPr>
    </w:p>
    <w:p w14:paraId="777D3970" w14:textId="5BADAAA9" w:rsidR="00F82A7D" w:rsidRDefault="006306DC" w:rsidP="00931787">
      <w:pPr>
        <w:spacing w:after="0"/>
      </w:pPr>
      <w:r>
        <w:t xml:space="preserve">The appearance is </w:t>
      </w:r>
      <w:r w:rsidR="006A48E4">
        <w:t>what was put to KPMG for explanation and possibly ‘refinement’ was a</w:t>
      </w:r>
      <w:r>
        <w:t xml:space="preserve"> convoluted scheme which </w:t>
      </w:r>
      <w:r w:rsidR="00D73F61">
        <w:t xml:space="preserve">seeks to </w:t>
      </w:r>
      <w:r>
        <w:t xml:space="preserve">create </w:t>
      </w:r>
      <w:r w:rsidR="00D73F61">
        <w:t xml:space="preserve">a </w:t>
      </w:r>
      <w:r>
        <w:t>vertical separation</w:t>
      </w:r>
      <w:r w:rsidR="00D73F61">
        <w:t xml:space="preserve"> of assets from maintenance responsibility </w:t>
      </w:r>
      <w:r>
        <w:t xml:space="preserve">but remains deeply ambiguous. </w:t>
      </w:r>
      <w:r w:rsidR="00F82FC1">
        <w:t xml:space="preserve"> C</w:t>
      </w:r>
      <w:r w:rsidR="00F82A7D">
        <w:t>omments by the Secretary of Transport for NSW at the Parliamentary Inquiry support such a conclusion:</w:t>
      </w:r>
    </w:p>
    <w:p w14:paraId="4C521D18" w14:textId="41E2D649" w:rsidR="00F82FC1" w:rsidRPr="00F82FC1" w:rsidRDefault="00F82FC1" w:rsidP="00F82FC1">
      <w:pPr>
        <w:spacing w:after="0"/>
        <w:ind w:firstLine="720"/>
        <w:rPr>
          <w:i/>
          <w:iCs/>
        </w:rPr>
      </w:pPr>
      <w:r w:rsidRPr="00F82FC1">
        <w:rPr>
          <w:i/>
          <w:iCs/>
        </w:rPr>
        <w:t>‘T</w:t>
      </w:r>
      <w:r w:rsidRPr="00F82FC1">
        <w:rPr>
          <w:i/>
          <w:iCs/>
        </w:rPr>
        <w:t>AHE will not impact on our operations and maintenance activities</w:t>
      </w:r>
      <w:r w:rsidRPr="00F82FC1">
        <w:rPr>
          <w:i/>
          <w:iCs/>
        </w:rPr>
        <w:t>……’.</w:t>
      </w:r>
      <w:r>
        <w:rPr>
          <w:rStyle w:val="FootnoteReference"/>
          <w:i/>
          <w:iCs/>
        </w:rPr>
        <w:footnoteReference w:id="142"/>
      </w:r>
    </w:p>
    <w:p w14:paraId="12E04C7B" w14:textId="77777777" w:rsidR="00F82FC1" w:rsidRDefault="00F82FC1" w:rsidP="00F82FC1">
      <w:pPr>
        <w:spacing w:after="0"/>
        <w:ind w:firstLine="720"/>
      </w:pPr>
    </w:p>
    <w:p w14:paraId="16AC0619" w14:textId="3502C3D2" w:rsidR="00A73F29" w:rsidRDefault="006306DC" w:rsidP="00931787">
      <w:pPr>
        <w:spacing w:after="0"/>
      </w:pPr>
      <w:r>
        <w:t>It is possible th</w:t>
      </w:r>
      <w:r w:rsidR="00D73F61">
        <w:t>e</w:t>
      </w:r>
      <w:r>
        <w:t xml:space="preserve"> design </w:t>
      </w:r>
      <w:r w:rsidR="00D73F61">
        <w:t>and sentiment behind th</w:t>
      </w:r>
      <w:r w:rsidR="006A48E4">
        <w:t>os</w:t>
      </w:r>
      <w:r w:rsidR="00D73F61">
        <w:t xml:space="preserve">e comments </w:t>
      </w:r>
      <w:r>
        <w:t xml:space="preserve">reflects some views about the 1996 vertical separation and what needs to be done to avoid its outcomes.  </w:t>
      </w:r>
    </w:p>
    <w:p w14:paraId="2C6EB29E" w14:textId="77777777" w:rsidR="00A73F29" w:rsidRDefault="00A73F29" w:rsidP="00931787">
      <w:pPr>
        <w:spacing w:after="0"/>
      </w:pPr>
    </w:p>
    <w:p w14:paraId="2488ABE7" w14:textId="06132E1F" w:rsidR="006306DC" w:rsidRDefault="006306DC" w:rsidP="00931787">
      <w:pPr>
        <w:spacing w:after="0"/>
      </w:pPr>
      <w:r>
        <w:t xml:space="preserve">However, the </w:t>
      </w:r>
      <w:r w:rsidR="00A73F29">
        <w:t xml:space="preserve">discussion about structure and safety (above) means the </w:t>
      </w:r>
      <w:r w:rsidR="006E7DB3">
        <w:t xml:space="preserve">Government and Departments learned the </w:t>
      </w:r>
      <w:r w:rsidR="00A73F29">
        <w:t xml:space="preserve">wrong </w:t>
      </w:r>
      <w:r>
        <w:t xml:space="preserve">lessons </w:t>
      </w:r>
      <w:r w:rsidR="006E7DB3">
        <w:t>fr</w:t>
      </w:r>
      <w:r>
        <w:t>om the 1996 experience</w:t>
      </w:r>
      <w:r w:rsidR="00A73F29">
        <w:t xml:space="preserve">. </w:t>
      </w:r>
      <w:r>
        <w:t xml:space="preserve"> The following discussion about access </w:t>
      </w:r>
      <w:r w:rsidR="006E7DB3">
        <w:t>is further support of</w:t>
      </w:r>
      <w:r>
        <w:t xml:space="preserve"> that.</w:t>
      </w:r>
    </w:p>
    <w:p w14:paraId="2B54F7F8" w14:textId="77777777" w:rsidR="006306DC" w:rsidRDefault="006306DC" w:rsidP="00931787">
      <w:pPr>
        <w:spacing w:after="0"/>
      </w:pPr>
    </w:p>
    <w:p w14:paraId="5ED389D1" w14:textId="57DD24E5" w:rsidR="00AB72DF" w:rsidRDefault="002E405C" w:rsidP="00931787">
      <w:pPr>
        <w:pStyle w:val="Heading3"/>
      </w:pPr>
      <w:bookmarkStart w:id="30" w:name="_Toc93085776"/>
      <w:r>
        <w:t>6.</w:t>
      </w:r>
      <w:r w:rsidR="00A55777">
        <w:t>5</w:t>
      </w:r>
      <w:r w:rsidR="00651760">
        <w:tab/>
        <w:t xml:space="preserve">Access </w:t>
      </w:r>
      <w:r w:rsidR="00B7132D">
        <w:t>charges</w:t>
      </w:r>
      <w:bookmarkEnd w:id="30"/>
      <w:r w:rsidR="00455E5F">
        <w:t xml:space="preserve"> </w:t>
      </w:r>
      <w:r w:rsidR="00AB72DF">
        <w:t xml:space="preserve"> </w:t>
      </w:r>
    </w:p>
    <w:p w14:paraId="25187123" w14:textId="3ED3B1E9" w:rsidR="00A55777" w:rsidRDefault="002E405C" w:rsidP="00931787">
      <w:pPr>
        <w:pStyle w:val="Heading4"/>
      </w:pPr>
      <w:r>
        <w:t>6.5</w:t>
      </w:r>
      <w:r w:rsidR="00A55777">
        <w:t>.1</w:t>
      </w:r>
      <w:r w:rsidR="00A55777">
        <w:tab/>
        <w:t>Conflicting figures</w:t>
      </w:r>
    </w:p>
    <w:p w14:paraId="31311C0A" w14:textId="69CAD348" w:rsidR="008D03E1" w:rsidRDefault="00DC01B0" w:rsidP="00931787">
      <w:pPr>
        <w:spacing w:after="0"/>
      </w:pPr>
      <w:r>
        <w:t xml:space="preserve">KPMG </w:t>
      </w:r>
      <w:r w:rsidR="00A55777">
        <w:t xml:space="preserve">(November 2020) </w:t>
      </w:r>
      <w:r>
        <w:t>estimated access revenue for the Entity should be between $1,410m and $4,340m for 2021.</w:t>
      </w:r>
      <w:r w:rsidR="008D03E1">
        <w:rPr>
          <w:rStyle w:val="FootnoteReference"/>
        </w:rPr>
        <w:footnoteReference w:id="143"/>
      </w:r>
      <w:r>
        <w:t xml:space="preserve">  </w:t>
      </w:r>
    </w:p>
    <w:p w14:paraId="56617DA5" w14:textId="77777777" w:rsidR="008D03E1" w:rsidRDefault="008D03E1" w:rsidP="00931787">
      <w:pPr>
        <w:spacing w:after="0"/>
      </w:pPr>
    </w:p>
    <w:p w14:paraId="75F27750" w14:textId="24B2961F" w:rsidR="00DC01B0" w:rsidRDefault="00DC01B0" w:rsidP="00931787">
      <w:pPr>
        <w:spacing w:after="0"/>
      </w:pPr>
      <w:r>
        <w:t xml:space="preserve">The lower figure relates to ‘floor’, the higher ‘ceiling’, access charges permissible under </w:t>
      </w:r>
      <w:r w:rsidR="00B94165">
        <w:t xml:space="preserve">the </w:t>
      </w:r>
      <w:r>
        <w:t>NSW r</w:t>
      </w:r>
      <w:r w:rsidR="00B94165">
        <w:t xml:space="preserve">ail </w:t>
      </w:r>
      <w:r w:rsidR="00031714">
        <w:t>A</w:t>
      </w:r>
      <w:r w:rsidR="00B94165">
        <w:t xml:space="preserve">ccess </w:t>
      </w:r>
      <w:r w:rsidR="00031714">
        <w:t>U</w:t>
      </w:r>
      <w:r w:rsidR="00071B2C">
        <w:t>ndertaking</w:t>
      </w:r>
      <w:r>
        <w:t xml:space="preserve">.  Most – except for around $120m – would </w:t>
      </w:r>
      <w:r w:rsidR="00B94165">
        <w:t>come from</w:t>
      </w:r>
      <w:r>
        <w:t xml:space="preserve"> Sydney Trains and NSW Trains. </w:t>
      </w:r>
      <w:r w:rsidR="00887977">
        <w:t xml:space="preserve"> </w:t>
      </w:r>
      <w:r>
        <w:t xml:space="preserve">The </w:t>
      </w:r>
      <w:r w:rsidR="00B7132D">
        <w:t xml:space="preserve">Sydney Trains etc. </w:t>
      </w:r>
      <w:r>
        <w:t>payments would need to be funded from the Government.</w:t>
      </w:r>
      <w:r>
        <w:rPr>
          <w:rStyle w:val="FootnoteReference"/>
        </w:rPr>
        <w:footnoteReference w:id="144"/>
      </w:r>
    </w:p>
    <w:p w14:paraId="04020EBF" w14:textId="3AC01500" w:rsidR="00DC01B0" w:rsidRDefault="00DC01B0" w:rsidP="00931787">
      <w:pPr>
        <w:spacing w:after="0"/>
      </w:pPr>
      <w:r>
        <w:t xml:space="preserve"> </w:t>
      </w:r>
    </w:p>
    <w:p w14:paraId="35307067" w14:textId="59523A21" w:rsidR="00DC01B0" w:rsidRDefault="00DC01B0" w:rsidP="00931787">
      <w:pPr>
        <w:spacing w:after="0"/>
      </w:pPr>
      <w:r>
        <w:t>The 2016 Cabinet submission estimated necessary Government support of $800m to enable access and lease payments, including for buses, to the Entity.</w:t>
      </w:r>
      <w:r>
        <w:rPr>
          <w:rStyle w:val="FootnoteReference"/>
        </w:rPr>
        <w:footnoteReference w:id="145"/>
      </w:r>
    </w:p>
    <w:p w14:paraId="4B83B4C7" w14:textId="418E4AD5" w:rsidR="00DC01B0" w:rsidRDefault="00DC01B0" w:rsidP="00931787">
      <w:pPr>
        <w:spacing w:after="0"/>
      </w:pPr>
    </w:p>
    <w:p w14:paraId="1DE8A787" w14:textId="77777777" w:rsidR="00B94165" w:rsidRDefault="00B7132D" w:rsidP="00931787">
      <w:pPr>
        <w:spacing w:after="0"/>
      </w:pPr>
      <w:r>
        <w:t>On</w:t>
      </w:r>
      <w:r w:rsidR="00B94165">
        <w:t xml:space="preserve"> </w:t>
      </w:r>
      <w:r>
        <w:t xml:space="preserve">5 November 2021, Treasury advised the Committee: </w:t>
      </w:r>
    </w:p>
    <w:p w14:paraId="0AD9A3A0" w14:textId="69C3F707" w:rsidR="00B7132D" w:rsidRDefault="00B7132D" w:rsidP="00931787">
      <w:pPr>
        <w:spacing w:after="0"/>
        <w:ind w:left="720"/>
      </w:pPr>
      <w:r w:rsidRPr="00B7132D">
        <w:rPr>
          <w:i/>
          <w:iCs/>
        </w:rPr>
        <w:t>‘Sydney Trains already receives $1.2b in maintenance funding which is considered part of determining the IPART floor calculation. Further access fees are negotiated between TAHE and the operators. In 2021-22 access fees was $680M…’</w:t>
      </w:r>
      <w:r>
        <w:rPr>
          <w:rStyle w:val="FootnoteReference"/>
        </w:rPr>
        <w:footnoteReference w:id="146"/>
      </w:r>
      <w:r>
        <w:t xml:space="preserve"> </w:t>
      </w:r>
    </w:p>
    <w:p w14:paraId="1F97EED9" w14:textId="64CB4A20" w:rsidR="00DC01B0" w:rsidRDefault="00DC01B0" w:rsidP="00931787">
      <w:pPr>
        <w:spacing w:after="0"/>
      </w:pPr>
    </w:p>
    <w:p w14:paraId="65E7A0F1" w14:textId="1923FDDE" w:rsidR="00B7132D" w:rsidRDefault="00B7132D" w:rsidP="00931787">
      <w:pPr>
        <w:spacing w:after="0"/>
      </w:pPr>
      <w:r>
        <w:t xml:space="preserve">The orders of magnitude difference in these figures </w:t>
      </w:r>
      <w:r w:rsidR="006A74F3">
        <w:t xml:space="preserve">suggest </w:t>
      </w:r>
      <w:r>
        <w:t xml:space="preserve">uncertainties with the understanding of access policy, regulation and financial flows.  </w:t>
      </w:r>
      <w:r w:rsidR="00ED3566">
        <w:t>The following attempts to make some sense of the differences.</w:t>
      </w:r>
    </w:p>
    <w:p w14:paraId="7C24137A" w14:textId="2EB7FC6C" w:rsidR="00B7132D" w:rsidRDefault="00B7132D" w:rsidP="00931787">
      <w:pPr>
        <w:spacing w:after="0"/>
      </w:pPr>
    </w:p>
    <w:p w14:paraId="635B98F8" w14:textId="72D27679" w:rsidR="00B7132D" w:rsidRDefault="00887977" w:rsidP="00931787">
      <w:pPr>
        <w:pStyle w:val="Heading4"/>
      </w:pPr>
      <w:r>
        <w:t>6.5.2</w:t>
      </w:r>
      <w:r w:rsidR="00ED3566">
        <w:tab/>
        <w:t>Access and the central issue</w:t>
      </w:r>
    </w:p>
    <w:p w14:paraId="2660A9BD" w14:textId="77777777" w:rsidR="00887977" w:rsidRDefault="00651760" w:rsidP="00931787">
      <w:pPr>
        <w:spacing w:after="0"/>
      </w:pPr>
      <w:r>
        <w:t xml:space="preserve">The Policy SPAD article said a principal problem with arrangements surrounding the Entity related to Sydney Trains needing to ‘access’ rail track </w:t>
      </w:r>
      <w:r w:rsidR="002129A1">
        <w:t>i.e.,</w:t>
      </w:r>
      <w:r>
        <w:t xml:space="preserve"> vertical separation.</w:t>
      </w:r>
      <w:r w:rsidR="004C4B1E">
        <w:t xml:space="preserve">  </w:t>
      </w:r>
      <w:r w:rsidR="00881ED1">
        <w:t>Such a need</w:t>
      </w:r>
      <w:r w:rsidR="004C4B1E">
        <w:t xml:space="preserve"> is one of the critical differences between those arrangements and the structure of urban rail in Melbourne, Brisbane, Adelaide, Perth and indeed Sydney Metro.</w:t>
      </w:r>
    </w:p>
    <w:p w14:paraId="3B59F626" w14:textId="0F17FD64" w:rsidR="00534A30" w:rsidRDefault="004C4B1E" w:rsidP="00931787">
      <w:pPr>
        <w:spacing w:after="0"/>
      </w:pPr>
      <w:r>
        <w:t xml:space="preserve">  </w:t>
      </w:r>
    </w:p>
    <w:p w14:paraId="5EAE432C" w14:textId="4DEA94C4" w:rsidR="004C4B1E" w:rsidRDefault="004C4B1E" w:rsidP="00931787">
      <w:pPr>
        <w:spacing w:after="0"/>
      </w:pPr>
      <w:r>
        <w:t>The other critical difference is</w:t>
      </w:r>
      <w:r w:rsidR="00881ED1">
        <w:t>: in NSW</w:t>
      </w:r>
      <w:r w:rsidR="009E409A">
        <w:t>,</w:t>
      </w:r>
      <w:r>
        <w:t xml:space="preserve"> access is to be provided on a ‘commercial’ basis by an organisation independent of the Transport portfolio.</w:t>
      </w:r>
    </w:p>
    <w:p w14:paraId="17C5406E" w14:textId="054584DF" w:rsidR="00ED532C" w:rsidRDefault="00ED532C" w:rsidP="00931787">
      <w:pPr>
        <w:spacing w:after="0"/>
      </w:pPr>
    </w:p>
    <w:p w14:paraId="3A8D8D8F" w14:textId="77777777" w:rsidR="00B2573D" w:rsidRDefault="00ED532C" w:rsidP="00931787">
      <w:pPr>
        <w:spacing w:after="0"/>
      </w:pPr>
      <w:r>
        <w:lastRenderedPageBreak/>
        <w:t xml:space="preserve">The </w:t>
      </w:r>
      <w:r w:rsidR="00B94165">
        <w:t>central</w:t>
      </w:r>
      <w:r>
        <w:t xml:space="preserve"> issue arising from vertically separat</w:t>
      </w:r>
      <w:r w:rsidR="00881ED1">
        <w:t xml:space="preserve">ion – </w:t>
      </w:r>
      <w:r>
        <w:t>access</w:t>
      </w:r>
      <w:r w:rsidR="00881ED1">
        <w:t xml:space="preserve"> - </w:t>
      </w:r>
      <w:r>
        <w:t>in a</w:t>
      </w:r>
      <w:r w:rsidR="008C0DD3">
        <w:t xml:space="preserve"> subsidised</w:t>
      </w:r>
      <w:r>
        <w:t xml:space="preserve"> railway is the commercial incentive of the track owner to allow </w:t>
      </w:r>
      <w:r w:rsidR="00881ED1">
        <w:t>asset</w:t>
      </w:r>
      <w:r>
        <w:t xml:space="preserve"> degradation</w:t>
      </w:r>
      <w:r w:rsidR="00E718C6">
        <w:t>.  The owner has an incentive to reduce</w:t>
      </w:r>
      <w:r>
        <w:t xml:space="preserve"> maintenance </w:t>
      </w:r>
      <w:r w:rsidR="00E718C6">
        <w:t>below that</w:t>
      </w:r>
      <w:r>
        <w:t xml:space="preserve"> necessary to maintain the network at a steady state.</w:t>
      </w:r>
      <w:r w:rsidR="008C0DD3">
        <w:t xml:space="preserve">  </w:t>
      </w:r>
    </w:p>
    <w:p w14:paraId="39DE7D22" w14:textId="77777777" w:rsidR="00B2573D" w:rsidRDefault="00B2573D" w:rsidP="00931787">
      <w:pPr>
        <w:spacing w:after="0"/>
      </w:pPr>
    </w:p>
    <w:p w14:paraId="33F5A719" w14:textId="637C7D44" w:rsidR="00E718C6" w:rsidRDefault="008C0DD3" w:rsidP="00931787">
      <w:pPr>
        <w:spacing w:after="0"/>
      </w:pPr>
      <w:r>
        <w:t xml:space="preserve">This </w:t>
      </w:r>
      <w:r w:rsidR="0043156E">
        <w:t xml:space="preserve">incentive </w:t>
      </w:r>
      <w:r>
        <w:t>was explored in the previous article and graphically illustrated in the UK</w:t>
      </w:r>
      <w:r w:rsidR="00E718C6">
        <w:t xml:space="preserve"> and</w:t>
      </w:r>
      <w:r>
        <w:t xml:space="preserve"> NSW </w:t>
      </w:r>
      <w:r w:rsidR="00E718C6">
        <w:t>between 1996 and 2000</w:t>
      </w:r>
      <w:r w:rsidR="00B94165">
        <w:t xml:space="preserve">.  It also was demonstrated </w:t>
      </w:r>
      <w:r w:rsidR="00E718C6">
        <w:t>in regional Victoria.</w:t>
      </w:r>
      <w:r w:rsidR="00E718C6">
        <w:rPr>
          <w:rStyle w:val="FootnoteReference"/>
        </w:rPr>
        <w:footnoteReference w:id="147"/>
      </w:r>
    </w:p>
    <w:p w14:paraId="0E8CC66E" w14:textId="49A522D5" w:rsidR="003737B9" w:rsidRDefault="003737B9" w:rsidP="00931787">
      <w:pPr>
        <w:spacing w:after="0"/>
      </w:pPr>
    </w:p>
    <w:p w14:paraId="071BDD16" w14:textId="674ECC88" w:rsidR="003737B9" w:rsidRDefault="00E50F8A" w:rsidP="00931787">
      <w:pPr>
        <w:spacing w:after="0"/>
      </w:pPr>
      <w:r>
        <w:t xml:space="preserve">Hence, </w:t>
      </w:r>
      <w:r w:rsidR="00A31C93">
        <w:t>a</w:t>
      </w:r>
      <w:r w:rsidR="00B94165">
        <w:t xml:space="preserve"> </w:t>
      </w:r>
      <w:r>
        <w:t xml:space="preserve">claim </w:t>
      </w:r>
      <w:r w:rsidR="003737B9">
        <w:t xml:space="preserve">a </w:t>
      </w:r>
      <w:r>
        <w:t>‘</w:t>
      </w:r>
      <w:r w:rsidR="003737B9">
        <w:t>commercial</w:t>
      </w:r>
      <w:r>
        <w:t>’</w:t>
      </w:r>
      <w:r w:rsidR="003737B9">
        <w:t xml:space="preserve"> track owner </w:t>
      </w:r>
      <w:r w:rsidR="00B2573D">
        <w:t xml:space="preserve">(without maintenance responsibility) </w:t>
      </w:r>
      <w:r w:rsidR="003737B9">
        <w:t>provid</w:t>
      </w:r>
      <w:r>
        <w:t>es</w:t>
      </w:r>
      <w:r w:rsidR="003737B9">
        <w:t xml:space="preserve"> a </w:t>
      </w:r>
      <w:r>
        <w:t xml:space="preserve">further </w:t>
      </w:r>
      <w:r w:rsidR="003737B9">
        <w:t xml:space="preserve">level of assurance over </w:t>
      </w:r>
      <w:r w:rsidR="003937C6">
        <w:t xml:space="preserve">commuter rail </w:t>
      </w:r>
      <w:r w:rsidR="00B94165">
        <w:t xml:space="preserve">track </w:t>
      </w:r>
      <w:r w:rsidR="003737B9">
        <w:t xml:space="preserve">assets or safety </w:t>
      </w:r>
      <w:r w:rsidR="00A31C93">
        <w:t>would be</w:t>
      </w:r>
      <w:r w:rsidR="003737B9">
        <w:t xml:space="preserve"> preposterous.</w:t>
      </w:r>
    </w:p>
    <w:p w14:paraId="2E8AB289" w14:textId="3CE061FC" w:rsidR="003737B9" w:rsidRDefault="003737B9" w:rsidP="00931787">
      <w:pPr>
        <w:spacing w:after="0"/>
      </w:pPr>
      <w:r>
        <w:t xml:space="preserve"> </w:t>
      </w:r>
    </w:p>
    <w:p w14:paraId="72D6C16E" w14:textId="426A35F9" w:rsidR="00ED3566" w:rsidRDefault="0043156E" w:rsidP="00931787">
      <w:pPr>
        <w:pStyle w:val="Heading4"/>
      </w:pPr>
      <w:r>
        <w:t>6.5</w:t>
      </w:r>
      <w:r w:rsidR="00A55777">
        <w:t>.3</w:t>
      </w:r>
      <w:r w:rsidR="00ED3566">
        <w:tab/>
        <w:t>The maintenance concept</w:t>
      </w:r>
    </w:p>
    <w:p w14:paraId="20BE880C" w14:textId="566EDD79" w:rsidR="009E409A" w:rsidRDefault="009E409A" w:rsidP="00931787">
      <w:pPr>
        <w:spacing w:after="0"/>
      </w:pPr>
      <w:r>
        <w:t>Further i</w:t>
      </w:r>
      <w:r w:rsidR="00E50F8A">
        <w:t xml:space="preserve">ssues – and confusion – arise from </w:t>
      </w:r>
      <w:r w:rsidR="003A242E">
        <w:t>a</w:t>
      </w:r>
      <w:r w:rsidR="00A55777">
        <w:t>n apparent</w:t>
      </w:r>
      <w:r w:rsidR="003737B9">
        <w:t xml:space="preserve"> </w:t>
      </w:r>
      <w:r>
        <w:t xml:space="preserve">failure </w:t>
      </w:r>
      <w:r w:rsidR="00A31C93">
        <w:t xml:space="preserve">of Government </w:t>
      </w:r>
      <w:r>
        <w:t>to understand/</w:t>
      </w:r>
      <w:r w:rsidR="00A31C93">
        <w:t xml:space="preserve"> </w:t>
      </w:r>
      <w:r>
        <w:t xml:space="preserve">account for </w:t>
      </w:r>
      <w:r w:rsidR="003737B9">
        <w:t>conceptual difference</w:t>
      </w:r>
      <w:r w:rsidR="00AC7CB7">
        <w:t>s</w:t>
      </w:r>
      <w:r w:rsidR="003737B9">
        <w:t xml:space="preserve"> between </w:t>
      </w:r>
      <w:r>
        <w:t xml:space="preserve">maintenance </w:t>
      </w:r>
      <w:r w:rsidR="00AC7CB7">
        <w:t>in</w:t>
      </w:r>
      <w:r>
        <w:t xml:space="preserve"> </w:t>
      </w:r>
      <w:r w:rsidR="003737B9">
        <w:t>commuter rail – or road – network</w:t>
      </w:r>
      <w:r>
        <w:t>s</w:t>
      </w:r>
      <w:r w:rsidR="003737B9">
        <w:t xml:space="preserve">, and maintenance of other assets.  </w:t>
      </w:r>
      <w:r w:rsidR="00B2573D">
        <w:t>That is a matter that needs very careful and detailed explanation by rail staff and officials to external parties such as advisory firms.</w:t>
      </w:r>
    </w:p>
    <w:p w14:paraId="72D51A2A" w14:textId="77777777" w:rsidR="009E409A" w:rsidRDefault="009E409A" w:rsidP="00931787">
      <w:pPr>
        <w:spacing w:after="0"/>
      </w:pPr>
    </w:p>
    <w:p w14:paraId="506A99B0" w14:textId="072FDB08" w:rsidR="00E50F8A" w:rsidRDefault="003737B9" w:rsidP="00931787">
      <w:pPr>
        <w:spacing w:after="0"/>
      </w:pPr>
      <w:r>
        <w:t xml:space="preserve">For </w:t>
      </w:r>
      <w:r w:rsidR="009E409A">
        <w:t xml:space="preserve">many </w:t>
      </w:r>
      <w:r>
        <w:t xml:space="preserve">other </w:t>
      </w:r>
      <w:r w:rsidR="009E409A">
        <w:t>systems</w:t>
      </w:r>
      <w:r>
        <w:t>, the maintenance concept is</w:t>
      </w:r>
      <w:r w:rsidR="00E50F8A">
        <w:t>:</w:t>
      </w:r>
      <w:r>
        <w:t xml:space="preserve"> work necessary for</w:t>
      </w:r>
      <w:r w:rsidR="00E50F8A">
        <w:t xml:space="preserve"> assets</w:t>
      </w:r>
      <w:r>
        <w:t xml:space="preserve"> to achieve their predetermined (economic) finite lives</w:t>
      </w:r>
      <w:r w:rsidR="009E409A">
        <w:t>.  This a</w:t>
      </w:r>
      <w:r>
        <w:t>llow</w:t>
      </w:r>
      <w:r w:rsidR="009E409A">
        <w:t>s</w:t>
      </w:r>
      <w:r>
        <w:t xml:space="preserve"> for gradual degradation.</w:t>
      </w:r>
      <w:r w:rsidR="00E50F8A">
        <w:t xml:space="preserve">  </w:t>
      </w:r>
      <w:r w:rsidR="006B0E16">
        <w:t>D</w:t>
      </w:r>
      <w:r w:rsidR="003A242E">
        <w:t xml:space="preserve">egradation is reflected in accounts as depreciation – a cost.  </w:t>
      </w:r>
      <w:r w:rsidR="00E50F8A">
        <w:t xml:space="preserve">An example is Hunter Valley track used for coal haulage.  For access charge purposes, its maintenance cost is based on </w:t>
      </w:r>
      <w:r w:rsidR="009E409A">
        <w:t xml:space="preserve">the combination of </w:t>
      </w:r>
      <w:r w:rsidR="00E50F8A">
        <w:t>asset</w:t>
      </w:r>
      <w:r w:rsidR="009E409A">
        <w:t xml:space="preserve"> components</w:t>
      </w:r>
      <w:r w:rsidR="00E50F8A">
        <w:t xml:space="preserve"> having the same predetermined economic life as coal mines.</w:t>
      </w:r>
      <w:r w:rsidR="00E50F8A">
        <w:rPr>
          <w:rStyle w:val="FootnoteReference"/>
        </w:rPr>
        <w:footnoteReference w:id="148"/>
      </w:r>
    </w:p>
    <w:p w14:paraId="4B02BD62" w14:textId="77777777" w:rsidR="00E50F8A" w:rsidRDefault="00E50F8A" w:rsidP="00931787">
      <w:pPr>
        <w:spacing w:after="0"/>
      </w:pPr>
    </w:p>
    <w:p w14:paraId="7C798BA4" w14:textId="734B6CBA" w:rsidR="009E409A" w:rsidRDefault="003737B9" w:rsidP="00931787">
      <w:pPr>
        <w:spacing w:after="0"/>
      </w:pPr>
      <w:r>
        <w:t>Commuter rail – and road – ne</w:t>
      </w:r>
      <w:r w:rsidR="00B47EA0">
        <w:t>tw</w:t>
      </w:r>
      <w:r>
        <w:t>orks are effectively assumed to have infinite lives</w:t>
      </w:r>
      <w:r w:rsidR="003A242E">
        <w:t xml:space="preserve">.  In </w:t>
      </w:r>
      <w:r w:rsidR="009E409A">
        <w:t>principle</w:t>
      </w:r>
      <w:r w:rsidR="003A242E">
        <w:t>,</w:t>
      </w:r>
      <w:r w:rsidR="003A242E" w:rsidRPr="009E409A">
        <w:rPr>
          <w:u w:val="single"/>
        </w:rPr>
        <w:t xml:space="preserve"> </w:t>
      </w:r>
      <w:r w:rsidR="009E409A" w:rsidRPr="009E409A">
        <w:rPr>
          <w:u w:val="single"/>
        </w:rPr>
        <w:t>maintenance aims to prevent degradation of commuter rail networks</w:t>
      </w:r>
      <w:r>
        <w:t xml:space="preserve">.  </w:t>
      </w:r>
      <w:r w:rsidR="009E409A">
        <w:t>Maintenance activities – and costs - are more substantial than in other sectors.  However,</w:t>
      </w:r>
      <w:r w:rsidR="00B40CFF">
        <w:t xml:space="preserve"> commuter rail maintenance</w:t>
      </w:r>
      <w:r w:rsidR="009E409A">
        <w:t xml:space="preserve"> avoids </w:t>
      </w:r>
      <w:r w:rsidR="003A242E">
        <w:t xml:space="preserve">depreciation </w:t>
      </w:r>
      <w:r w:rsidR="009E409A">
        <w:t>costs.  Incurring depreciation would indicate maintenance failures.</w:t>
      </w:r>
    </w:p>
    <w:p w14:paraId="360CA749" w14:textId="77777777" w:rsidR="009E409A" w:rsidRDefault="009E409A" w:rsidP="00931787">
      <w:pPr>
        <w:spacing w:after="0"/>
      </w:pPr>
    </w:p>
    <w:p w14:paraId="1F6E49DA" w14:textId="5DF6F10A" w:rsidR="00E718C6" w:rsidRDefault="006B0E16" w:rsidP="00931787">
      <w:pPr>
        <w:spacing w:after="0"/>
      </w:pPr>
      <w:r>
        <w:t xml:space="preserve">For </w:t>
      </w:r>
      <w:r w:rsidR="00B40CFF">
        <w:t xml:space="preserve">vertically separated </w:t>
      </w:r>
      <w:r>
        <w:t>commuter rail – which is heavily subsidised - it is critical t</w:t>
      </w:r>
      <w:r w:rsidR="00E718C6">
        <w:t xml:space="preserve">o counteract the </w:t>
      </w:r>
      <w:r w:rsidR="00881ED1">
        <w:t xml:space="preserve">asset degradation </w:t>
      </w:r>
      <w:r w:rsidR="00E718C6">
        <w:t xml:space="preserve">incentive </w:t>
      </w:r>
      <w:r w:rsidR="006A74F3">
        <w:t>i</w:t>
      </w:r>
      <w:r>
        <w:t xml:space="preserve">f </w:t>
      </w:r>
      <w:r w:rsidR="006A74F3">
        <w:t>the</w:t>
      </w:r>
      <w:r>
        <w:t xml:space="preserve"> track owner </w:t>
      </w:r>
      <w:r w:rsidR="006A74F3">
        <w:t>has</w:t>
      </w:r>
      <w:r>
        <w:t xml:space="preserve"> </w:t>
      </w:r>
      <w:r w:rsidR="00E718C6">
        <w:t>a commercial framework</w:t>
      </w:r>
      <w:r>
        <w:t>.  I</w:t>
      </w:r>
      <w:r w:rsidR="00E718C6">
        <w:t xml:space="preserve">t is necessary to </w:t>
      </w:r>
      <w:r w:rsidR="00B94165">
        <w:t>require</w:t>
      </w:r>
      <w:r w:rsidR="00E718C6">
        <w:t xml:space="preserve"> non-standard public reporting - financial and otherwise - </w:t>
      </w:r>
      <w:r w:rsidR="00B94165">
        <w:t>by</w:t>
      </w:r>
      <w:r w:rsidR="00E718C6">
        <w:t xml:space="preserve"> the track owner.  Th</w:t>
      </w:r>
      <w:r w:rsidR="00B94165">
        <w:t>at reporting</w:t>
      </w:r>
      <w:r w:rsidR="00E718C6">
        <w:t xml:space="preserve"> must be based on regular and frequent </w:t>
      </w:r>
      <w:r w:rsidR="00E718C6" w:rsidRPr="00B40CFF">
        <w:rPr>
          <w:u w:val="single"/>
        </w:rPr>
        <w:t>physical inspection</w:t>
      </w:r>
      <w:r w:rsidR="00E718C6">
        <w:t xml:space="preserve"> of assets by a party who is independent of the track owner.</w:t>
      </w:r>
      <w:r w:rsidR="00B40CFF">
        <w:t xml:space="preserve">  This underscores the irrelevance – if not misleading nature – of accounts that present depreciation </w:t>
      </w:r>
      <w:r w:rsidR="00A8418D">
        <w:t>on straight line, reducing balance etc. book keeping conventions.</w:t>
      </w:r>
    </w:p>
    <w:p w14:paraId="4817A363" w14:textId="470A5250" w:rsidR="00E718C6" w:rsidRDefault="00E718C6" w:rsidP="00931787">
      <w:pPr>
        <w:spacing w:after="0"/>
      </w:pPr>
    </w:p>
    <w:p w14:paraId="72048F5E" w14:textId="6110109E" w:rsidR="00E718C6" w:rsidRDefault="00E718C6" w:rsidP="00931787">
      <w:pPr>
        <w:spacing w:after="0"/>
      </w:pPr>
      <w:r>
        <w:t>A first mechanism is reporting of track condition indicators.  An example</w:t>
      </w:r>
      <w:r w:rsidR="009C1FD6">
        <w:t>, albeit inadequate, is in the lease of NSW track to the Australian Rail Track Corporation.</w:t>
      </w:r>
      <w:r w:rsidR="009C1FD6">
        <w:rPr>
          <w:rStyle w:val="FootnoteReference"/>
        </w:rPr>
        <w:footnoteReference w:id="149"/>
      </w:r>
    </w:p>
    <w:p w14:paraId="74CBC4D5" w14:textId="77777777" w:rsidR="009C1FD6" w:rsidRDefault="009C1FD6" w:rsidP="00931787">
      <w:pPr>
        <w:spacing w:after="0"/>
      </w:pPr>
    </w:p>
    <w:p w14:paraId="1C10116F" w14:textId="4C0165F9" w:rsidR="009C1FD6" w:rsidRDefault="00881ED1" w:rsidP="00931787">
      <w:pPr>
        <w:spacing w:after="0"/>
      </w:pPr>
      <w:r>
        <w:t>A</w:t>
      </w:r>
      <w:r w:rsidR="009C1FD6">
        <w:t xml:space="preserve"> second, mechanism </w:t>
      </w:r>
      <w:r>
        <w:t xml:space="preserve">can </w:t>
      </w:r>
      <w:r w:rsidR="009C1FD6">
        <w:t xml:space="preserve">build on this by </w:t>
      </w:r>
      <w:r w:rsidRPr="00FD0675">
        <w:t xml:space="preserve">frequently </w:t>
      </w:r>
      <w:r w:rsidR="009C1FD6">
        <w:t xml:space="preserve">altering the valuation of assets according to their condition.  </w:t>
      </w:r>
      <w:r>
        <w:t>C</w:t>
      </w:r>
      <w:r w:rsidR="009C1FD6">
        <w:t>ondition is regularly assessed by inspections</w:t>
      </w:r>
      <w:r>
        <w:t>.  Between inspections</w:t>
      </w:r>
      <w:r w:rsidR="00B94165">
        <w:t>,</w:t>
      </w:r>
      <w:r w:rsidR="009C1FD6">
        <w:t xml:space="preserve"> condition indicators </w:t>
      </w:r>
      <w:r w:rsidR="00B94165">
        <w:t>can be</w:t>
      </w:r>
      <w:r w:rsidR="009C1FD6">
        <w:t xml:space="preserve"> used to estimate value adjustments.</w:t>
      </w:r>
      <w:r w:rsidR="00ED3A6B">
        <w:rPr>
          <w:rStyle w:val="FootnoteReference"/>
        </w:rPr>
        <w:footnoteReference w:id="150"/>
      </w:r>
    </w:p>
    <w:p w14:paraId="742F43EB" w14:textId="544D783E" w:rsidR="00AC7CB7" w:rsidRDefault="00AC7CB7" w:rsidP="00931787">
      <w:pPr>
        <w:spacing w:after="0"/>
      </w:pPr>
    </w:p>
    <w:p w14:paraId="4C67D01A" w14:textId="77777777" w:rsidR="00ED3A6B" w:rsidRDefault="00AC7CB7" w:rsidP="00931787">
      <w:pPr>
        <w:spacing w:after="0"/>
      </w:pPr>
      <w:r>
        <w:t xml:space="preserve">The conceptual differences between maintenance in a commuter railway and some other systems extend further.  </w:t>
      </w:r>
    </w:p>
    <w:p w14:paraId="3CA26BD3" w14:textId="77777777" w:rsidR="00ED3A6B" w:rsidRDefault="00ED3A6B" w:rsidP="00931787">
      <w:pPr>
        <w:spacing w:after="0"/>
      </w:pPr>
    </w:p>
    <w:p w14:paraId="32F947B0" w14:textId="77777777" w:rsidR="006A74F3" w:rsidRDefault="00AC7CB7" w:rsidP="00931787">
      <w:pPr>
        <w:spacing w:after="0"/>
      </w:pPr>
      <w:r>
        <w:t>In economic parlance</w:t>
      </w:r>
      <w:r w:rsidR="006A74F3">
        <w:t>,</w:t>
      </w:r>
      <w:r>
        <w:t xml:space="preserve"> capital works increas</w:t>
      </w:r>
      <w:r w:rsidR="00C22883">
        <w:t>e</w:t>
      </w:r>
      <w:r>
        <w:t xml:space="preserve"> capacity or extend the life of </w:t>
      </w:r>
      <w:r w:rsidR="00C22883">
        <w:t>a</w:t>
      </w:r>
      <w:r>
        <w:t xml:space="preserve"> system.  </w:t>
      </w:r>
    </w:p>
    <w:p w14:paraId="71A24B36" w14:textId="77777777" w:rsidR="006306DC" w:rsidRDefault="006306DC" w:rsidP="00931787">
      <w:pPr>
        <w:spacing w:after="0"/>
      </w:pPr>
    </w:p>
    <w:p w14:paraId="486133FD" w14:textId="75B9BD5B" w:rsidR="00AC7CB7" w:rsidRDefault="00AC7CB7" w:rsidP="00931787">
      <w:pPr>
        <w:spacing w:after="0"/>
      </w:pPr>
      <w:r>
        <w:t xml:space="preserve">In many systems the capacity or life increase lifts future earning potential and therefore increases asset value.  </w:t>
      </w:r>
      <w:r w:rsidR="006A74F3">
        <w:t>Capital</w:t>
      </w:r>
      <w:r>
        <w:t xml:space="preserve"> works are differentiated from maintenance in </w:t>
      </w:r>
      <w:r w:rsidR="00C22883">
        <w:t>a balance sheet</w:t>
      </w:r>
      <w:r>
        <w:t xml:space="preserve"> sense</w:t>
      </w:r>
      <w:r w:rsidR="00C22883">
        <w:t xml:space="preserve">, and classification </w:t>
      </w:r>
      <w:r w:rsidR="006A74F3">
        <w:t xml:space="preserve">of item as capital works </w:t>
      </w:r>
      <w:r w:rsidR="00C22883">
        <w:t>may be influenced by tax treatments</w:t>
      </w:r>
      <w:r>
        <w:t>.</w:t>
      </w:r>
    </w:p>
    <w:p w14:paraId="2A5EEF98" w14:textId="77777777" w:rsidR="00AC7CB7" w:rsidRDefault="00AC7CB7" w:rsidP="00931787">
      <w:pPr>
        <w:spacing w:after="0"/>
      </w:pPr>
    </w:p>
    <w:p w14:paraId="3A110F55" w14:textId="36E31D7E" w:rsidR="00C22883" w:rsidRDefault="00AC7CB7" w:rsidP="00931787">
      <w:pPr>
        <w:spacing w:after="0"/>
      </w:pPr>
      <w:r>
        <w:t xml:space="preserve">In commuter rail, such parlance does not apply due to its high levels of subsidisation and assumed infinite life.  </w:t>
      </w:r>
      <w:r w:rsidR="00CB5DC5">
        <w:t xml:space="preserve">Terminology includes routine, cyclic or major periodic maintenance and renewals.  </w:t>
      </w:r>
      <w:r>
        <w:t xml:space="preserve">However, the term capital works </w:t>
      </w:r>
      <w:r w:rsidR="00CB5DC5">
        <w:t>can</w:t>
      </w:r>
      <w:r>
        <w:t xml:space="preserve"> used.  </w:t>
      </w:r>
      <w:r w:rsidR="00C22883">
        <w:t>Often t</w:t>
      </w:r>
      <w:r>
        <w:t xml:space="preserve">his relates to larger projects and/or authority of particular employees to undertake or authorise works.  </w:t>
      </w:r>
      <w:r w:rsidR="00C22883">
        <w:t xml:space="preserve">It is used for </w:t>
      </w:r>
      <w:r w:rsidR="006A74F3">
        <w:t xml:space="preserve">internal </w:t>
      </w:r>
      <w:r w:rsidR="00C22883">
        <w:t xml:space="preserve">budget control and allocation of machinery and skills rather than (just) for book accounting purposes.  </w:t>
      </w:r>
    </w:p>
    <w:p w14:paraId="1D21CCB2" w14:textId="77777777" w:rsidR="00C22883" w:rsidRDefault="00C22883" w:rsidP="00931787">
      <w:pPr>
        <w:spacing w:after="0"/>
      </w:pPr>
    </w:p>
    <w:p w14:paraId="3B0AD5B0" w14:textId="5ABCD3DE" w:rsidR="00AC7CB7" w:rsidRDefault="00C22883" w:rsidP="00931787">
      <w:pPr>
        <w:spacing w:after="0"/>
      </w:pPr>
      <w:r>
        <w:t>The difference</w:t>
      </w:r>
      <w:r w:rsidR="00CB5DC5">
        <w:t>s</w:t>
      </w:r>
      <w:r>
        <w:t xml:space="preserve"> </w:t>
      </w:r>
      <w:r w:rsidR="0043156E">
        <w:t xml:space="preserve">in meaning of maintenance/capital between commuter rail and other infrastructure sectors </w:t>
      </w:r>
      <w:r>
        <w:t>present</w:t>
      </w:r>
      <w:r w:rsidR="00CB5DC5">
        <w:t xml:space="preserve"> </w:t>
      </w:r>
      <w:r>
        <w:t xml:space="preserve">a source of </w:t>
      </w:r>
      <w:r w:rsidR="00A31C93">
        <w:t>likely</w:t>
      </w:r>
      <w:r>
        <w:t xml:space="preserve"> confusion.  </w:t>
      </w:r>
      <w:r w:rsidR="00AC7CB7">
        <w:t xml:space="preserve"> </w:t>
      </w:r>
      <w:r w:rsidR="00CB5DC5">
        <w:t>In relation to</w:t>
      </w:r>
      <w:r>
        <w:t xml:space="preserve"> control of </w:t>
      </w:r>
      <w:r w:rsidR="00CB5DC5">
        <w:t>a</w:t>
      </w:r>
      <w:r>
        <w:t xml:space="preserve"> railway, the confusion can lead to risks.  One type of risk is</w:t>
      </w:r>
      <w:r w:rsidR="006A74F3">
        <w:t>: it</w:t>
      </w:r>
      <w:r>
        <w:t xml:space="preserve"> </w:t>
      </w:r>
      <w:r w:rsidR="006A74F3">
        <w:t>i</w:t>
      </w:r>
      <w:r w:rsidR="00CB5DC5">
        <w:t xml:space="preserve">s thought </w:t>
      </w:r>
      <w:r>
        <w:t xml:space="preserve">people outside of the railway </w:t>
      </w:r>
      <w:r w:rsidR="00CB5DC5">
        <w:t xml:space="preserve">need to </w:t>
      </w:r>
      <w:r>
        <w:t xml:space="preserve">direct, approve or limit particular works </w:t>
      </w:r>
      <w:r w:rsidR="00CB5DC5">
        <w:t xml:space="preserve">– or designs – which </w:t>
      </w:r>
      <w:r w:rsidR="00AC022A">
        <w:t>they</w:t>
      </w:r>
      <w:r>
        <w:t xml:space="preserve"> class as capital</w:t>
      </w:r>
      <w:r w:rsidR="00CB5DC5">
        <w:t xml:space="preserve"> for accounting purposes</w:t>
      </w:r>
      <w:r>
        <w:t xml:space="preserve">. </w:t>
      </w:r>
      <w:r w:rsidR="00AC7CB7">
        <w:t xml:space="preserve">   </w:t>
      </w:r>
    </w:p>
    <w:p w14:paraId="68250FE5" w14:textId="77777777" w:rsidR="009C1FD6" w:rsidRDefault="009C1FD6" w:rsidP="00931787">
      <w:pPr>
        <w:spacing w:after="0"/>
      </w:pPr>
    </w:p>
    <w:p w14:paraId="64C7956C" w14:textId="2A9DAACD" w:rsidR="00ED3566" w:rsidRDefault="0043156E" w:rsidP="00931787">
      <w:pPr>
        <w:pStyle w:val="Heading4"/>
      </w:pPr>
      <w:r>
        <w:t>6.5.4</w:t>
      </w:r>
      <w:r w:rsidR="00ED3566">
        <w:tab/>
        <w:t>The relevance of asset valuation</w:t>
      </w:r>
    </w:p>
    <w:p w14:paraId="53A1B024" w14:textId="560DEDC4" w:rsidR="00881ED1" w:rsidRDefault="00881ED1" w:rsidP="00931787">
      <w:pPr>
        <w:spacing w:after="0"/>
      </w:pPr>
      <w:r>
        <w:t xml:space="preserve">For this second mechanism </w:t>
      </w:r>
      <w:r w:rsidR="00C33CA2">
        <w:t>(</w:t>
      </w:r>
      <w:r>
        <w:t xml:space="preserve">to </w:t>
      </w:r>
      <w:r w:rsidR="00C33CA2">
        <w:t xml:space="preserve">counteract the asset degrading incentives of a commercial track owner </w:t>
      </w:r>
      <w:r>
        <w:t>be effective</w:t>
      </w:r>
      <w:r w:rsidR="00C33CA2">
        <w:t>)</w:t>
      </w:r>
      <w:r w:rsidR="009C1FD6">
        <w:t xml:space="preserve"> </w:t>
      </w:r>
      <w:r w:rsidR="00C22883">
        <w:t xml:space="preserve">it is not enough – and may not even be helpful – to </w:t>
      </w:r>
      <w:r w:rsidR="00CB5DC5">
        <w:t xml:space="preserve">just </w:t>
      </w:r>
      <w:r w:rsidR="00C22883">
        <w:t>separate</w:t>
      </w:r>
      <w:r w:rsidR="00CB5DC5">
        <w:t>ly account for</w:t>
      </w:r>
      <w:r w:rsidR="00C22883">
        <w:t xml:space="preserve"> maintenance </w:t>
      </w:r>
      <w:r w:rsidR="00CB5DC5">
        <w:t>and</w:t>
      </w:r>
      <w:r w:rsidR="00C22883">
        <w:t xml:space="preserve"> capital</w:t>
      </w:r>
      <w:r w:rsidR="00CB5DC5">
        <w:t xml:space="preserve"> works</w:t>
      </w:r>
      <w:r w:rsidR="00C22883">
        <w:t xml:space="preserve">.  </w:t>
      </w:r>
      <w:r w:rsidR="00CB5DC5">
        <w:t>Rather, a</w:t>
      </w:r>
      <w:r w:rsidR="009C1FD6">
        <w:t xml:space="preserve">ssets must be recorded in the accounts as having significant value.  </w:t>
      </w:r>
    </w:p>
    <w:p w14:paraId="2701FAF1" w14:textId="77777777" w:rsidR="006B0E16" w:rsidRDefault="006B0E16" w:rsidP="00931787">
      <w:pPr>
        <w:spacing w:after="0"/>
      </w:pPr>
    </w:p>
    <w:p w14:paraId="4051D05E" w14:textId="7DAE348A" w:rsidR="00C33CA2" w:rsidRDefault="009C1FD6" w:rsidP="00931787">
      <w:pPr>
        <w:spacing w:after="0"/>
      </w:pPr>
      <w:r>
        <w:t>The value should exceed the costs of a multi-year maintenance cycle, such that reductions in maintenance lead to greater reductions in asset value.</w:t>
      </w:r>
      <w:r w:rsidR="0043156E">
        <w:rPr>
          <w:rStyle w:val="FootnoteReference"/>
        </w:rPr>
        <w:footnoteReference w:id="151"/>
      </w:r>
      <w:r>
        <w:t xml:space="preserve">  </w:t>
      </w:r>
    </w:p>
    <w:p w14:paraId="6B475035" w14:textId="77777777" w:rsidR="00AC022A" w:rsidRDefault="00AC022A" w:rsidP="00931787">
      <w:pPr>
        <w:spacing w:after="0"/>
      </w:pPr>
    </w:p>
    <w:p w14:paraId="4DDEC26A" w14:textId="6F675C28" w:rsidR="00E718C6" w:rsidRDefault="009C1FD6" w:rsidP="00931787">
      <w:pPr>
        <w:spacing w:after="0"/>
      </w:pPr>
      <w:r>
        <w:t xml:space="preserve">In that way, maintenance reductions lead to </w:t>
      </w:r>
      <w:r w:rsidR="006A74F3">
        <w:t xml:space="preserve">a commercial </w:t>
      </w:r>
      <w:r>
        <w:t xml:space="preserve">track owner reporting </w:t>
      </w:r>
      <w:r w:rsidR="006B0E16">
        <w:t>(unwanted) depreciation</w:t>
      </w:r>
      <w:r w:rsidR="006A74F3">
        <w:t>.  Reductions</w:t>
      </w:r>
      <w:r w:rsidR="006B0E16">
        <w:t xml:space="preserve"> </w:t>
      </w:r>
      <w:r w:rsidR="00C33CA2">
        <w:t xml:space="preserve">in maintenance </w:t>
      </w:r>
      <w:r w:rsidR="0082416A">
        <w:t>depress</w:t>
      </w:r>
      <w:r w:rsidR="006A74F3">
        <w:t xml:space="preserve"> </w:t>
      </w:r>
      <w:r w:rsidR="0082416A">
        <w:t>rather than lift</w:t>
      </w:r>
      <w:r>
        <w:t xml:space="preserve"> profits.</w:t>
      </w:r>
      <w:r>
        <w:rPr>
          <w:rStyle w:val="FootnoteReference"/>
        </w:rPr>
        <w:footnoteReference w:id="152"/>
      </w:r>
      <w:r w:rsidR="00E718C6">
        <w:t xml:space="preserve"> </w:t>
      </w:r>
    </w:p>
    <w:p w14:paraId="5707085F" w14:textId="72184B1D" w:rsidR="00ED532C" w:rsidRDefault="008C0DD3" w:rsidP="00931787">
      <w:pPr>
        <w:spacing w:after="0"/>
      </w:pPr>
      <w:r>
        <w:t xml:space="preserve"> </w:t>
      </w:r>
      <w:r w:rsidR="00ED532C">
        <w:t xml:space="preserve">  </w:t>
      </w:r>
    </w:p>
    <w:p w14:paraId="4FA85265" w14:textId="174D4D42" w:rsidR="00071B2C" w:rsidRDefault="009C1FD6" w:rsidP="00931787">
      <w:pPr>
        <w:spacing w:after="0"/>
      </w:pPr>
      <w:r>
        <w:t xml:space="preserve">As outlined in the previous article, </w:t>
      </w:r>
      <w:r w:rsidR="00C33CA2">
        <w:t>an</w:t>
      </w:r>
      <w:r>
        <w:t xml:space="preserve"> issue with the traditional commercial framework is that asset value depends on expected net earnings – revenue less costs. </w:t>
      </w:r>
      <w:r w:rsidR="006B0E16">
        <w:t xml:space="preserve"> </w:t>
      </w:r>
      <w:r w:rsidR="00AC022A">
        <w:t xml:space="preserve">That might be appropriate for assets which are capable of generating profits without subsidies.  </w:t>
      </w:r>
    </w:p>
    <w:p w14:paraId="0B999939" w14:textId="1E97D4AF" w:rsidR="00AC022A" w:rsidRDefault="00AC022A" w:rsidP="00931787">
      <w:pPr>
        <w:spacing w:after="0"/>
      </w:pPr>
    </w:p>
    <w:p w14:paraId="07261AE3" w14:textId="26933FC4" w:rsidR="00340B56" w:rsidRDefault="00AC022A" w:rsidP="00931787">
      <w:pPr>
        <w:spacing w:after="0"/>
      </w:pPr>
      <w:r>
        <w:lastRenderedPageBreak/>
        <w:t>At the time of the 1996 changes, that traditional framework was known as the RAT – the recoverable amounts test.  I</w:t>
      </w:r>
      <w:r w:rsidR="00340B56">
        <w:t>n that, assets were valued at the greater of net income earning potential or scrap/sale revenue.  I</w:t>
      </w:r>
      <w:r>
        <w:t xml:space="preserve">t led to Rail Access Corporation writing-off the value of the </w:t>
      </w:r>
      <w:r w:rsidR="00340B56">
        <w:t>infrastructure assets outside the Hunter Valley, because they were not capable of producing profits.</w:t>
      </w:r>
      <w:r w:rsidR="00340B56">
        <w:rPr>
          <w:rStyle w:val="FootnoteReference"/>
        </w:rPr>
        <w:footnoteReference w:id="153"/>
      </w:r>
      <w:r w:rsidR="00340B56">
        <w:t xml:space="preserve">  </w:t>
      </w:r>
    </w:p>
    <w:p w14:paraId="0C7BAABB" w14:textId="77777777" w:rsidR="00340B56" w:rsidRDefault="00340B56" w:rsidP="00931787">
      <w:pPr>
        <w:spacing w:after="0"/>
      </w:pPr>
    </w:p>
    <w:p w14:paraId="41C70129" w14:textId="317F0B7F" w:rsidR="00AC022A" w:rsidRDefault="00AC022A" w:rsidP="00931787">
      <w:pPr>
        <w:spacing w:after="0"/>
      </w:pPr>
      <w:r>
        <w:t>Evidence to the Parliamentary Inquiry suggest</w:t>
      </w:r>
      <w:r w:rsidR="00340B56">
        <w:t>s</w:t>
      </w:r>
      <w:r>
        <w:t xml:space="preserve"> a similar test is now in place. </w:t>
      </w:r>
      <w:r w:rsidR="00340B56">
        <w:t xml:space="preserve">  The Entity’s chair advised a write down of around $20bn in the value of the Entity’s assets – around half of total value - due to application of an ‘income’ test.  While the reason for the write-down was explored in depth, there was </w:t>
      </w:r>
      <w:r w:rsidR="003937C6">
        <w:t>no detail</w:t>
      </w:r>
      <w:r w:rsidR="00340B56">
        <w:t xml:space="preserve"> about which assets were written down.  Given their lack of alternative use, it is likely the write down was concentrated in infrastructure assets.</w:t>
      </w:r>
      <w:r w:rsidR="00340B56">
        <w:rPr>
          <w:rStyle w:val="FootnoteReference"/>
        </w:rPr>
        <w:footnoteReference w:id="154"/>
      </w:r>
    </w:p>
    <w:p w14:paraId="445001D2" w14:textId="77777777" w:rsidR="00AC7CB7" w:rsidRDefault="00AC7CB7" w:rsidP="00931787">
      <w:pPr>
        <w:spacing w:after="0"/>
      </w:pPr>
    </w:p>
    <w:p w14:paraId="29E74012" w14:textId="6DCBEC14" w:rsidR="006B0E16" w:rsidRDefault="00136BE3" w:rsidP="00931787">
      <w:pPr>
        <w:spacing w:after="0"/>
      </w:pPr>
      <w:r>
        <w:t>This puts in play the incentive to degrade assets.  In principle, the c</w:t>
      </w:r>
      <w:r w:rsidR="006B0E16">
        <w:t>orrect a</w:t>
      </w:r>
      <w:r w:rsidR="009C1FD6">
        <w:t xml:space="preserve">pplication of a </w:t>
      </w:r>
      <w:r>
        <w:t xml:space="preserve">‘commercial’ </w:t>
      </w:r>
      <w:r w:rsidR="009C1FD6">
        <w:t xml:space="preserve">framework to a subsidised railway entails a very substantial increase in </w:t>
      </w:r>
      <w:r w:rsidR="006B0E16">
        <w:t>subsidies</w:t>
      </w:r>
      <w:r w:rsidR="009C1FD6">
        <w:t xml:space="preserve"> – </w:t>
      </w:r>
      <w:r w:rsidR="006A74F3">
        <w:t>a</w:t>
      </w:r>
      <w:r w:rsidR="009C1FD6">
        <w:t xml:space="preserve">ccess charges far in excess of </w:t>
      </w:r>
      <w:r w:rsidR="006B0E16">
        <w:t xml:space="preserve">annual </w:t>
      </w:r>
      <w:r w:rsidR="009C1FD6">
        <w:t>maintenance costs.</w:t>
      </w:r>
      <w:r w:rsidR="006B0E16">
        <w:t xml:space="preserve">  If this framework is to be applied, access charges should also </w:t>
      </w:r>
      <w:r w:rsidR="0082416A">
        <w:t>include</w:t>
      </w:r>
      <w:r w:rsidR="006B0E16">
        <w:t xml:space="preserve"> </w:t>
      </w:r>
      <w:r w:rsidR="0082416A">
        <w:t xml:space="preserve">an </w:t>
      </w:r>
      <w:r w:rsidR="006B0E16">
        <w:t xml:space="preserve">additional component related to the present value of future maintenance. </w:t>
      </w:r>
      <w:r w:rsidR="008918BB">
        <w:t xml:space="preserve"> </w:t>
      </w:r>
      <w:r w:rsidR="00071B2C">
        <w:t>This is part of the money-go-round.</w:t>
      </w:r>
      <w:r w:rsidR="00013B65">
        <w:rPr>
          <w:rStyle w:val="FootnoteReference"/>
        </w:rPr>
        <w:footnoteReference w:id="155"/>
      </w:r>
    </w:p>
    <w:p w14:paraId="598DD9BB" w14:textId="31E6C52F" w:rsidR="00136BE3" w:rsidRDefault="00136BE3" w:rsidP="00931787">
      <w:pPr>
        <w:spacing w:after="0"/>
      </w:pPr>
    </w:p>
    <w:p w14:paraId="7D276547" w14:textId="75015AA5" w:rsidR="00136BE3" w:rsidRDefault="00136BE3" w:rsidP="00931787">
      <w:pPr>
        <w:spacing w:after="0"/>
      </w:pPr>
      <w:r>
        <w:t xml:space="preserve">In theory, access charge revenue in a subsidised commuter rail system </w:t>
      </w:r>
      <w:r w:rsidR="00A31C93">
        <w:t>(that lacks</w:t>
      </w:r>
      <w:r>
        <w:t xml:space="preserve"> explicit external assessment and reporting of asset condition</w:t>
      </w:r>
      <w:r w:rsidR="00A31C93">
        <w:t>)</w:t>
      </w:r>
      <w:r>
        <w:t xml:space="preserve"> needs to be sufficient to support an asset valuation of </w:t>
      </w:r>
      <w:r w:rsidR="00E35913">
        <w:t xml:space="preserve">(optimised depreciated) </w:t>
      </w:r>
      <w:r>
        <w:t xml:space="preserve">replacement cost.  As access charge revenue is limited by the NSW </w:t>
      </w:r>
      <w:r w:rsidR="00031714">
        <w:t>U</w:t>
      </w:r>
      <w:r>
        <w:t xml:space="preserve">ndertaking to depreciated optimised replacement cost, this means the appropriate level of access charges </w:t>
      </w:r>
      <w:r w:rsidR="00013B65">
        <w:t>for the Entity - as a State-owned corporation</w:t>
      </w:r>
      <w:r w:rsidR="00CA3353">
        <w:t xml:space="preserve"> - without independent and publicly reported monitoring of the specific condition of its assets</w:t>
      </w:r>
      <w:r w:rsidR="00013B65">
        <w:t xml:space="preserve"> </w:t>
      </w:r>
      <w:r>
        <w:t xml:space="preserve">is </w:t>
      </w:r>
      <w:r w:rsidR="00CA3353">
        <w:t xml:space="preserve">more likely </w:t>
      </w:r>
      <w:r>
        <w:t xml:space="preserve">the ‘ceiling’ </w:t>
      </w:r>
      <w:r w:rsidR="00CA3353">
        <w:t>than</w:t>
      </w:r>
      <w:r>
        <w:t xml:space="preserve"> floor.</w:t>
      </w:r>
      <w:r w:rsidR="00E35913">
        <w:t xml:space="preserve">  An implication is: KPMG was certainly correct in drawing attention to the amount of the ceiling charge. </w:t>
      </w:r>
    </w:p>
    <w:p w14:paraId="221D7809" w14:textId="5F92B288" w:rsidR="00CA3353" w:rsidRDefault="00CA3353" w:rsidP="00931787">
      <w:pPr>
        <w:spacing w:after="0"/>
      </w:pPr>
    </w:p>
    <w:p w14:paraId="19D7ED44" w14:textId="25494434" w:rsidR="00CA3353" w:rsidRDefault="00CA3353" w:rsidP="00931787">
      <w:pPr>
        <w:spacing w:after="0"/>
      </w:pPr>
      <w:r>
        <w:t xml:space="preserve">However, the failure of the UK system – in particular RailTrack which had such a mechanism - should be taken as a warning about </w:t>
      </w:r>
      <w:r w:rsidR="000B7A76">
        <w:t>faith in</w:t>
      </w:r>
      <w:r>
        <w:t xml:space="preserve"> ‘theory’.</w:t>
      </w:r>
    </w:p>
    <w:p w14:paraId="1D328FBE" w14:textId="77777777" w:rsidR="006B0E16" w:rsidRDefault="006B0E16" w:rsidP="00931787">
      <w:pPr>
        <w:spacing w:after="0"/>
      </w:pPr>
    </w:p>
    <w:p w14:paraId="00B9674D" w14:textId="0C261913" w:rsidR="009C1FD6" w:rsidRDefault="008918BB" w:rsidP="00931787">
      <w:pPr>
        <w:spacing w:after="0"/>
      </w:pPr>
      <w:r>
        <w:t>The matter is only relevant to vertical separation</w:t>
      </w:r>
      <w:r w:rsidR="0082416A">
        <w:t>.  When a subsidised railway is</w:t>
      </w:r>
      <w:r>
        <w:t xml:space="preserve"> vertically integrated there are no access charges and performance can be </w:t>
      </w:r>
      <w:r w:rsidR="0082416A">
        <w:t xml:space="preserve">reasonably </w:t>
      </w:r>
      <w:r>
        <w:t xml:space="preserve">assessed </w:t>
      </w:r>
      <w:r w:rsidR="00013B65">
        <w:t xml:space="preserve">from train </w:t>
      </w:r>
      <w:r>
        <w:t>operation</w:t>
      </w:r>
      <w:r w:rsidR="00013B65">
        <w:t>s</w:t>
      </w:r>
      <w:r>
        <w:t>.</w:t>
      </w:r>
      <w:r w:rsidR="006B0E16">
        <w:rPr>
          <w:rStyle w:val="FootnoteReference"/>
        </w:rPr>
        <w:footnoteReference w:id="156"/>
      </w:r>
    </w:p>
    <w:p w14:paraId="617356AF" w14:textId="77777777" w:rsidR="008918BB" w:rsidRDefault="008918BB" w:rsidP="00931787">
      <w:pPr>
        <w:spacing w:after="0"/>
      </w:pPr>
    </w:p>
    <w:p w14:paraId="131E1A56" w14:textId="6619F7CC" w:rsidR="009C1FD6" w:rsidRDefault="00801C2F" w:rsidP="00931787">
      <w:pPr>
        <w:pStyle w:val="Heading4"/>
      </w:pPr>
      <w:r>
        <w:t>6.5.5</w:t>
      </w:r>
      <w:r w:rsidR="0082416A">
        <w:tab/>
        <w:t>The floor and ceiling for charges</w:t>
      </w:r>
    </w:p>
    <w:p w14:paraId="6224A5A9" w14:textId="79AFDAB9" w:rsidR="009C1FD6" w:rsidRDefault="0082416A" w:rsidP="00931787">
      <w:pPr>
        <w:spacing w:after="0"/>
      </w:pPr>
      <w:r>
        <w:t xml:space="preserve">The monopoly element in a railway is track. </w:t>
      </w:r>
      <w:r w:rsidR="000B7A76">
        <w:t xml:space="preserve"> </w:t>
      </w:r>
      <w:r>
        <w:t xml:space="preserve">If there is to be open access to track – whether there is vertical separation or not - access </w:t>
      </w:r>
      <w:r w:rsidR="000B7A76">
        <w:t>services</w:t>
      </w:r>
      <w:r>
        <w:t xml:space="preserve"> may need to be regulated.</w:t>
      </w:r>
      <w:r>
        <w:rPr>
          <w:rStyle w:val="FootnoteReference"/>
        </w:rPr>
        <w:footnoteReference w:id="157"/>
      </w:r>
      <w:r>
        <w:t xml:space="preserve">  </w:t>
      </w:r>
    </w:p>
    <w:p w14:paraId="60E18BCF" w14:textId="47BD689A" w:rsidR="0082416A" w:rsidRDefault="0082416A" w:rsidP="00931787">
      <w:pPr>
        <w:spacing w:after="0"/>
      </w:pPr>
    </w:p>
    <w:p w14:paraId="2D4F257E" w14:textId="034A356E" w:rsidR="00E35913" w:rsidRDefault="0082416A" w:rsidP="00931787">
      <w:pPr>
        <w:spacing w:after="0"/>
      </w:pPr>
      <w:r>
        <w:t xml:space="preserve">In Australia, the National Competition Policy contemplated </w:t>
      </w:r>
      <w:r w:rsidR="000F5C9C">
        <w:t>third party a</w:t>
      </w:r>
      <w:r>
        <w:t>ccess to certain</w:t>
      </w:r>
      <w:r w:rsidR="00E35913">
        <w:t xml:space="preserve"> nationally significant </w:t>
      </w:r>
      <w:r w:rsidR="000F5C9C">
        <w:t xml:space="preserve">infrastructure facilities such as </w:t>
      </w:r>
      <w:r>
        <w:t>railway track</w:t>
      </w:r>
      <w:r w:rsidR="00E35913">
        <w:t xml:space="preserve"> important for contemporaneous competition</w:t>
      </w:r>
      <w:r>
        <w:t xml:space="preserve">. </w:t>
      </w:r>
      <w:r w:rsidR="000B7A76">
        <w:t xml:space="preserve"> </w:t>
      </w:r>
    </w:p>
    <w:p w14:paraId="3EB70028" w14:textId="689EC096" w:rsidR="0082416A" w:rsidRDefault="0082416A" w:rsidP="00931787">
      <w:pPr>
        <w:spacing w:after="0"/>
      </w:pPr>
      <w:r>
        <w:lastRenderedPageBreak/>
        <w:t>In practice</w:t>
      </w:r>
      <w:r w:rsidR="00E946B8">
        <w:t>,</w:t>
      </w:r>
      <w:r>
        <w:t xml:space="preserve"> access would only be sought </w:t>
      </w:r>
      <w:r w:rsidR="00E946B8">
        <w:t>to very little track -</w:t>
      </w:r>
      <w:r w:rsidR="000F5C9C">
        <w:t xml:space="preserve"> for </w:t>
      </w:r>
      <w:r>
        <w:t xml:space="preserve">potentially profitable tasks.  The potential for these tasks to make profits creates a potential for the </w:t>
      </w:r>
      <w:r w:rsidR="000F5C9C">
        <w:t xml:space="preserve">facility </w:t>
      </w:r>
      <w:r>
        <w:t>owner to abuse its monopoly power.</w:t>
      </w:r>
      <w:r w:rsidR="00CB5DC5">
        <w:rPr>
          <w:rStyle w:val="FootnoteReference"/>
        </w:rPr>
        <w:footnoteReference w:id="158"/>
      </w:r>
    </w:p>
    <w:p w14:paraId="1781515D" w14:textId="786D8F21" w:rsidR="0082416A" w:rsidRDefault="0082416A" w:rsidP="00931787">
      <w:pPr>
        <w:spacing w:after="0"/>
      </w:pPr>
    </w:p>
    <w:p w14:paraId="1E18E3C5" w14:textId="4A6893EF" w:rsidR="000F5C9C" w:rsidRDefault="000F5C9C" w:rsidP="00931787">
      <w:pPr>
        <w:spacing w:after="0"/>
      </w:pPr>
      <w:r>
        <w:t xml:space="preserve">The </w:t>
      </w:r>
      <w:r w:rsidR="00E946B8">
        <w:t>Policy has</w:t>
      </w:r>
      <w:r>
        <w:t xml:space="preserve"> parties negotiating access arrangements with facility owners across all industries.   In the event of deadlocked negotiations, economic regulators could determine terms and conditions of access – including charges.</w:t>
      </w:r>
    </w:p>
    <w:p w14:paraId="6E2D3069" w14:textId="56A72AFF" w:rsidR="000F5C9C" w:rsidRDefault="000F5C9C" w:rsidP="00931787">
      <w:pPr>
        <w:spacing w:after="0"/>
      </w:pPr>
    </w:p>
    <w:p w14:paraId="764E29CD" w14:textId="77777777" w:rsidR="00013B65" w:rsidRDefault="000F5C9C" w:rsidP="00931787">
      <w:pPr>
        <w:spacing w:after="0"/>
      </w:pPr>
      <w:r>
        <w:t>Various industry and State specific regimes sought to provide more certainty about the Policy.</w:t>
      </w:r>
      <w:r w:rsidR="00C33CA2">
        <w:t xml:space="preserve"> </w:t>
      </w:r>
    </w:p>
    <w:p w14:paraId="6BF6A686" w14:textId="41BC77D6" w:rsidR="000F5C9C" w:rsidRDefault="000F5C9C" w:rsidP="00931787">
      <w:pPr>
        <w:spacing w:after="0"/>
      </w:pPr>
      <w:r>
        <w:t xml:space="preserve">Among the first was the NSW rail access regime </w:t>
      </w:r>
      <w:r w:rsidR="00E946B8">
        <w:t xml:space="preserve">– now </w:t>
      </w:r>
      <w:r w:rsidR="00C33CA2">
        <w:t>U</w:t>
      </w:r>
      <w:r w:rsidR="00E946B8">
        <w:t xml:space="preserve">ndertaking - </w:t>
      </w:r>
      <w:r>
        <w:t xml:space="preserve">which accompanied a declaration of open access to track.  </w:t>
      </w:r>
      <w:r w:rsidR="006A74F3">
        <w:t xml:space="preserve">However, despite </w:t>
      </w:r>
      <w:r>
        <w:t>the greater certainty it provided</w:t>
      </w:r>
      <w:r w:rsidR="006A74F3">
        <w:t>,</w:t>
      </w:r>
      <w:r>
        <w:t xml:space="preserve"> access charge</w:t>
      </w:r>
      <w:r w:rsidR="007615E0">
        <w:t>s</w:t>
      </w:r>
      <w:r>
        <w:t xml:space="preserve"> would be negotiated between the track owner and access seekers, rather than being predetermined.</w:t>
      </w:r>
    </w:p>
    <w:p w14:paraId="797B529E" w14:textId="0B1D78A7" w:rsidR="006427DA" w:rsidRDefault="006427DA" w:rsidP="00931787">
      <w:pPr>
        <w:spacing w:after="0"/>
      </w:pPr>
    </w:p>
    <w:p w14:paraId="3C8013E6" w14:textId="19535B94" w:rsidR="006427DA" w:rsidRDefault="006427DA" w:rsidP="00931787">
      <w:pPr>
        <w:spacing w:after="0"/>
      </w:pPr>
      <w:r>
        <w:t xml:space="preserve">The competition policy purpose of the </w:t>
      </w:r>
      <w:r w:rsidR="00031714">
        <w:t>U</w:t>
      </w:r>
      <w:r>
        <w:t xml:space="preserve">ndertaking was directed at coal traffic.  That traffic originates at specific mines with two or three destinations </w:t>
      </w:r>
      <w:r w:rsidR="002129A1">
        <w:t>e.g.,</w:t>
      </w:r>
      <w:r>
        <w:t xml:space="preserve"> Kooragang.  Traffic from different mines use different network segments.  The </w:t>
      </w:r>
      <w:r w:rsidR="00031714">
        <w:t>U</w:t>
      </w:r>
      <w:r>
        <w:t>ndertaking not only limits net revenues for the track owner, but net revenues per segment of its network.  It is designed to regulate at a segment, rather than network, level.  The principal mechanism is via limits on negotiated charges.</w:t>
      </w:r>
      <w:r w:rsidR="00934D94">
        <w:rPr>
          <w:rStyle w:val="FootnoteReference"/>
        </w:rPr>
        <w:footnoteReference w:id="159"/>
      </w:r>
    </w:p>
    <w:p w14:paraId="11F79CC0" w14:textId="77777777" w:rsidR="000F5C9C" w:rsidRDefault="000F5C9C" w:rsidP="00931787">
      <w:pPr>
        <w:spacing w:after="0"/>
      </w:pPr>
    </w:p>
    <w:p w14:paraId="5952DEE9" w14:textId="40FC58AD" w:rsidR="007615E0" w:rsidRDefault="006427DA" w:rsidP="00931787">
      <w:pPr>
        <w:spacing w:after="0"/>
      </w:pPr>
      <w:r>
        <w:t>C</w:t>
      </w:r>
      <w:r w:rsidR="000F5C9C">
        <w:t xml:space="preserve">harges must be within a floor-ceiling range.  The floor essentially </w:t>
      </w:r>
      <w:r w:rsidR="00071B2C">
        <w:t>entails</w:t>
      </w:r>
      <w:r w:rsidR="000F5C9C">
        <w:t xml:space="preserve"> </w:t>
      </w:r>
      <w:r w:rsidR="006A74F3">
        <w:t xml:space="preserve">costs </w:t>
      </w:r>
      <w:r w:rsidR="000F5C9C">
        <w:t xml:space="preserve">that would be avoided if access was not granted – </w:t>
      </w:r>
      <w:r w:rsidR="002129A1">
        <w:t>e.g.,</w:t>
      </w:r>
      <w:r w:rsidR="000F5C9C">
        <w:t xml:space="preserve"> wear on assets.  The ceiling </w:t>
      </w:r>
      <w:r w:rsidR="00FF445D">
        <w:t>entails</w:t>
      </w:r>
      <w:r w:rsidR="000F5C9C">
        <w:t xml:space="preserve"> full economic cost.</w:t>
      </w:r>
      <w:r w:rsidR="007615E0">
        <w:t xml:space="preserve">  </w:t>
      </w:r>
    </w:p>
    <w:p w14:paraId="0556DF69" w14:textId="77777777" w:rsidR="007615E0" w:rsidRDefault="007615E0" w:rsidP="00931787">
      <w:pPr>
        <w:spacing w:after="0"/>
      </w:pPr>
    </w:p>
    <w:p w14:paraId="3905A9D3" w14:textId="4F62603D" w:rsidR="006427DA" w:rsidRDefault="00CA7496" w:rsidP="00931787">
      <w:pPr>
        <w:spacing w:after="0"/>
      </w:pPr>
      <w:r>
        <w:t xml:space="preserve">The purpose of the </w:t>
      </w:r>
      <w:r w:rsidR="006427DA">
        <w:t xml:space="preserve">floor is to avoid cross-subsidisation.  </w:t>
      </w:r>
      <w:r w:rsidR="00FF445D">
        <w:t>Cross-subsidisation may occur if t</w:t>
      </w:r>
      <w:r w:rsidR="006427DA">
        <w:t>he track owner us</w:t>
      </w:r>
      <w:r w:rsidR="00FF445D">
        <w:t>es</w:t>
      </w:r>
      <w:r w:rsidR="006427DA">
        <w:t xml:space="preserve"> revenues from elsewhere to undercharge traffic from a particular coal mine</w:t>
      </w:r>
      <w:r w:rsidR="00B47EA0">
        <w:t xml:space="preserve"> using </w:t>
      </w:r>
      <w:r w:rsidR="00ED3A6B">
        <w:t>other</w:t>
      </w:r>
      <w:r w:rsidR="00B47EA0">
        <w:t xml:space="preserve"> track segments</w:t>
      </w:r>
      <w:r w:rsidR="00FF445D">
        <w:t xml:space="preserve">.  The particular coal mine then </w:t>
      </w:r>
      <w:r w:rsidR="006427DA">
        <w:t xml:space="preserve">could </w:t>
      </w:r>
      <w:r w:rsidR="00FF445D">
        <w:t xml:space="preserve">have an </w:t>
      </w:r>
      <w:r w:rsidR="006427DA">
        <w:t xml:space="preserve">advantage </w:t>
      </w:r>
      <w:r w:rsidR="00FF445D">
        <w:t>over other mines in selling coal</w:t>
      </w:r>
      <w:r w:rsidR="006427DA">
        <w:t>.</w:t>
      </w:r>
      <w:r w:rsidR="00FF445D">
        <w:t xml:space="preserve">  This concept, is based on mines</w:t>
      </w:r>
      <w:r w:rsidR="00ED3A6B">
        <w:t>:</w:t>
      </w:r>
      <w:r w:rsidR="00FF445D">
        <w:t xml:space="preserve"> with different economic lives</w:t>
      </w:r>
      <w:r w:rsidR="00ED3A6B">
        <w:t>; needing use of</w:t>
      </w:r>
      <w:r w:rsidR="00FF445D">
        <w:t xml:space="preserve"> some different track segments</w:t>
      </w:r>
      <w:r w:rsidR="00ED3A6B">
        <w:t>;</w:t>
      </w:r>
      <w:r w:rsidR="00FF445D">
        <w:t xml:space="preserve"> competing against each other for an end market </w:t>
      </w:r>
      <w:r w:rsidR="00ED3A6B">
        <w:t xml:space="preserve">in which there are </w:t>
      </w:r>
      <w:r w:rsidR="00FF445D">
        <w:t>prospects for prices</w:t>
      </w:r>
      <w:r w:rsidR="00ED3A6B">
        <w:t xml:space="preserve"> well in excess of production, transport and storage costs</w:t>
      </w:r>
      <w:r w:rsidR="00FF445D">
        <w:t>.  It is largely irrelevant to commuter rail.</w:t>
      </w:r>
      <w:r w:rsidR="00FF445D">
        <w:rPr>
          <w:rStyle w:val="FootnoteReference"/>
        </w:rPr>
        <w:footnoteReference w:id="160"/>
      </w:r>
      <w:r w:rsidR="00FF445D">
        <w:t xml:space="preserve"> </w:t>
      </w:r>
      <w:r w:rsidR="006427DA">
        <w:t xml:space="preserve">  </w:t>
      </w:r>
    </w:p>
    <w:p w14:paraId="0C12E712" w14:textId="77777777" w:rsidR="00C33CA2" w:rsidRDefault="00C33CA2" w:rsidP="00931787">
      <w:pPr>
        <w:spacing w:after="0"/>
      </w:pPr>
    </w:p>
    <w:p w14:paraId="066B887C" w14:textId="32FD3B2B" w:rsidR="006A74F3" w:rsidRDefault="006A74F3" w:rsidP="00931787">
      <w:pPr>
        <w:spacing w:after="0"/>
      </w:pPr>
      <w:r>
        <w:t xml:space="preserve">One purpose of the ceiling is </w:t>
      </w:r>
      <w:r w:rsidR="00C33CA2">
        <w:t>to prevent</w:t>
      </w:r>
      <w:r>
        <w:t xml:space="preserve"> the track owner making economic rents – unearned income.  Another purpose is to provide an incentive for the owner to increase capacity when excess demand is looming.</w:t>
      </w:r>
      <w:r w:rsidR="00E35913">
        <w:t xml:space="preserve">  A further purpose, if access is applied to a commuter railway, is to reduce incentives to allow infrastructure degradation.</w:t>
      </w:r>
      <w:r w:rsidR="00E35913">
        <w:rPr>
          <w:rStyle w:val="FootnoteReference"/>
        </w:rPr>
        <w:footnoteReference w:id="161"/>
      </w:r>
    </w:p>
    <w:p w14:paraId="75913E3E" w14:textId="77777777" w:rsidR="000F5C9C" w:rsidRDefault="000F5C9C" w:rsidP="00931787">
      <w:pPr>
        <w:spacing w:after="0"/>
      </w:pPr>
    </w:p>
    <w:p w14:paraId="371A9FFE" w14:textId="77777777" w:rsidR="00E35913" w:rsidRDefault="00CA7496" w:rsidP="00931787">
      <w:pPr>
        <w:spacing w:after="0"/>
      </w:pPr>
      <w:r>
        <w:t>For most practical purposes</w:t>
      </w:r>
      <w:r w:rsidR="00C33CA2">
        <w:t>,</w:t>
      </w:r>
      <w:r>
        <w:t xml:space="preserve"> negotiation concerns charges only in excess of the floor – floor charges are not negotiated.  </w:t>
      </w:r>
    </w:p>
    <w:p w14:paraId="61417041" w14:textId="38B5F23B" w:rsidR="00CA7496" w:rsidRDefault="00CA7496" w:rsidP="00931787">
      <w:pPr>
        <w:spacing w:after="0"/>
      </w:pPr>
      <w:r>
        <w:lastRenderedPageBreak/>
        <w:t>Conceptually, negotiations for payments in excess of the floor would relate to preferential use of capacity – train paths at particular times, guarantees of priority in case of network delays or if aggregate capacity was less than demand.</w:t>
      </w:r>
      <w:r>
        <w:rPr>
          <w:rStyle w:val="FootnoteReference"/>
        </w:rPr>
        <w:footnoteReference w:id="162"/>
      </w:r>
      <w:r>
        <w:t xml:space="preserve"> </w:t>
      </w:r>
    </w:p>
    <w:p w14:paraId="267C6893" w14:textId="77777777" w:rsidR="00CA7496" w:rsidRDefault="00CA7496" w:rsidP="00931787">
      <w:pPr>
        <w:spacing w:after="0"/>
      </w:pPr>
    </w:p>
    <w:p w14:paraId="32B26649" w14:textId="5ECB184B" w:rsidR="00B47EA0" w:rsidRDefault="000F5C9C" w:rsidP="00931787">
      <w:pPr>
        <w:spacing w:after="0"/>
      </w:pPr>
      <w:r>
        <w:t xml:space="preserve">Full economic cost </w:t>
      </w:r>
      <w:r w:rsidR="00C33CA2">
        <w:t>is</w:t>
      </w:r>
      <w:r>
        <w:t xml:space="preserve"> </w:t>
      </w:r>
      <w:r w:rsidR="000B7A76">
        <w:t xml:space="preserve">estimated </w:t>
      </w:r>
      <w:r>
        <w:t xml:space="preserve">by ‘building blocks’.  These basically </w:t>
      </w:r>
      <w:r w:rsidR="00C33CA2">
        <w:t xml:space="preserve">build on the </w:t>
      </w:r>
      <w:r>
        <w:t>floor</w:t>
      </w:r>
      <w:r w:rsidR="00FF445D">
        <w:t xml:space="preserve"> (above)</w:t>
      </w:r>
      <w:r w:rsidR="00C33CA2">
        <w:t xml:space="preserve"> by</w:t>
      </w:r>
      <w:r>
        <w:t xml:space="preserve"> </w:t>
      </w:r>
      <w:r w:rsidR="00715447">
        <w:t xml:space="preserve">stand-alone costs, </w:t>
      </w:r>
      <w:r>
        <w:t xml:space="preserve">depreciation (return of capital) and </w:t>
      </w:r>
      <w:r w:rsidR="00DA1445">
        <w:t xml:space="preserve">permitted profits (return on capital).  </w:t>
      </w:r>
      <w:r w:rsidR="00CA7496">
        <w:t>C</w:t>
      </w:r>
      <w:r w:rsidR="00B47EA0">
        <w:t>osts are estimated for each network segment.</w:t>
      </w:r>
      <w:r w:rsidR="00CA7496">
        <w:rPr>
          <w:rStyle w:val="FootnoteReference"/>
        </w:rPr>
        <w:footnoteReference w:id="163"/>
      </w:r>
      <w:r w:rsidR="00CA7496">
        <w:t xml:space="preserve">  </w:t>
      </w:r>
    </w:p>
    <w:p w14:paraId="16046B27" w14:textId="77777777" w:rsidR="00B47EA0" w:rsidRDefault="00B47EA0" w:rsidP="00931787">
      <w:pPr>
        <w:spacing w:after="0"/>
      </w:pPr>
    </w:p>
    <w:p w14:paraId="6E763DB1" w14:textId="384AAE3A" w:rsidR="00715447" w:rsidRDefault="00DA1445" w:rsidP="00931787">
      <w:pPr>
        <w:spacing w:after="0"/>
      </w:pPr>
      <w:r>
        <w:t>Valuation of capital</w:t>
      </w:r>
      <w:r w:rsidR="00B47EA0">
        <w:t xml:space="preserve"> is</w:t>
      </w:r>
      <w:r>
        <w:t xml:space="preserve"> </w:t>
      </w:r>
      <w:r w:rsidR="00FF445D">
        <w:t>an important</w:t>
      </w:r>
      <w:r>
        <w:t xml:space="preserve"> factor for ceiling charges</w:t>
      </w:r>
      <w:r w:rsidR="00FF445D">
        <w:t xml:space="preserve"> – because it affects permitted profits and depreciation</w:t>
      </w:r>
      <w:r>
        <w:t>.</w:t>
      </w:r>
      <w:r w:rsidR="00715447">
        <w:t xml:space="preserve">  Also important </w:t>
      </w:r>
      <w:r w:rsidR="00B47EA0">
        <w:t>is</w:t>
      </w:r>
      <w:r w:rsidR="00715447">
        <w:t xml:space="preserve"> </w:t>
      </w:r>
      <w:r w:rsidR="00B47EA0">
        <w:t xml:space="preserve">the </w:t>
      </w:r>
      <w:r w:rsidR="00715447">
        <w:t xml:space="preserve">permitted rate of return.  </w:t>
      </w:r>
    </w:p>
    <w:p w14:paraId="5E67233C" w14:textId="77777777" w:rsidR="00715447" w:rsidRDefault="00715447" w:rsidP="00931787">
      <w:pPr>
        <w:spacing w:after="0"/>
      </w:pPr>
    </w:p>
    <w:p w14:paraId="317BE729" w14:textId="1A8444C8" w:rsidR="00DA1445" w:rsidRDefault="00363F17" w:rsidP="00931787">
      <w:pPr>
        <w:spacing w:after="0"/>
      </w:pPr>
      <w:r>
        <w:t>For these purposes, t</w:t>
      </w:r>
      <w:r w:rsidR="00715447">
        <w:t>he NSW economic regulator, the Independent Pricing and Regulatory Tribunal, determined capital valuation would be based on depreciated optimised replacement costs – rather than accounting or book asset values.</w:t>
      </w:r>
      <w:r w:rsidR="00C950B5">
        <w:t xml:space="preserve">  </w:t>
      </w:r>
      <w:r w:rsidR="00715447">
        <w:t xml:space="preserve">Permitted </w:t>
      </w:r>
      <w:r w:rsidR="00C33CA2">
        <w:t xml:space="preserve">profit </w:t>
      </w:r>
      <w:r w:rsidR="00715447">
        <w:t>rates would be determined by the Weighted Average Cost of Capital.</w:t>
      </w:r>
      <w:r w:rsidR="00B47EA0">
        <w:t xml:space="preserve">  It may be that the track owner </w:t>
      </w:r>
      <w:r w:rsidR="00C33CA2">
        <w:t>needs</w:t>
      </w:r>
      <w:r w:rsidR="00B47EA0">
        <w:t xml:space="preserve"> two sets of accounts – one for access regulation and one for standard accounting reporting.</w:t>
      </w:r>
      <w:r w:rsidR="00677529">
        <w:rPr>
          <w:rStyle w:val="FootnoteReference"/>
        </w:rPr>
        <w:footnoteReference w:id="164"/>
      </w:r>
    </w:p>
    <w:p w14:paraId="49B5DC03" w14:textId="77777777" w:rsidR="00B47EA0" w:rsidRDefault="00B47EA0" w:rsidP="00931787">
      <w:pPr>
        <w:spacing w:after="0"/>
      </w:pPr>
    </w:p>
    <w:p w14:paraId="03DD6A4C" w14:textId="306FE245" w:rsidR="00363F17" w:rsidRDefault="00363F17" w:rsidP="00931787">
      <w:pPr>
        <w:spacing w:after="0"/>
      </w:pPr>
      <w:r>
        <w:t xml:space="preserve">The </w:t>
      </w:r>
      <w:r w:rsidR="00B47EA0">
        <w:t xml:space="preserve">regulatory </w:t>
      </w:r>
      <w:r>
        <w:t>implication is</w:t>
      </w:r>
      <w:r w:rsidR="00B47EA0">
        <w:t>:</w:t>
      </w:r>
      <w:r>
        <w:t xml:space="preserve"> a deterioration in assets beyond that set in pre-determined depreciation schedules due to maintenance inadequacy w</w:t>
      </w:r>
      <w:r w:rsidR="00B47EA0">
        <w:t>ill</w:t>
      </w:r>
      <w:r>
        <w:t xml:space="preserve"> result in a loss of allowable profits</w:t>
      </w:r>
      <w:r w:rsidR="00C33CA2">
        <w:t>.  This is</w:t>
      </w:r>
      <w:r>
        <w:t xml:space="preserve"> because the depreciated optimised replacement cost would fall.  Th</w:t>
      </w:r>
      <w:r w:rsidR="00C33CA2">
        <w:t>e fall</w:t>
      </w:r>
      <w:r>
        <w:t xml:space="preserve"> would not be mitigated by the reduction in maintenance costs as </w:t>
      </w:r>
      <w:r w:rsidR="00B47EA0">
        <w:t xml:space="preserve">such reduction </w:t>
      </w:r>
      <w:r>
        <w:t xml:space="preserve">would be </w:t>
      </w:r>
      <w:r w:rsidR="00B47EA0">
        <w:t xml:space="preserve">matched by </w:t>
      </w:r>
      <w:r>
        <w:t xml:space="preserve">an equal </w:t>
      </w:r>
      <w:r w:rsidR="00B47EA0">
        <w:t>fall</w:t>
      </w:r>
      <w:r>
        <w:t xml:space="preserve"> in access revenue – because maintenance is allowed as an expense for access charges.</w:t>
      </w:r>
    </w:p>
    <w:p w14:paraId="4F482F8E" w14:textId="1F554729" w:rsidR="000B7A76" w:rsidRDefault="000B7A76" w:rsidP="00931787">
      <w:pPr>
        <w:spacing w:after="0"/>
      </w:pPr>
    </w:p>
    <w:p w14:paraId="2597AAF1" w14:textId="5D99CD40" w:rsidR="000B7A76" w:rsidRDefault="000B7A76" w:rsidP="00931787">
      <w:pPr>
        <w:spacing w:after="0"/>
      </w:pPr>
      <w:r>
        <w:t xml:space="preserve">Therefore, the purpose of access price regulation is to regulate service quality, as it is the </w:t>
      </w:r>
      <w:r w:rsidR="00B1225B">
        <w:t>restriction</w:t>
      </w:r>
      <w:r>
        <w:t xml:space="preserve"> in service quality or capacity than enables a monopolist to </w:t>
      </w:r>
      <w:r w:rsidR="00B1225B">
        <w:t xml:space="preserve">raise prices, </w:t>
      </w:r>
      <w:r>
        <w:t>make economic rent</w:t>
      </w:r>
      <w:r w:rsidR="00B1225B">
        <w:t>s</w:t>
      </w:r>
      <w:r>
        <w:t xml:space="preserve"> and reduce ‘welfare’.  </w:t>
      </w:r>
    </w:p>
    <w:p w14:paraId="5547FCD5" w14:textId="45BB661F" w:rsidR="00801C2F" w:rsidRDefault="00801C2F" w:rsidP="00931787">
      <w:pPr>
        <w:spacing w:after="0"/>
      </w:pPr>
    </w:p>
    <w:p w14:paraId="41499EEF" w14:textId="17C697BC" w:rsidR="00801C2F" w:rsidRDefault="00801C2F" w:rsidP="00931787">
      <w:pPr>
        <w:spacing w:after="0"/>
      </w:pPr>
      <w:r>
        <w:t xml:space="preserve">The basic point, however, is that the access </w:t>
      </w:r>
      <w:r w:rsidR="000B7A76">
        <w:t xml:space="preserve">price </w:t>
      </w:r>
      <w:r>
        <w:t>regulatory scheme is not designed to apply to railways</w:t>
      </w:r>
      <w:r w:rsidR="00C3690D">
        <w:t xml:space="preserve"> receiving subsidy or commuter trains</w:t>
      </w:r>
      <w:r>
        <w:t xml:space="preserve">.  It is designed for highly profitable rail tasks with vastly different operating characteristics.  With that background, references to access regulation, the Independent Pricing and Regulatory Tribunal and ‘building blocks’ in discussions about Sydney Trains </w:t>
      </w:r>
      <w:r w:rsidR="00C3690D">
        <w:t>are problematic</w:t>
      </w:r>
      <w:r>
        <w:t xml:space="preserve">. </w:t>
      </w:r>
      <w:r w:rsidR="00EF725C">
        <w:t>The references are likely to confuse such discussion</w:t>
      </w:r>
      <w:r w:rsidR="005A1E8B">
        <w:t>s</w:t>
      </w:r>
      <w:r w:rsidR="00EF725C">
        <w:t xml:space="preserve">.  </w:t>
      </w:r>
      <w:r w:rsidR="005A1E8B">
        <w:t>As</w:t>
      </w:r>
      <w:r w:rsidR="00EF725C">
        <w:t xml:space="preserve"> shown in the next section.</w:t>
      </w:r>
    </w:p>
    <w:p w14:paraId="0371ADFA" w14:textId="3B2C132F" w:rsidR="00363F17" w:rsidRDefault="00363F17" w:rsidP="00931787">
      <w:pPr>
        <w:spacing w:after="0"/>
      </w:pPr>
    </w:p>
    <w:p w14:paraId="24E8C7DC" w14:textId="2821AAA9" w:rsidR="00363F17" w:rsidRPr="00363F17" w:rsidRDefault="00801C2F" w:rsidP="00931787">
      <w:pPr>
        <w:pStyle w:val="Heading4"/>
      </w:pPr>
      <w:r>
        <w:t>6.</w:t>
      </w:r>
      <w:r w:rsidR="00151A2E">
        <w:t>5.6</w:t>
      </w:r>
      <w:r w:rsidR="00151A2E">
        <w:tab/>
        <w:t>The numbers</w:t>
      </w:r>
    </w:p>
    <w:p w14:paraId="4969D40E" w14:textId="39C05A4F" w:rsidR="00B47EA0" w:rsidRDefault="00B47EA0" w:rsidP="00931787">
      <w:pPr>
        <w:spacing w:after="0"/>
      </w:pPr>
      <w:r>
        <w:t xml:space="preserve">In a commuter railway, vertically separated track access will not increase </w:t>
      </w:r>
      <w:r w:rsidR="007615E0">
        <w:t xml:space="preserve">the transparency or control of </w:t>
      </w:r>
      <w:r>
        <w:t>economic cost</w:t>
      </w:r>
      <w:r w:rsidR="007615E0">
        <w:t>s</w:t>
      </w:r>
      <w:r w:rsidR="00C33CA2">
        <w:t>.  The reason:</w:t>
      </w:r>
      <w:r>
        <w:t xml:space="preserve"> </w:t>
      </w:r>
      <w:r w:rsidR="00C33CA2">
        <w:t xml:space="preserve">the </w:t>
      </w:r>
      <w:r>
        <w:t xml:space="preserve">advantage of trade-offs </w:t>
      </w:r>
      <w:r w:rsidR="002129A1">
        <w:t>e.g.,</w:t>
      </w:r>
      <w:r w:rsidR="00C33CA2">
        <w:t xml:space="preserve"> </w:t>
      </w:r>
      <w:r>
        <w:t>between fleet and track costs</w:t>
      </w:r>
      <w:r w:rsidR="00C33CA2">
        <w:t xml:space="preserve"> is lost</w:t>
      </w:r>
      <w:r>
        <w:t>.</w:t>
      </w:r>
    </w:p>
    <w:p w14:paraId="53305674" w14:textId="4DC14D87" w:rsidR="00B47EA0" w:rsidRDefault="00B47EA0" w:rsidP="00931787">
      <w:pPr>
        <w:spacing w:after="0"/>
      </w:pPr>
    </w:p>
    <w:p w14:paraId="0BC80232" w14:textId="43651851" w:rsidR="00B47EA0" w:rsidRDefault="00B47EA0" w:rsidP="00931787">
      <w:pPr>
        <w:spacing w:after="0"/>
      </w:pPr>
      <w:r>
        <w:lastRenderedPageBreak/>
        <w:t>Perhaps the only purpose of vertical separation in such a situation is to improve apparent accounting cost transparency.  The diversity and possible meaning of the numbers in the</w:t>
      </w:r>
      <w:r w:rsidR="00B1225B">
        <w:t xml:space="preserve"> present debate about the </w:t>
      </w:r>
      <w:r>
        <w:t>Entity suggests this purpose is being frustrated.</w:t>
      </w:r>
    </w:p>
    <w:p w14:paraId="74CB72DF" w14:textId="3C02D9B6" w:rsidR="00B47EA0" w:rsidRDefault="00B47EA0" w:rsidP="00931787">
      <w:pPr>
        <w:spacing w:after="0"/>
      </w:pPr>
    </w:p>
    <w:p w14:paraId="5466E8F7" w14:textId="5F404A32" w:rsidR="00B47EA0" w:rsidRDefault="00BF3ED9" w:rsidP="00931787">
      <w:pPr>
        <w:spacing w:after="0"/>
      </w:pPr>
      <w:r>
        <w:t>There are in</w:t>
      </w:r>
      <w:r w:rsidR="002C2338">
        <w:t xml:space="preserve">dications in the KPMG report the scheme </w:t>
      </w:r>
      <w:r w:rsidR="00135A8A">
        <w:t xml:space="preserve">was intended to </w:t>
      </w:r>
      <w:r w:rsidR="002C2338">
        <w:t>entail:</w:t>
      </w:r>
    </w:p>
    <w:p w14:paraId="2FAA3D56" w14:textId="21D18D11" w:rsidR="002C2338" w:rsidRDefault="002C2338" w:rsidP="00931787">
      <w:pPr>
        <w:pStyle w:val="ListParagraph"/>
        <w:numPr>
          <w:ilvl w:val="0"/>
          <w:numId w:val="3"/>
        </w:numPr>
        <w:spacing w:after="0"/>
        <w:ind w:left="360"/>
      </w:pPr>
      <w:r>
        <w:t>Sydney Trains performing maintenance tasks, in lieu of (some) access payments to the Entity;</w:t>
      </w:r>
    </w:p>
    <w:p w14:paraId="0187EDD1" w14:textId="77777777" w:rsidR="002C2338" w:rsidRDefault="002C2338" w:rsidP="00931787">
      <w:pPr>
        <w:pStyle w:val="ListParagraph"/>
        <w:numPr>
          <w:ilvl w:val="0"/>
          <w:numId w:val="3"/>
        </w:numPr>
        <w:spacing w:after="0"/>
        <w:ind w:left="360"/>
      </w:pPr>
      <w:r>
        <w:t>Sydney Trains making further payments, purportedly related to access, to the Entity; and</w:t>
      </w:r>
    </w:p>
    <w:p w14:paraId="1332C6EB" w14:textId="009B6648" w:rsidR="002C2338" w:rsidRDefault="002C2338" w:rsidP="00931787">
      <w:pPr>
        <w:pStyle w:val="ListParagraph"/>
        <w:numPr>
          <w:ilvl w:val="0"/>
          <w:numId w:val="3"/>
        </w:numPr>
        <w:spacing w:after="0"/>
        <w:ind w:left="360"/>
      </w:pPr>
      <w:r>
        <w:t>Sydney Trains being funded by Transport for NSW for the latter.</w:t>
      </w:r>
    </w:p>
    <w:p w14:paraId="09633CA5" w14:textId="0CF799A3" w:rsidR="002C2338" w:rsidRDefault="002C2338" w:rsidP="00931787">
      <w:pPr>
        <w:spacing w:after="0"/>
      </w:pPr>
    </w:p>
    <w:p w14:paraId="2023C89B" w14:textId="03D66025" w:rsidR="00B1225B" w:rsidRDefault="002C2338" w:rsidP="00931787">
      <w:pPr>
        <w:spacing w:after="0"/>
      </w:pPr>
      <w:r>
        <w:t xml:space="preserve">Terminology used in some parts of the </w:t>
      </w:r>
      <w:r w:rsidR="00151A2E">
        <w:t xml:space="preserve">KPMG </w:t>
      </w:r>
      <w:r>
        <w:t xml:space="preserve">report, and by Treasury, refer to (b) as </w:t>
      </w:r>
      <w:r w:rsidR="00BF3ED9">
        <w:t xml:space="preserve">the </w:t>
      </w:r>
      <w:r>
        <w:t xml:space="preserve">access charges.  </w:t>
      </w:r>
      <w:r w:rsidR="00C3690D">
        <w:t>Indeed, this may have stemmed from the 2016 Cabinet submission:</w:t>
      </w:r>
    </w:p>
    <w:p w14:paraId="6BB8C0AB" w14:textId="17D21AC5" w:rsidR="00AC7AE7" w:rsidRDefault="00C3690D" w:rsidP="00AC7AE7">
      <w:pPr>
        <w:spacing w:after="0"/>
        <w:ind w:left="720"/>
        <w:rPr>
          <w:i/>
          <w:iCs/>
        </w:rPr>
      </w:pPr>
      <w:r w:rsidRPr="00AC7AE7">
        <w:rPr>
          <w:i/>
          <w:iCs/>
        </w:rPr>
        <w:t>‘</w:t>
      </w:r>
      <w:r w:rsidR="00AC7AE7">
        <w:rPr>
          <w:i/>
          <w:iCs/>
        </w:rPr>
        <w:t>2.6</w:t>
      </w:r>
      <w:proofErr w:type="gramStart"/>
      <w:r w:rsidR="00AC7AE7">
        <w:rPr>
          <w:i/>
          <w:iCs/>
        </w:rPr>
        <w:t>…..</w:t>
      </w:r>
      <w:proofErr w:type="gramEnd"/>
      <w:r w:rsidRPr="00AC7AE7">
        <w:rPr>
          <w:i/>
          <w:iCs/>
        </w:rPr>
        <w:t>to allow them to pay a commercial rate to TAHE</w:t>
      </w:r>
      <w:r w:rsidR="004925B3">
        <w:rPr>
          <w:i/>
          <w:iCs/>
        </w:rPr>
        <w:t xml:space="preserve"> </w:t>
      </w:r>
      <w:r w:rsidR="004925B3" w:rsidRPr="004925B3">
        <w:t>(for the use of assets)</w:t>
      </w:r>
      <w:r w:rsidRPr="00AC7AE7">
        <w:rPr>
          <w:i/>
          <w:iCs/>
        </w:rPr>
        <w:t xml:space="preserve">, the Budget will need to provide an additional $800 million per annum of funding to </w:t>
      </w:r>
      <w:r w:rsidR="00AC7AE7" w:rsidRPr="00AC7AE7">
        <w:rPr>
          <w:i/>
          <w:iCs/>
        </w:rPr>
        <w:t>public transport operators.  In turn it is intended that TAHE should return the majority of this $800 million per annum to Government as dividends….’</w:t>
      </w:r>
    </w:p>
    <w:p w14:paraId="6AF88132" w14:textId="77777777" w:rsidR="00AC7AE7" w:rsidRDefault="00AC7AE7" w:rsidP="00AC7AE7">
      <w:pPr>
        <w:spacing w:after="0"/>
        <w:ind w:left="720"/>
        <w:rPr>
          <w:i/>
          <w:iCs/>
        </w:rPr>
      </w:pPr>
    </w:p>
    <w:p w14:paraId="52331A59" w14:textId="142D0D2B" w:rsidR="00C3690D" w:rsidRPr="00AC7AE7" w:rsidRDefault="00AC7AE7" w:rsidP="00AC7AE7">
      <w:pPr>
        <w:spacing w:after="0"/>
        <w:ind w:left="720"/>
        <w:rPr>
          <w:i/>
          <w:iCs/>
        </w:rPr>
      </w:pPr>
      <w:r>
        <w:rPr>
          <w:i/>
          <w:iCs/>
        </w:rPr>
        <w:t>3.9</w:t>
      </w:r>
      <w:proofErr w:type="gramStart"/>
      <w:r>
        <w:rPr>
          <w:i/>
          <w:iCs/>
        </w:rPr>
        <w:t>….Sydney</w:t>
      </w:r>
      <w:proofErr w:type="gramEnd"/>
      <w:r>
        <w:rPr>
          <w:i/>
          <w:iCs/>
        </w:rPr>
        <w:t xml:space="preserve"> Trains and NSW Trains currently do not pay for the use of, or access to, these assets.  They will need to be funded </w:t>
      </w:r>
      <w:r w:rsidR="004925B3">
        <w:rPr>
          <w:i/>
          <w:iCs/>
        </w:rPr>
        <w:t>by the Government approximately $800 million per annum to cover the costs of leasing or accessing these assets.’</w:t>
      </w:r>
      <w:r>
        <w:rPr>
          <w:rStyle w:val="FootnoteReference"/>
          <w:i/>
          <w:iCs/>
        </w:rPr>
        <w:footnoteReference w:id="165"/>
      </w:r>
    </w:p>
    <w:p w14:paraId="7B42F293" w14:textId="35D4DEE2" w:rsidR="00C3690D" w:rsidRDefault="00C3690D" w:rsidP="00931787">
      <w:pPr>
        <w:spacing w:after="0"/>
      </w:pPr>
    </w:p>
    <w:p w14:paraId="29A6E1B6" w14:textId="77777777" w:rsidR="00431DD5" w:rsidRDefault="004925B3" w:rsidP="00931787">
      <w:pPr>
        <w:spacing w:after="0"/>
      </w:pPr>
      <w:r>
        <w:t xml:space="preserve">Read by itself, 3.9 </w:t>
      </w:r>
      <w:r w:rsidR="00431DD5">
        <w:t xml:space="preserve">in the above quote </w:t>
      </w:r>
      <w:r>
        <w:t xml:space="preserve">would be interpreted as </w:t>
      </w:r>
      <w:r w:rsidR="00431DD5">
        <w:t xml:space="preserve">the scheme involving </w:t>
      </w:r>
      <w:r>
        <w:t>Sydney Trains etc. paying sufficient to enable TAHE to cover train control and maintenance expenses.  That is</w:t>
      </w:r>
      <w:r w:rsidR="00431DD5">
        <w:t>,</w:t>
      </w:r>
      <w:r>
        <w:t xml:space="preserve"> those expenses </w:t>
      </w:r>
      <w:r w:rsidR="00431DD5">
        <w:t xml:space="preserve">are in the order of $800m, and previously TAHE and its predecessors gained such funds directly from Government.  </w:t>
      </w:r>
    </w:p>
    <w:p w14:paraId="328E4B2E" w14:textId="77777777" w:rsidR="00431DD5" w:rsidRDefault="00431DD5" w:rsidP="00931787">
      <w:pPr>
        <w:spacing w:after="0"/>
      </w:pPr>
    </w:p>
    <w:p w14:paraId="427758C5" w14:textId="346C14A6" w:rsidR="004925B3" w:rsidRDefault="00431DD5" w:rsidP="00931787">
      <w:pPr>
        <w:spacing w:after="0"/>
      </w:pPr>
      <w:r>
        <w:t xml:space="preserve">However, 2.6 in the above quote reverses that normal use of language.  Any amounts TAHE returned to Government as a dividend - ipso facto - could not be spent on train control or maintenance.  </w:t>
      </w:r>
    </w:p>
    <w:p w14:paraId="3160FD52" w14:textId="70E30488" w:rsidR="00431DD5" w:rsidRDefault="00431DD5" w:rsidP="00931787">
      <w:pPr>
        <w:spacing w:after="0"/>
      </w:pPr>
    </w:p>
    <w:p w14:paraId="5031DC20" w14:textId="77B1E26D" w:rsidR="00431DD5" w:rsidRDefault="00431DD5" w:rsidP="00931787">
      <w:pPr>
        <w:spacing w:after="0"/>
      </w:pPr>
      <w:r>
        <w:t xml:space="preserve">The paragraphs </w:t>
      </w:r>
      <w:r w:rsidR="00CF44EA">
        <w:t>we</w:t>
      </w:r>
      <w:r>
        <w:t>re almost certain to cause confusion</w:t>
      </w:r>
      <w:r w:rsidR="00CF44EA">
        <w:t xml:space="preserve">, including in the railway and among officials, which is then likely </w:t>
      </w:r>
      <w:r w:rsidR="0079439C">
        <w:t xml:space="preserve">to </w:t>
      </w:r>
      <w:r w:rsidR="00CF44EA">
        <w:t xml:space="preserve">have </w:t>
      </w:r>
      <w:r w:rsidR="0079439C">
        <w:t xml:space="preserve">persistent and later </w:t>
      </w:r>
      <w:r w:rsidR="00CF44EA">
        <w:t>been relayed to advisors.</w:t>
      </w:r>
    </w:p>
    <w:p w14:paraId="4BFFF7DE" w14:textId="77777777" w:rsidR="004925B3" w:rsidRDefault="004925B3" w:rsidP="00931787">
      <w:pPr>
        <w:spacing w:after="0"/>
      </w:pPr>
    </w:p>
    <w:p w14:paraId="114883D3" w14:textId="3FCC1C02" w:rsidR="00677072" w:rsidRDefault="00CF44EA" w:rsidP="00931787">
      <w:pPr>
        <w:spacing w:after="0"/>
      </w:pPr>
      <w:r>
        <w:t>The KPMG</w:t>
      </w:r>
      <w:r w:rsidR="002C2338">
        <w:t xml:space="preserve"> report </w:t>
      </w:r>
      <w:r w:rsidR="00FA07C9">
        <w:t xml:space="preserve">appears – to me – to </w:t>
      </w:r>
      <w:r w:rsidR="002C2338">
        <w:t>ha</w:t>
      </w:r>
      <w:r w:rsidR="00FA07C9">
        <w:t>ve</w:t>
      </w:r>
      <w:r w:rsidR="002C2338">
        <w:t xml:space="preserve"> the 2022 access fees for public rail operators - $700m</w:t>
      </w:r>
      <w:r w:rsidR="00BF3ED9">
        <w:t xml:space="preserve"> </w:t>
      </w:r>
      <w:r w:rsidR="002C2338">
        <w:t xml:space="preserve">- net of maintenance and overheads.  </w:t>
      </w:r>
      <w:r w:rsidR="00677072">
        <w:t>It said this need</w:t>
      </w:r>
      <w:r w:rsidR="00BF3ED9">
        <w:t>s</w:t>
      </w:r>
      <w:r w:rsidR="00677072">
        <w:t xml:space="preserve"> to be grossed</w:t>
      </w:r>
      <w:r w:rsidR="007615E0">
        <w:t>-</w:t>
      </w:r>
      <w:r w:rsidR="00677072">
        <w:t>up to meet the floor test.  It mentioned maintenance funding for Sydney Trains of $1.2bn</w:t>
      </w:r>
      <w:r w:rsidR="00677072" w:rsidRPr="00677072">
        <w:rPr>
          <w:rStyle w:val="FootnoteReference"/>
        </w:rPr>
        <w:t xml:space="preserve"> </w:t>
      </w:r>
      <w:r w:rsidR="00677072">
        <w:rPr>
          <w:rStyle w:val="FootnoteReference"/>
        </w:rPr>
        <w:footnoteReference w:id="166"/>
      </w:r>
    </w:p>
    <w:p w14:paraId="66C69F9B" w14:textId="77777777" w:rsidR="00677072" w:rsidRDefault="00677072" w:rsidP="00931787">
      <w:pPr>
        <w:spacing w:after="0"/>
      </w:pPr>
    </w:p>
    <w:p w14:paraId="141E9605" w14:textId="56272116" w:rsidR="002C2338" w:rsidRDefault="002C2338" w:rsidP="00931787">
      <w:pPr>
        <w:spacing w:after="0"/>
      </w:pPr>
      <w:r>
        <w:t xml:space="preserve">Similarly, Treasury </w:t>
      </w:r>
      <w:r w:rsidR="00677072">
        <w:t>mentioned</w:t>
      </w:r>
      <w:r>
        <w:t xml:space="preserve"> ‘</w:t>
      </w:r>
      <w:r w:rsidRPr="002C2338">
        <w:rPr>
          <w:i/>
          <w:iCs/>
        </w:rPr>
        <w:t>further’</w:t>
      </w:r>
      <w:r>
        <w:t xml:space="preserve"> access fees of $680m</w:t>
      </w:r>
      <w:r w:rsidR="00677072">
        <w:t xml:space="preserve"> when referring to $1.2bn in maintenance funding for Sydney Trains (section 6.3 above).</w:t>
      </w:r>
      <w:r>
        <w:t xml:space="preserve"> </w:t>
      </w:r>
      <w:r w:rsidR="00AC1CCE">
        <w:t xml:space="preserve">  That could mean the $680m is in addition to </w:t>
      </w:r>
      <w:r w:rsidR="00BF3ED9">
        <w:t xml:space="preserve">the </w:t>
      </w:r>
      <w:r w:rsidR="00256CF7">
        <w:t>part of the</w:t>
      </w:r>
      <w:r w:rsidR="00AC1CCE">
        <w:t xml:space="preserve"> $1.2bn</w:t>
      </w:r>
      <w:r w:rsidR="00256CF7">
        <w:t xml:space="preserve"> used for track maintenance</w:t>
      </w:r>
      <w:r w:rsidR="00AC1CCE">
        <w:t>.</w:t>
      </w:r>
      <w:r w:rsidR="00BF3ED9">
        <w:rPr>
          <w:rStyle w:val="FootnoteReference"/>
        </w:rPr>
        <w:footnoteReference w:id="167"/>
      </w:r>
    </w:p>
    <w:p w14:paraId="6F004440" w14:textId="49D7ABFD" w:rsidR="002C2338" w:rsidRDefault="002C2338" w:rsidP="00931787">
      <w:pPr>
        <w:spacing w:after="0"/>
      </w:pPr>
    </w:p>
    <w:p w14:paraId="7D352283" w14:textId="77777777" w:rsidR="00FA07C9" w:rsidRDefault="00677072" w:rsidP="00931787">
      <w:pPr>
        <w:spacing w:after="0"/>
      </w:pPr>
      <w:r>
        <w:t>This is most unusual language.  It reverses normal meaning</w:t>
      </w:r>
      <w:r w:rsidR="00256CF7">
        <w:t>s</w:t>
      </w:r>
      <w:r>
        <w:t xml:space="preserve">.  For example, ‘grossing up’ in rail access typically refers to adding other charges on top of maintenance costs.  </w:t>
      </w:r>
    </w:p>
    <w:p w14:paraId="34AC2D45" w14:textId="77777777" w:rsidR="00FA07C9" w:rsidRDefault="00FA07C9" w:rsidP="00931787">
      <w:pPr>
        <w:spacing w:after="0"/>
      </w:pPr>
    </w:p>
    <w:p w14:paraId="2BEB6CEA" w14:textId="7A79FB57" w:rsidR="00677072" w:rsidRDefault="00677072" w:rsidP="00931787">
      <w:pPr>
        <w:spacing w:after="0"/>
      </w:pPr>
      <w:r>
        <w:lastRenderedPageBreak/>
        <w:t>Here it appears to be used as adding maintenance costs to other charges.</w:t>
      </w:r>
      <w:r w:rsidR="00B936E2">
        <w:t xml:space="preserve">  Neither the Treasury nor the report </w:t>
      </w:r>
      <w:r w:rsidR="00BF3ED9">
        <w:t xml:space="preserve">at the Inquiry’s website </w:t>
      </w:r>
      <w:r w:rsidR="00B936E2">
        <w:t>identify what those other charges might be for.</w:t>
      </w:r>
      <w:r>
        <w:rPr>
          <w:rStyle w:val="FootnoteReference"/>
        </w:rPr>
        <w:footnoteReference w:id="168"/>
      </w:r>
    </w:p>
    <w:p w14:paraId="71EDF687" w14:textId="2CEA19C5" w:rsidR="00677072" w:rsidRDefault="00677072" w:rsidP="00931787">
      <w:pPr>
        <w:spacing w:after="0"/>
      </w:pPr>
      <w:r>
        <w:t xml:space="preserve">   </w:t>
      </w:r>
    </w:p>
    <w:p w14:paraId="1F28DBF8" w14:textId="647D57E7" w:rsidR="00AC1CCE" w:rsidRDefault="001F57BD" w:rsidP="00931787">
      <w:pPr>
        <w:spacing w:after="0"/>
      </w:pPr>
      <w:r>
        <w:t xml:space="preserve">The </w:t>
      </w:r>
      <w:r w:rsidR="00677072">
        <w:t>KPMG report estimate of $1.4bn access charges includes maintenance costs.</w:t>
      </w:r>
      <w:r w:rsidR="00AC1CCE">
        <w:t xml:space="preserve">  Further:</w:t>
      </w:r>
    </w:p>
    <w:p w14:paraId="6A1E5AD0" w14:textId="05495002" w:rsidR="00651760" w:rsidRDefault="00AC1CCE" w:rsidP="00931787">
      <w:pPr>
        <w:spacing w:after="0"/>
        <w:ind w:left="720"/>
      </w:pPr>
      <w:r w:rsidRPr="00AC1CCE">
        <w:rPr>
          <w:i/>
          <w:iCs/>
        </w:rPr>
        <w:t>‘implicitly</w:t>
      </w:r>
      <w:r>
        <w:rPr>
          <w:i/>
          <w:iCs/>
        </w:rPr>
        <w:t>,</w:t>
      </w:r>
      <w:r w:rsidRPr="00AC1CCE">
        <w:rPr>
          <w:i/>
          <w:iCs/>
        </w:rPr>
        <w:t xml:space="preserve"> Sydney Trains as the Network Controller and O&amp;M on the MRN incurs costs which are almost identical to the floor, but NSWT does not incur these same costs nor does it pay for access’.</w:t>
      </w:r>
      <w:r w:rsidR="00677072">
        <w:rPr>
          <w:rStyle w:val="FootnoteReference"/>
        </w:rPr>
        <w:footnoteReference w:id="169"/>
      </w:r>
    </w:p>
    <w:p w14:paraId="040E4132" w14:textId="77777777" w:rsidR="00363F17" w:rsidRDefault="00363F17" w:rsidP="00931787">
      <w:pPr>
        <w:spacing w:after="0"/>
      </w:pPr>
    </w:p>
    <w:p w14:paraId="267BE968" w14:textId="3D6CE68D" w:rsidR="00363F17" w:rsidRDefault="00AC1CCE" w:rsidP="00931787">
      <w:pPr>
        <w:spacing w:after="0"/>
      </w:pPr>
      <w:r>
        <w:t xml:space="preserve">That is, the $1.4bn estimate </w:t>
      </w:r>
      <w:r w:rsidR="00FA07C9">
        <w:t xml:space="preserve">seems to </w:t>
      </w:r>
      <w:r>
        <w:t xml:space="preserve">comprise $700m for maintenance and network control costs, and $700m for something else.  The latter is regarded as </w:t>
      </w:r>
      <w:r w:rsidR="001F57BD">
        <w:t xml:space="preserve">the </w:t>
      </w:r>
      <w:r>
        <w:t>access</w:t>
      </w:r>
      <w:r w:rsidR="001F57BD">
        <w:t xml:space="preserve"> charge in some</w:t>
      </w:r>
      <w:r w:rsidR="0079439C">
        <w:t xml:space="preserve"> - </w:t>
      </w:r>
      <w:r w:rsidR="001F57BD">
        <w:t>but not all</w:t>
      </w:r>
      <w:r w:rsidR="0079439C">
        <w:t xml:space="preserve"> -</w:t>
      </w:r>
      <w:r w:rsidR="001F57BD">
        <w:t xml:space="preserve"> places in the report</w:t>
      </w:r>
      <w:r w:rsidR="0079439C">
        <w:t>, just like a similar figure was in the 2016 Cabinet submission</w:t>
      </w:r>
      <w:r>
        <w:t>.</w:t>
      </w:r>
    </w:p>
    <w:p w14:paraId="7618874E" w14:textId="77777777" w:rsidR="00256CF7" w:rsidRDefault="00256CF7" w:rsidP="00931787">
      <w:pPr>
        <w:spacing w:after="0"/>
      </w:pPr>
    </w:p>
    <w:p w14:paraId="60274D34" w14:textId="66CADF4A" w:rsidR="00AC1CCE" w:rsidRDefault="00AC1CCE" w:rsidP="00931787">
      <w:pPr>
        <w:spacing w:after="0"/>
      </w:pPr>
      <w:r>
        <w:t>Th</w:t>
      </w:r>
      <w:r w:rsidR="0079439C">
        <w:t>e estimate</w:t>
      </w:r>
      <w:r>
        <w:t xml:space="preserve"> appears to </w:t>
      </w:r>
      <w:r w:rsidR="00FA07C9">
        <w:t>reflect</w:t>
      </w:r>
      <w:r>
        <w:t xml:space="preserve"> confusion</w:t>
      </w:r>
      <w:r w:rsidR="00FA07C9">
        <w:t xml:space="preserve"> </w:t>
      </w:r>
      <w:r w:rsidR="0079439C">
        <w:t>starting in t</w:t>
      </w:r>
      <w:r w:rsidR="00FA07C9">
        <w:t>he Cabinet submission</w:t>
      </w:r>
      <w:r>
        <w:t xml:space="preserve">.  </w:t>
      </w:r>
      <w:r w:rsidR="00256CF7">
        <w:t xml:space="preserve">Conceptually </w:t>
      </w:r>
      <w:r w:rsidR="005B1AA7">
        <w:t>the approach</w:t>
      </w:r>
      <w:r w:rsidR="00256CF7">
        <w:t xml:space="preserve"> </w:t>
      </w:r>
      <w:r w:rsidR="00B1225B">
        <w:t>looks</w:t>
      </w:r>
      <w:r w:rsidR="00256CF7">
        <w:t xml:space="preserve"> wrong.</w:t>
      </w:r>
    </w:p>
    <w:p w14:paraId="097C5652" w14:textId="0208453C" w:rsidR="00256CF7" w:rsidRDefault="00256CF7" w:rsidP="00931787">
      <w:pPr>
        <w:spacing w:after="0"/>
      </w:pPr>
    </w:p>
    <w:p w14:paraId="2E701217" w14:textId="509BE87B" w:rsidR="001F57BD" w:rsidRDefault="001F57BD" w:rsidP="00931787">
      <w:pPr>
        <w:spacing w:after="0"/>
      </w:pPr>
      <w:r>
        <w:t xml:space="preserve">The </w:t>
      </w:r>
      <w:r w:rsidR="00CF2230">
        <w:t>NSW Rail A</w:t>
      </w:r>
      <w:r>
        <w:t xml:space="preserve">ccess </w:t>
      </w:r>
      <w:r w:rsidR="00CF2230">
        <w:t>U</w:t>
      </w:r>
      <w:r>
        <w:t xml:space="preserve">ndertaking </w:t>
      </w:r>
      <w:r w:rsidR="00C33CA2">
        <w:t>f</w:t>
      </w:r>
      <w:r>
        <w:t>loor test</w:t>
      </w:r>
      <w:r w:rsidR="00C33CA2">
        <w:t xml:space="preserve"> is</w:t>
      </w:r>
      <w:r>
        <w:t>:</w:t>
      </w:r>
    </w:p>
    <w:p w14:paraId="47E51CF1" w14:textId="610DEBB6" w:rsidR="001F57BD" w:rsidRPr="00CF2230" w:rsidRDefault="00CF2230" w:rsidP="00931787">
      <w:pPr>
        <w:spacing w:after="0"/>
        <w:ind w:left="720"/>
        <w:rPr>
          <w:i/>
          <w:iCs/>
        </w:rPr>
      </w:pPr>
      <w:r w:rsidRPr="00CF2230">
        <w:rPr>
          <w:i/>
          <w:iCs/>
        </w:rPr>
        <w:t>‘</w:t>
      </w:r>
      <w:r w:rsidR="001F57BD" w:rsidRPr="00CF2230">
        <w:rPr>
          <w:i/>
          <w:iCs/>
        </w:rPr>
        <w:t>Access revenue from every Access Seeker must meet the Direct Cost imposed by that Access Seeker</w:t>
      </w:r>
      <w:r w:rsidRPr="00CF2230">
        <w:rPr>
          <w:i/>
          <w:iCs/>
        </w:rPr>
        <w:t>’.</w:t>
      </w:r>
      <w:r>
        <w:rPr>
          <w:rStyle w:val="FootnoteReference"/>
          <w:i/>
          <w:iCs/>
        </w:rPr>
        <w:footnoteReference w:id="170"/>
      </w:r>
    </w:p>
    <w:p w14:paraId="7B2A6D28" w14:textId="25AA9AE2" w:rsidR="001F57BD" w:rsidRDefault="001F57BD" w:rsidP="00931787">
      <w:pPr>
        <w:spacing w:after="0"/>
      </w:pPr>
    </w:p>
    <w:p w14:paraId="408216EA" w14:textId="77777777" w:rsidR="00CF2230" w:rsidRDefault="001F57BD" w:rsidP="00931787">
      <w:pPr>
        <w:spacing w:after="0"/>
      </w:pPr>
      <w:r>
        <w:t>For that purpose, Direct Cost means</w:t>
      </w:r>
      <w:r w:rsidR="00CF2230">
        <w:t>:</w:t>
      </w:r>
    </w:p>
    <w:p w14:paraId="1D04939D" w14:textId="4DDEFFB9" w:rsidR="001F57BD" w:rsidRDefault="00CF2230" w:rsidP="00931787">
      <w:pPr>
        <w:spacing w:after="0"/>
        <w:ind w:left="720"/>
        <w:rPr>
          <w:i/>
          <w:iCs/>
        </w:rPr>
      </w:pPr>
      <w:r>
        <w:t>‘</w:t>
      </w:r>
      <w:r w:rsidR="001F57BD" w:rsidRPr="00CF2230">
        <w:rPr>
          <w:i/>
          <w:iCs/>
        </w:rPr>
        <w:t>efficient forward looking costs that vary with the usage of a single operator</w:t>
      </w:r>
      <w:r w:rsidRPr="00CF2230">
        <w:rPr>
          <w:i/>
          <w:iCs/>
        </w:rPr>
        <w:t xml:space="preserve"> within a 12 month period, plus a leve</w:t>
      </w:r>
      <w:r>
        <w:rPr>
          <w:i/>
          <w:iCs/>
        </w:rPr>
        <w:t>l</w:t>
      </w:r>
      <w:r w:rsidRPr="00CF2230">
        <w:rPr>
          <w:i/>
          <w:iCs/>
        </w:rPr>
        <w:t>lised charge for variable MPM costs, but excluding Depreciation</w:t>
      </w:r>
      <w:r>
        <w:rPr>
          <w:i/>
          <w:iCs/>
        </w:rPr>
        <w:t>’.</w:t>
      </w:r>
    </w:p>
    <w:p w14:paraId="7735ABD4" w14:textId="1EA23922" w:rsidR="00CF2230" w:rsidRDefault="00CF2230" w:rsidP="00931787">
      <w:pPr>
        <w:spacing w:after="0"/>
      </w:pPr>
    </w:p>
    <w:p w14:paraId="0DA0950A" w14:textId="7457D337" w:rsidR="00CF2230" w:rsidRDefault="00CF2230" w:rsidP="00931787">
      <w:pPr>
        <w:spacing w:after="0"/>
      </w:pPr>
      <w:r>
        <w:t xml:space="preserve">MPM is: </w:t>
      </w:r>
    </w:p>
    <w:p w14:paraId="5076877F" w14:textId="0832A9A1" w:rsidR="00CF2230" w:rsidRPr="00CF2230" w:rsidRDefault="00CF2230" w:rsidP="00931787">
      <w:pPr>
        <w:spacing w:after="0"/>
        <w:ind w:left="720"/>
        <w:rPr>
          <w:i/>
          <w:iCs/>
        </w:rPr>
      </w:pPr>
      <w:r w:rsidRPr="00CF2230">
        <w:rPr>
          <w:i/>
          <w:iCs/>
        </w:rPr>
        <w:t>‘planned maintenance expenditure on infrastructure assets at intervals of more than one year, including activities that renovate and refurbish the assets to achieve their predetermined service life and service level.’</w:t>
      </w:r>
    </w:p>
    <w:p w14:paraId="2BF44D12" w14:textId="77777777" w:rsidR="00CF2230" w:rsidRDefault="00CF2230" w:rsidP="00931787">
      <w:pPr>
        <w:spacing w:after="0"/>
      </w:pPr>
    </w:p>
    <w:p w14:paraId="6C2E7558" w14:textId="26FD6347" w:rsidR="00CF2230" w:rsidRDefault="00CF2230" w:rsidP="00931787">
      <w:pPr>
        <w:spacing w:after="0"/>
      </w:pPr>
      <w:r>
        <w:t>The references to efficient forward</w:t>
      </w:r>
      <w:r w:rsidR="0009154E">
        <w:t>-</w:t>
      </w:r>
      <w:r>
        <w:t>looking costs and MPM, and the exclusion of depreciation, imply the floor charges relate to train control costs and either estimates of rectification of infrastructure wear or maintenance costs.</w:t>
      </w:r>
    </w:p>
    <w:p w14:paraId="007E3E20" w14:textId="77777777" w:rsidR="00CF2230" w:rsidRDefault="00CF2230" w:rsidP="00931787">
      <w:pPr>
        <w:spacing w:after="0"/>
      </w:pPr>
    </w:p>
    <w:p w14:paraId="07EDB841" w14:textId="491B02E5" w:rsidR="00256CF7" w:rsidRDefault="00256CF7" w:rsidP="00931787">
      <w:pPr>
        <w:spacing w:after="0"/>
      </w:pPr>
      <w:r>
        <w:t xml:space="preserve">Given the irrelevance and impossibility of determining </w:t>
      </w:r>
      <w:r w:rsidR="00CF2230">
        <w:t xml:space="preserve">infrastructure wear by </w:t>
      </w:r>
      <w:r w:rsidR="001F57BD">
        <w:t>commuter train</w:t>
      </w:r>
      <w:r>
        <w:t xml:space="preserve">s </w:t>
      </w:r>
      <w:r w:rsidR="00CF2230">
        <w:t>on each</w:t>
      </w:r>
      <w:r>
        <w:t xml:space="preserve"> segment in the metropolitan area, the proxy for network avoidable costs </w:t>
      </w:r>
      <w:r w:rsidR="005B1AA7">
        <w:t>is:</w:t>
      </w:r>
      <w:r>
        <w:t xml:space="preserve"> </w:t>
      </w:r>
      <w:r w:rsidR="00C33CA2">
        <w:t xml:space="preserve">network control and </w:t>
      </w:r>
      <w:r>
        <w:t xml:space="preserve">maintenance costs.  </w:t>
      </w:r>
      <w:r w:rsidR="00C33CA2">
        <w:t>Network control and m</w:t>
      </w:r>
      <w:r>
        <w:t>aintenance costs therefore are the floor charge.</w:t>
      </w:r>
    </w:p>
    <w:p w14:paraId="4B07772E" w14:textId="77777777" w:rsidR="00256CF7" w:rsidRDefault="00256CF7" w:rsidP="00931787">
      <w:pPr>
        <w:spacing w:after="0"/>
      </w:pPr>
    </w:p>
    <w:p w14:paraId="519E3951" w14:textId="31CC63C8" w:rsidR="00567788" w:rsidRDefault="00256CF7" w:rsidP="00931787">
      <w:pPr>
        <w:spacing w:after="0"/>
      </w:pPr>
      <w:r>
        <w:t xml:space="preserve">That exposes </w:t>
      </w:r>
      <w:r w:rsidR="0009154E">
        <w:t>several</w:t>
      </w:r>
      <w:r>
        <w:t xml:space="preserve"> problems.  </w:t>
      </w:r>
    </w:p>
    <w:p w14:paraId="1350E02A" w14:textId="77777777" w:rsidR="00567788" w:rsidRDefault="00567788" w:rsidP="00931787">
      <w:pPr>
        <w:spacing w:after="0"/>
      </w:pPr>
    </w:p>
    <w:p w14:paraId="3284FB4F" w14:textId="77777777" w:rsidR="008E1868" w:rsidRDefault="00567788" w:rsidP="00931787">
      <w:pPr>
        <w:spacing w:after="0"/>
      </w:pPr>
      <w:r>
        <w:t xml:space="preserve">First, </w:t>
      </w:r>
      <w:r w:rsidR="0009154E">
        <w:t xml:space="preserve">in the Access Undertaking, </w:t>
      </w:r>
      <w:r>
        <w:t xml:space="preserve">the ‘building blocks’ approach </w:t>
      </w:r>
      <w:r w:rsidR="00AD7949">
        <w:t xml:space="preserve">- </w:t>
      </w:r>
      <w:r>
        <w:t xml:space="preserve">referred to by the </w:t>
      </w:r>
      <w:r w:rsidR="00173478">
        <w:t xml:space="preserve">KPMG </w:t>
      </w:r>
      <w:r>
        <w:t xml:space="preserve">report </w:t>
      </w:r>
      <w:r w:rsidR="00AD7949">
        <w:t xml:space="preserve">- </w:t>
      </w:r>
      <w:r>
        <w:t>entails building on a base of efficient maintenance costs.  Not building on a base of capital charges.</w:t>
      </w:r>
      <w:r w:rsidR="008E1868">
        <w:t xml:space="preserve">  </w:t>
      </w:r>
    </w:p>
    <w:p w14:paraId="1459F146" w14:textId="0E523282" w:rsidR="00567788" w:rsidRDefault="008E1868" w:rsidP="00931787">
      <w:pPr>
        <w:spacing w:after="0"/>
      </w:pPr>
      <w:r>
        <w:lastRenderedPageBreak/>
        <w:t xml:space="preserve">Yet the Cabinet submission and Treasury’s reference to a capital charge as an access charge - ‘because’ train control and maintenance are conducted gratis by Sydney Trains </w:t>
      </w:r>
      <w:r w:rsidR="00AE5AB2">
        <w:t>–</w:t>
      </w:r>
      <w:r>
        <w:t xml:space="preserve"> </w:t>
      </w:r>
      <w:r w:rsidR="00AE5AB2">
        <w:t xml:space="preserve">would </w:t>
      </w:r>
      <w:r>
        <w:t xml:space="preserve">naturally lead to a presumption </w:t>
      </w:r>
      <w:r w:rsidR="00AE5AB2">
        <w:t xml:space="preserve">by others </w:t>
      </w:r>
      <w:r>
        <w:t>that inverts the building blocks.</w:t>
      </w:r>
    </w:p>
    <w:p w14:paraId="18607B41" w14:textId="77777777" w:rsidR="00567788" w:rsidRDefault="00567788" w:rsidP="00931787">
      <w:pPr>
        <w:spacing w:after="0"/>
      </w:pPr>
    </w:p>
    <w:p w14:paraId="397BA1BF" w14:textId="173905C9" w:rsidR="00567788" w:rsidRDefault="00567788" w:rsidP="00931787">
      <w:pPr>
        <w:spacing w:after="0"/>
      </w:pPr>
      <w:r>
        <w:t xml:space="preserve">Second, by Treasury combining track and fleet maintenance and network control into a $1.2bn lump, there is less </w:t>
      </w:r>
      <w:r w:rsidR="00C33CA2">
        <w:t xml:space="preserve">- </w:t>
      </w:r>
      <w:r>
        <w:t xml:space="preserve">rather than more </w:t>
      </w:r>
      <w:r w:rsidR="00C33CA2">
        <w:t xml:space="preserve">- </w:t>
      </w:r>
      <w:r>
        <w:t>accounting transparency of costs and Government spending.</w:t>
      </w:r>
      <w:r w:rsidR="00A11EB0">
        <w:t xml:space="preserve">  That is anathema to the very purpose</w:t>
      </w:r>
      <w:r w:rsidR="00031714">
        <w:t>s</w:t>
      </w:r>
      <w:r w:rsidR="00A11EB0">
        <w:t xml:space="preserve"> of rail access</w:t>
      </w:r>
      <w:r w:rsidR="00031714">
        <w:t xml:space="preserve"> which have been</w:t>
      </w:r>
      <w:r w:rsidR="00A11EB0">
        <w:t xml:space="preserve"> </w:t>
      </w:r>
      <w:r w:rsidR="00031714">
        <w:t>consistently stated since t</w:t>
      </w:r>
      <w:r w:rsidR="00A11EB0">
        <w:t>he European Union Directives.</w:t>
      </w:r>
      <w:r w:rsidR="00A11EB0">
        <w:rPr>
          <w:rStyle w:val="FootnoteReference"/>
        </w:rPr>
        <w:footnoteReference w:id="171"/>
      </w:r>
      <w:r w:rsidR="00A11EB0">
        <w:t xml:space="preserve"> </w:t>
      </w:r>
    </w:p>
    <w:p w14:paraId="25FFB848" w14:textId="77777777" w:rsidR="00567788" w:rsidRDefault="00567788" w:rsidP="00931787">
      <w:pPr>
        <w:spacing w:after="0"/>
      </w:pPr>
    </w:p>
    <w:p w14:paraId="4C4F67E9" w14:textId="140831A0" w:rsidR="00C33CA2" w:rsidRDefault="00567788" w:rsidP="00931787">
      <w:pPr>
        <w:spacing w:after="0"/>
      </w:pPr>
      <w:r>
        <w:t>Third</w:t>
      </w:r>
      <w:r w:rsidR="00256CF7">
        <w:t xml:space="preserve">, there is no payment of monies from Sydney Trains to the Entity of the floor access charge.   Rather, it is purported the charge is paid ‘in kind’.  There are a number of reasons for that to be unacceptable.  </w:t>
      </w:r>
    </w:p>
    <w:p w14:paraId="19649461" w14:textId="77777777" w:rsidR="00EF725C" w:rsidRDefault="00EF725C" w:rsidP="00931787">
      <w:pPr>
        <w:spacing w:after="0"/>
      </w:pPr>
    </w:p>
    <w:p w14:paraId="7F5D4FF9" w14:textId="4EA8DB4B" w:rsidR="00256CF7" w:rsidRDefault="00256CF7" w:rsidP="00931787">
      <w:pPr>
        <w:spacing w:after="0"/>
      </w:pPr>
      <w:r>
        <w:t xml:space="preserve">Among these, from a </w:t>
      </w:r>
      <w:r w:rsidR="00EF725C">
        <w:t>public policy</w:t>
      </w:r>
      <w:r>
        <w:t xml:space="preserve"> perspective, is that the charge must be based on efficient costs which is contradicted by one of </w:t>
      </w:r>
      <w:r w:rsidR="00567788">
        <w:t xml:space="preserve">the </w:t>
      </w:r>
      <w:r>
        <w:t xml:space="preserve">claims behind the ‘reform’ </w:t>
      </w:r>
      <w:r w:rsidR="005B1AA7">
        <w:t>-</w:t>
      </w:r>
      <w:r>
        <w:t xml:space="preserve"> that Sydney Trains maintenance </w:t>
      </w:r>
      <w:r w:rsidR="005B1AA7">
        <w:t>practices/</w:t>
      </w:r>
      <w:r>
        <w:t>costs are not efficient.</w:t>
      </w:r>
    </w:p>
    <w:p w14:paraId="6D9653F2" w14:textId="77777777" w:rsidR="005B1AA7" w:rsidRDefault="005B1AA7" w:rsidP="00931787">
      <w:pPr>
        <w:spacing w:after="0"/>
      </w:pPr>
    </w:p>
    <w:p w14:paraId="77FBB5C0" w14:textId="574C61AB" w:rsidR="005B1AA7" w:rsidRPr="006016A2" w:rsidRDefault="00EF725C" w:rsidP="00931787">
      <w:pPr>
        <w:pStyle w:val="Heading4"/>
      </w:pPr>
      <w:r>
        <w:t>6.</w:t>
      </w:r>
      <w:r w:rsidR="00151A2E">
        <w:t>5.7</w:t>
      </w:r>
      <w:r w:rsidR="005B1AA7" w:rsidRPr="006016A2">
        <w:tab/>
        <w:t>The $</w:t>
      </w:r>
      <w:r w:rsidR="00C33CA2">
        <w:t>680m/$</w:t>
      </w:r>
      <w:r w:rsidR="005B1AA7" w:rsidRPr="006016A2">
        <w:t>700m</w:t>
      </w:r>
      <w:r w:rsidR="00C33CA2">
        <w:t xml:space="preserve"> payment</w:t>
      </w:r>
    </w:p>
    <w:p w14:paraId="5F1A0646" w14:textId="37655E05" w:rsidR="00567788" w:rsidRDefault="00567788" w:rsidP="00931787">
      <w:pPr>
        <w:spacing w:after="0"/>
      </w:pPr>
      <w:r>
        <w:t xml:space="preserve">A further problem arising from the payment in kind relates to the purpose of further payment of </w:t>
      </w:r>
      <w:r w:rsidR="00CC315C">
        <w:t>m</w:t>
      </w:r>
      <w:r>
        <w:t>onies from Sydney Trains to the Entity</w:t>
      </w:r>
      <w:r w:rsidR="00C33CA2">
        <w:t xml:space="preserve"> - </w:t>
      </w:r>
      <w:r w:rsidR="00CC315C">
        <w:t xml:space="preserve">$700m in the report, </w:t>
      </w:r>
      <w:r w:rsidR="00C33CA2">
        <w:t>$680m according to Treasury</w:t>
      </w:r>
      <w:r>
        <w:t xml:space="preserve">.  </w:t>
      </w:r>
      <w:r w:rsidR="00A95C27">
        <w:t>That is roughly the same number.  The question is</w:t>
      </w:r>
      <w:r>
        <w:t>: what for?</w:t>
      </w:r>
    </w:p>
    <w:p w14:paraId="2BF35E23" w14:textId="326F31F8" w:rsidR="00567788" w:rsidRDefault="00567788" w:rsidP="00931787">
      <w:pPr>
        <w:spacing w:after="0"/>
      </w:pPr>
    </w:p>
    <w:p w14:paraId="7C0B6BD9" w14:textId="0893FB37" w:rsidR="009B530E" w:rsidRDefault="0009154E" w:rsidP="00931787">
      <w:pPr>
        <w:spacing w:after="0"/>
      </w:pPr>
      <w:r>
        <w:t xml:space="preserve">That payment is not </w:t>
      </w:r>
      <w:r w:rsidR="00AD7949">
        <w:t xml:space="preserve">related to </w:t>
      </w:r>
      <w:r w:rsidR="00A95C27">
        <w:t xml:space="preserve">– </w:t>
      </w:r>
      <w:r w:rsidR="009B530E">
        <w:t xml:space="preserve">it is </w:t>
      </w:r>
      <w:r w:rsidR="00A95C27">
        <w:t xml:space="preserve">far above - </w:t>
      </w:r>
      <w:r>
        <w:t>the floor charge.</w:t>
      </w:r>
      <w:r w:rsidR="00151A2E">
        <w:t xml:space="preserve">  </w:t>
      </w:r>
      <w:r w:rsidR="005A1E8B">
        <w:t xml:space="preserve">Nor </w:t>
      </w:r>
      <w:r w:rsidR="00151A2E">
        <w:t xml:space="preserve">is </w:t>
      </w:r>
      <w:r w:rsidR="005A1E8B">
        <w:t xml:space="preserve">it </w:t>
      </w:r>
      <w:r w:rsidR="00151A2E">
        <w:t xml:space="preserve">related to </w:t>
      </w:r>
      <w:r w:rsidR="00A95C27">
        <w:t xml:space="preserve">– </w:t>
      </w:r>
      <w:r w:rsidR="009B530E">
        <w:t xml:space="preserve">it is </w:t>
      </w:r>
      <w:r w:rsidR="00A95C27">
        <w:t xml:space="preserve">far below - </w:t>
      </w:r>
      <w:r w:rsidR="00151A2E">
        <w:t xml:space="preserve">the ceiling charge.  </w:t>
      </w:r>
    </w:p>
    <w:p w14:paraId="64627DFB" w14:textId="77777777" w:rsidR="009B530E" w:rsidRDefault="009B530E" w:rsidP="00931787">
      <w:pPr>
        <w:spacing w:after="0"/>
      </w:pPr>
    </w:p>
    <w:p w14:paraId="0A888896" w14:textId="489F5A2D" w:rsidR="009B530E" w:rsidRDefault="00151A2E" w:rsidP="00931787">
      <w:pPr>
        <w:spacing w:after="0"/>
      </w:pPr>
      <w:r>
        <w:t xml:space="preserve">It </w:t>
      </w:r>
      <w:r w:rsidR="009B530E">
        <w:t xml:space="preserve">could not relate to a </w:t>
      </w:r>
      <w:r w:rsidR="00A95C27">
        <w:t xml:space="preserve">‘negotiated’ </w:t>
      </w:r>
      <w:r w:rsidR="009B530E">
        <w:t>charge between the floor and ceiling as that is a matter solely between Sydney Trains and the Entity</w:t>
      </w:r>
      <w:r w:rsidR="00EF725C">
        <w:t>.  A</w:t>
      </w:r>
      <w:r w:rsidR="009B530E">
        <w:t xml:space="preserve">t the time the ‘estimates’ </w:t>
      </w:r>
      <w:r w:rsidR="005A1E8B">
        <w:t>were</w:t>
      </w:r>
      <w:r w:rsidR="00EF725C">
        <w:t xml:space="preserve"> made </w:t>
      </w:r>
      <w:r w:rsidR="009B530E">
        <w:t xml:space="preserve">negotiations had not commenced.  </w:t>
      </w:r>
    </w:p>
    <w:p w14:paraId="398439CB" w14:textId="77777777" w:rsidR="009B530E" w:rsidRDefault="009B530E" w:rsidP="00931787">
      <w:pPr>
        <w:spacing w:after="0"/>
      </w:pPr>
    </w:p>
    <w:p w14:paraId="3C660A6B" w14:textId="59F12675" w:rsidR="0009154E" w:rsidRDefault="005A1E8B" w:rsidP="00931787">
      <w:pPr>
        <w:spacing w:after="0"/>
      </w:pPr>
      <w:r>
        <w:t>The payment</w:t>
      </w:r>
      <w:r w:rsidR="009B530E">
        <w:t xml:space="preserve"> </w:t>
      </w:r>
      <w:r w:rsidR="00151A2E">
        <w:t xml:space="preserve">should not be related to depreciation because the maintenance undertaken should ensure there is no deterioration in assets </w:t>
      </w:r>
      <w:r w:rsidR="009406DC">
        <w:t>i.e.,</w:t>
      </w:r>
      <w:r w:rsidR="00151A2E">
        <w:t xml:space="preserve"> there is no depreciation.</w:t>
      </w:r>
    </w:p>
    <w:p w14:paraId="73CC41A4" w14:textId="77777777" w:rsidR="0009154E" w:rsidRDefault="0009154E" w:rsidP="00931787">
      <w:pPr>
        <w:spacing w:after="0"/>
      </w:pPr>
    </w:p>
    <w:p w14:paraId="7E3CCDE0" w14:textId="43A1ACB2" w:rsidR="008471F9" w:rsidRDefault="0009154E" w:rsidP="00931787">
      <w:pPr>
        <w:spacing w:after="0"/>
      </w:pPr>
      <w:r>
        <w:t>Further, t</w:t>
      </w:r>
      <w:r w:rsidR="00567788">
        <w:t xml:space="preserve">here is no evident </w:t>
      </w:r>
      <w:r w:rsidR="00031714">
        <w:t xml:space="preserve">additional </w:t>
      </w:r>
      <w:r w:rsidR="00567788">
        <w:t xml:space="preserve">service provided by the Entity to Sydney Trains.  </w:t>
      </w:r>
      <w:r w:rsidR="008471F9">
        <w:t xml:space="preserve"> </w:t>
      </w:r>
    </w:p>
    <w:p w14:paraId="5AD7486C" w14:textId="77777777" w:rsidR="008471F9" w:rsidRDefault="008471F9" w:rsidP="00931787">
      <w:pPr>
        <w:spacing w:after="0"/>
      </w:pPr>
    </w:p>
    <w:p w14:paraId="0AAD9CEB" w14:textId="2E0E2A28" w:rsidR="00D36836" w:rsidRDefault="00151A2E" w:rsidP="00931787">
      <w:pPr>
        <w:spacing w:after="0"/>
      </w:pPr>
      <w:r>
        <w:t xml:space="preserve">It </w:t>
      </w:r>
      <w:r w:rsidR="00567788">
        <w:t>appears to be a gift.</w:t>
      </w:r>
      <w:r>
        <w:t xml:space="preserve">  The intention of Treasury et.al of </w:t>
      </w:r>
      <w:r w:rsidR="00D36836">
        <w:t>such a gift is likely to be support a certain level of profitability of the Entity such that it appears to be a ‘commercially’ viable organisation.</w:t>
      </w:r>
    </w:p>
    <w:p w14:paraId="707411FA" w14:textId="2FE28EAB" w:rsidR="007B7CF6" w:rsidRDefault="007B7CF6" w:rsidP="00931787">
      <w:pPr>
        <w:spacing w:after="0"/>
      </w:pPr>
    </w:p>
    <w:p w14:paraId="218810DD" w14:textId="593C8957" w:rsidR="007B7CF6" w:rsidRDefault="007B7CF6" w:rsidP="00931787">
      <w:pPr>
        <w:spacing w:after="0"/>
      </w:pPr>
      <w:r>
        <w:t>Such an intention is reflected in the evidence given at the Parliamentary Inquiry, 12 December 2021.  That evidence on the whole suggested Treasury, not Sydney Trains, controls the amount of access payments from Sydney Trains to the Entity.  In part th</w:t>
      </w:r>
      <w:r w:rsidR="005A1E8B">
        <w:t>e evidence suggest</w:t>
      </w:r>
      <w:r w:rsidR="00031714">
        <w:t>ed</w:t>
      </w:r>
      <w:r>
        <w:t xml:space="preserve"> the Entity can effectively demand higher payments from Sydney Trains, for no additional services, simply to meet rate of return targets set by Treasury.</w:t>
      </w:r>
      <w:r w:rsidR="00A559C1">
        <w:t xml:space="preserve">  It is unclear, at best, what is being negotiated in the access agreements.</w:t>
      </w:r>
      <w:r>
        <w:rPr>
          <w:rStyle w:val="FootnoteReference"/>
        </w:rPr>
        <w:footnoteReference w:id="172"/>
      </w:r>
      <w:r>
        <w:t xml:space="preserve"> </w:t>
      </w:r>
    </w:p>
    <w:p w14:paraId="0CF79B8C" w14:textId="77777777" w:rsidR="00D36836" w:rsidRDefault="00D36836" w:rsidP="00931787">
      <w:pPr>
        <w:spacing w:after="0"/>
      </w:pPr>
    </w:p>
    <w:p w14:paraId="1A878855" w14:textId="2C53C95A" w:rsidR="00F468CF" w:rsidRDefault="00151A2E" w:rsidP="00931787">
      <w:pPr>
        <w:spacing w:after="0"/>
        <w:rPr>
          <w:rFonts w:cstheme="minorHAnsi"/>
          <w:i/>
          <w:iCs/>
          <w:lang w:val="en-AU" w:eastAsia="en-AU"/>
        </w:rPr>
      </w:pPr>
      <w:r>
        <w:lastRenderedPageBreak/>
        <w:t>Sydney Trains may be unable to bestow such a gift.</w:t>
      </w:r>
      <w:r w:rsidR="00D36836">
        <w:t xml:space="preserve">  </w:t>
      </w:r>
      <w:r w:rsidR="00567788">
        <w:t xml:space="preserve">Legislation </w:t>
      </w:r>
      <w:r w:rsidR="009B530E">
        <w:t>gives</w:t>
      </w:r>
      <w:r w:rsidR="00567788">
        <w:t xml:space="preserve"> Sydney Trains the same type of objectives as the Entity</w:t>
      </w:r>
      <w:r w:rsidR="00F468CF">
        <w:t xml:space="preserve">.  </w:t>
      </w:r>
      <w:r w:rsidR="00567788">
        <w:t xml:space="preserve">Like the Entity, Sydney Trains is to </w:t>
      </w:r>
      <w:r w:rsidR="008471F9">
        <w:t xml:space="preserve">only </w:t>
      </w:r>
      <w:r w:rsidR="00567788">
        <w:t xml:space="preserve">look after </w:t>
      </w:r>
      <w:r w:rsidR="008471F9">
        <w:t xml:space="preserve">itself.  </w:t>
      </w:r>
      <w:r w:rsidR="00F468CF">
        <w:t>A</w:t>
      </w:r>
      <w:r w:rsidR="00567788">
        <w:t xml:space="preserve"> gift of $700m </w:t>
      </w:r>
      <w:r w:rsidR="009B530E">
        <w:t>conflicts</w:t>
      </w:r>
      <w:r w:rsidR="00567788">
        <w:t xml:space="preserve"> with such objectives. </w:t>
      </w:r>
      <w:r w:rsidR="008471F9">
        <w:t xml:space="preserve">  </w:t>
      </w:r>
      <w:r w:rsidR="00D36836">
        <w:t>Maintaining the profitability of the Entity</w:t>
      </w:r>
      <w:r w:rsidR="009B530E">
        <w:t>, or making the Entity seem like a commercially viable organisation</w:t>
      </w:r>
      <w:r w:rsidR="00A559C1">
        <w:t>,</w:t>
      </w:r>
      <w:r w:rsidR="00D36836">
        <w:t xml:space="preserve"> is not a legitimate purpose of Sydney Trains.</w:t>
      </w:r>
      <w:r w:rsidR="00F468CF">
        <w:rPr>
          <w:rStyle w:val="FootnoteReference"/>
          <w:rFonts w:cstheme="minorHAnsi"/>
          <w:i/>
          <w:iCs/>
          <w:lang w:val="en-AU" w:eastAsia="en-AU"/>
        </w:rPr>
        <w:footnoteReference w:id="173"/>
      </w:r>
    </w:p>
    <w:p w14:paraId="19508420" w14:textId="77777777" w:rsidR="00F468CF" w:rsidRDefault="00F468CF" w:rsidP="00931787">
      <w:pPr>
        <w:spacing w:after="0"/>
        <w:rPr>
          <w:rFonts w:cstheme="minorHAnsi"/>
          <w:i/>
          <w:iCs/>
          <w:lang w:val="en-AU" w:eastAsia="en-AU"/>
        </w:rPr>
      </w:pPr>
    </w:p>
    <w:p w14:paraId="470A8636" w14:textId="01504FDA" w:rsidR="00567788" w:rsidRDefault="008471F9" w:rsidP="00931787">
      <w:pPr>
        <w:spacing w:after="0"/>
      </w:pPr>
      <w:r>
        <w:t xml:space="preserve">There </w:t>
      </w:r>
      <w:r w:rsidR="00F468CF">
        <w:t>is</w:t>
      </w:r>
      <w:r>
        <w:t xml:space="preserve"> considerable doubt about whether Sydney Trains c</w:t>
      </w:r>
      <w:r w:rsidR="00F468CF">
        <w:t>ould</w:t>
      </w:r>
      <w:r>
        <w:t xml:space="preserve"> make such a payment of its own volition.  </w:t>
      </w:r>
      <w:r w:rsidR="00CC315C">
        <w:t>I</w:t>
      </w:r>
      <w:r>
        <w:t>f it c</w:t>
      </w:r>
      <w:r w:rsidR="00F468CF">
        <w:t>an</w:t>
      </w:r>
      <w:r>
        <w:t xml:space="preserve"> make such a payment, </w:t>
      </w:r>
      <w:r w:rsidR="0009154E">
        <w:t xml:space="preserve">it equally </w:t>
      </w:r>
      <w:r>
        <w:t>has discretion to alter or refuse to give it in future.</w:t>
      </w:r>
      <w:r w:rsidR="00F468CF">
        <w:t xml:space="preserve">  Moreover, the Entity cannot enforce a contract or agreement with Sydney Trains.</w:t>
      </w:r>
      <w:r w:rsidR="00F468CF">
        <w:rPr>
          <w:rStyle w:val="FootnoteReference"/>
        </w:rPr>
        <w:footnoteReference w:id="174"/>
      </w:r>
    </w:p>
    <w:p w14:paraId="1324A135" w14:textId="6B1B571A" w:rsidR="005B1AA7" w:rsidRDefault="005B1AA7" w:rsidP="00931787">
      <w:pPr>
        <w:spacing w:after="0"/>
      </w:pPr>
      <w:r>
        <w:t xml:space="preserve"> </w:t>
      </w:r>
    </w:p>
    <w:p w14:paraId="12E96E25" w14:textId="4556BE67" w:rsidR="008471F9" w:rsidRDefault="008471F9" w:rsidP="00931787">
      <w:pPr>
        <w:spacing w:after="0"/>
      </w:pPr>
      <w:r>
        <w:t xml:space="preserve">It is possible Sydney Trains has been directed to make the payment.  Transport for NSW may give directions to Sydney Trains.  </w:t>
      </w:r>
      <w:r w:rsidR="0009154E">
        <w:t>Transport for NSW</w:t>
      </w:r>
      <w:r>
        <w:t xml:space="preserve"> has broader system wide objectives.  </w:t>
      </w:r>
      <w:r w:rsidR="0009154E">
        <w:t>However, it</w:t>
      </w:r>
      <w:r>
        <w:t xml:space="preserve"> is unclear whether such objectives could extend to </w:t>
      </w:r>
      <w:r w:rsidR="001447BC">
        <w:t xml:space="preserve">simply </w:t>
      </w:r>
      <w:r>
        <w:t>support</w:t>
      </w:r>
      <w:r w:rsidR="001447BC">
        <w:t>ing</w:t>
      </w:r>
      <w:r>
        <w:t xml:space="preserve"> </w:t>
      </w:r>
      <w:r w:rsidR="001447BC">
        <w:t xml:space="preserve">the profits of </w:t>
      </w:r>
      <w:r w:rsidR="00CC315C">
        <w:t>a</w:t>
      </w:r>
      <w:r w:rsidR="001447BC">
        <w:t xml:space="preserve"> State-</w:t>
      </w:r>
      <w:r w:rsidR="00031714">
        <w:t>o</w:t>
      </w:r>
      <w:r w:rsidR="001447BC">
        <w:t>wned Corporation and whether a direction along these lines would be valid</w:t>
      </w:r>
      <w:r>
        <w:t>.</w:t>
      </w:r>
      <w:r>
        <w:rPr>
          <w:rStyle w:val="FootnoteReference"/>
        </w:rPr>
        <w:footnoteReference w:id="175"/>
      </w:r>
    </w:p>
    <w:p w14:paraId="0D2E6DBF" w14:textId="4934F7ED" w:rsidR="005B1AA7" w:rsidRDefault="005B1AA7" w:rsidP="00931787">
      <w:pPr>
        <w:spacing w:after="0"/>
      </w:pPr>
    </w:p>
    <w:p w14:paraId="2DADBB4D" w14:textId="77777777" w:rsidR="00B00F5C" w:rsidRDefault="008471F9" w:rsidP="00931787">
      <w:pPr>
        <w:spacing w:after="0"/>
      </w:pPr>
      <w:r>
        <w:t xml:space="preserve">The Government’s purpose of Sydney Trains making such a gift appears to be to support the </w:t>
      </w:r>
      <w:r w:rsidR="001447BC">
        <w:t>finances</w:t>
      </w:r>
      <w:r>
        <w:t xml:space="preserve"> of the Entity.  </w:t>
      </w:r>
      <w:r w:rsidR="001447BC">
        <w:t>According to KPMG, the support is less than what is required mitigate the Entity’s incentive to allow asset degradation – less than ceiling access revenues – by several billion dollars per annum.</w:t>
      </w:r>
      <w:r w:rsidR="001447BC">
        <w:rPr>
          <w:rStyle w:val="FootnoteReference"/>
        </w:rPr>
        <w:footnoteReference w:id="176"/>
      </w:r>
      <w:r w:rsidR="001447BC">
        <w:t xml:space="preserve">  </w:t>
      </w:r>
    </w:p>
    <w:p w14:paraId="33CCAE4B" w14:textId="77777777" w:rsidR="00B00F5C" w:rsidRDefault="00B00F5C" w:rsidP="00931787">
      <w:pPr>
        <w:spacing w:after="0"/>
      </w:pPr>
    </w:p>
    <w:p w14:paraId="2A14AA6D" w14:textId="0AE722CA" w:rsidR="008471F9" w:rsidRDefault="00B00F5C" w:rsidP="00931787">
      <w:pPr>
        <w:spacing w:after="0"/>
      </w:pPr>
      <w:r>
        <w:t xml:space="preserve">The question then is, how did KPMG and Treasury come up with their </w:t>
      </w:r>
      <w:r w:rsidR="0005606D">
        <w:t xml:space="preserve">different </w:t>
      </w:r>
      <w:r>
        <w:t xml:space="preserve">figures.  </w:t>
      </w:r>
      <w:r w:rsidR="008471F9">
        <w:t>While the matter is obscure, there are t</w:t>
      </w:r>
      <w:r>
        <w:t>hree</w:t>
      </w:r>
      <w:r w:rsidR="008471F9">
        <w:t xml:space="preserve"> </w:t>
      </w:r>
      <w:r w:rsidR="0009154E">
        <w:t xml:space="preserve">obvious </w:t>
      </w:r>
      <w:r w:rsidR="008471F9">
        <w:t>possibilities</w:t>
      </w:r>
      <w:r w:rsidR="0009154E">
        <w:t>.</w:t>
      </w:r>
    </w:p>
    <w:p w14:paraId="6B8CC5EF" w14:textId="38E04597" w:rsidR="008471F9" w:rsidRDefault="008471F9" w:rsidP="00931787">
      <w:pPr>
        <w:spacing w:after="0"/>
      </w:pPr>
    </w:p>
    <w:p w14:paraId="0EDA92E4" w14:textId="1801492A" w:rsidR="00B00F5C" w:rsidRDefault="00B00F5C" w:rsidP="00931787">
      <w:pPr>
        <w:spacing w:after="0"/>
      </w:pPr>
      <w:r>
        <w:t>First, the charge might include payments for fleet lease.  However, it is implied at several points the dominating matter is the access – to infrastructure – charge.</w:t>
      </w:r>
    </w:p>
    <w:p w14:paraId="6F3B5FAD" w14:textId="77777777" w:rsidR="00B00F5C" w:rsidRDefault="00B00F5C" w:rsidP="00931787">
      <w:pPr>
        <w:spacing w:after="0"/>
      </w:pPr>
    </w:p>
    <w:p w14:paraId="2C95A716" w14:textId="793DEABF" w:rsidR="00415D05" w:rsidRDefault="00B00F5C" w:rsidP="00931787">
      <w:pPr>
        <w:spacing w:after="0"/>
      </w:pPr>
      <w:r>
        <w:t>Second, i</w:t>
      </w:r>
      <w:r w:rsidR="008471F9">
        <w:t xml:space="preserve">s </w:t>
      </w:r>
      <w:r>
        <w:t xml:space="preserve">infrastructure </w:t>
      </w:r>
      <w:r w:rsidR="008471F9">
        <w:t xml:space="preserve">depreciation.  The </w:t>
      </w:r>
      <w:r>
        <w:t xml:space="preserve">KPMG </w:t>
      </w:r>
      <w:r w:rsidR="008471F9">
        <w:t>report claim</w:t>
      </w:r>
      <w:r w:rsidR="0009154E">
        <w:t>ed</w:t>
      </w:r>
      <w:r w:rsidR="008471F9">
        <w:t xml:space="preserve"> the Entity</w:t>
      </w:r>
      <w:r w:rsidR="00415D05">
        <w:t xml:space="preserve"> traps cash via depreciation.  It also said the annual </w:t>
      </w:r>
      <w:r w:rsidR="009406DC">
        <w:t>flag fall</w:t>
      </w:r>
      <w:r w:rsidR="00415D05">
        <w:t xml:space="preserve"> will vary materially from costs.  The report claim</w:t>
      </w:r>
      <w:r w:rsidR="0009154E">
        <w:t>ed</w:t>
      </w:r>
      <w:r w:rsidR="00415D05">
        <w:t xml:space="preserve"> the floor </w:t>
      </w:r>
      <w:r>
        <w:t xml:space="preserve">access </w:t>
      </w:r>
      <w:r w:rsidR="00415D05">
        <w:t>charge is approximately twice the cost of network control</w:t>
      </w:r>
      <w:r w:rsidR="00CC315C">
        <w:t xml:space="preserve"> and maintenance</w:t>
      </w:r>
      <w:r w:rsidR="00415D05">
        <w:t xml:space="preserve">.  As the floor charge does not include a return on assets, depreciation </w:t>
      </w:r>
      <w:r w:rsidR="00A559C1">
        <w:t xml:space="preserve">seems the likely explanation of the </w:t>
      </w:r>
      <w:r w:rsidR="00CC315C">
        <w:t>report’s floor estimates</w:t>
      </w:r>
      <w:r w:rsidR="00415D05">
        <w:t>.</w:t>
      </w:r>
      <w:r w:rsidR="00415D05">
        <w:rPr>
          <w:rStyle w:val="FootnoteReference"/>
        </w:rPr>
        <w:footnoteReference w:id="177"/>
      </w:r>
    </w:p>
    <w:p w14:paraId="68009ED7" w14:textId="77777777" w:rsidR="00415D05" w:rsidRDefault="00415D05" w:rsidP="00931787">
      <w:pPr>
        <w:spacing w:after="0"/>
      </w:pPr>
    </w:p>
    <w:p w14:paraId="4AF21BF8" w14:textId="77777777" w:rsidR="00A559C1" w:rsidRDefault="00415D05" w:rsidP="00931787">
      <w:pPr>
        <w:spacing w:after="0"/>
      </w:pPr>
      <w:r>
        <w:t xml:space="preserve">However, as indicated earlier, the purpose of maintenance in a commuter railway </w:t>
      </w:r>
      <w:r w:rsidR="00B00F5C">
        <w:t>is</w:t>
      </w:r>
      <w:r>
        <w:t xml:space="preserve"> eliminat</w:t>
      </w:r>
      <w:r w:rsidR="00B00F5C">
        <w:t>ion of</w:t>
      </w:r>
      <w:r>
        <w:t xml:space="preserve"> depreciation.  This </w:t>
      </w:r>
      <w:r w:rsidR="00B00F5C">
        <w:t xml:space="preserve">suggests </w:t>
      </w:r>
      <w:r w:rsidR="00A559C1">
        <w:t xml:space="preserve">a possible </w:t>
      </w:r>
      <w:r>
        <w:t>misunderst</w:t>
      </w:r>
      <w:r w:rsidR="00A559C1">
        <w:t>anding</w:t>
      </w:r>
      <w:r>
        <w:t xml:space="preserve"> – double count</w:t>
      </w:r>
      <w:r w:rsidR="00A559C1">
        <w:t>ing</w:t>
      </w:r>
      <w:r>
        <w:t xml:space="preserve"> – </w:t>
      </w:r>
      <w:r w:rsidR="00A559C1">
        <w:t xml:space="preserve">of </w:t>
      </w:r>
      <w:r>
        <w:t>access charges.</w:t>
      </w:r>
      <w:r w:rsidR="0009154E">
        <w:t xml:space="preserve">  </w:t>
      </w:r>
    </w:p>
    <w:p w14:paraId="03635741" w14:textId="14CAD84F" w:rsidR="00415D05" w:rsidRDefault="00A559C1" w:rsidP="00931787">
      <w:pPr>
        <w:spacing w:after="0"/>
      </w:pPr>
      <w:r>
        <w:lastRenderedPageBreak/>
        <w:t>T</w:t>
      </w:r>
      <w:r w:rsidR="0009154E">
        <w:t xml:space="preserve">he </w:t>
      </w:r>
      <w:r w:rsidR="00031714">
        <w:t>U</w:t>
      </w:r>
      <w:r w:rsidR="0009154E">
        <w:t>ndertaking precludes depreciation being included in the floor charge.</w:t>
      </w:r>
      <w:r w:rsidR="00A95C27">
        <w:t xml:space="preserve">  Given the </w:t>
      </w:r>
      <w:r w:rsidR="0005606D">
        <w:t xml:space="preserve">arcane and </w:t>
      </w:r>
      <w:r w:rsidR="00A95C27">
        <w:t>highly technical nature of the topic, in my view it is likely KPMG was advised of these figures</w:t>
      </w:r>
      <w:r w:rsidR="0005606D">
        <w:t xml:space="preserve"> and intent of the Undertaking but was</w:t>
      </w:r>
      <w:r w:rsidR="00A95C27">
        <w:t xml:space="preserve"> misled by officials</w:t>
      </w:r>
      <w:r w:rsidR="0005606D">
        <w:t xml:space="preserve"> on both</w:t>
      </w:r>
      <w:r w:rsidR="00A95C27">
        <w:t>.</w:t>
      </w:r>
    </w:p>
    <w:p w14:paraId="12133BD4" w14:textId="06EAEACB" w:rsidR="00415D05" w:rsidRDefault="00415D05" w:rsidP="00931787">
      <w:pPr>
        <w:spacing w:after="0"/>
      </w:pPr>
    </w:p>
    <w:p w14:paraId="3D45CBFE" w14:textId="0E147795" w:rsidR="00415D05" w:rsidRDefault="00A95C27" w:rsidP="00931787">
      <w:pPr>
        <w:spacing w:after="0"/>
      </w:pPr>
      <w:r>
        <w:t xml:space="preserve">Third </w:t>
      </w:r>
      <w:r w:rsidR="00415D05">
        <w:t xml:space="preserve">is a return on assets.  There is considerable discussion </w:t>
      </w:r>
      <w:r w:rsidR="0009154E">
        <w:t xml:space="preserve">in the </w:t>
      </w:r>
      <w:r w:rsidR="00A559C1">
        <w:t xml:space="preserve">KPMG </w:t>
      </w:r>
      <w:r w:rsidR="0009154E">
        <w:t xml:space="preserve">report </w:t>
      </w:r>
      <w:r w:rsidR="00415D05">
        <w:t>about returns on assets/equity, and this appears to be a primary point of contention between KPMG and Treasury.</w:t>
      </w:r>
      <w:r>
        <w:t xml:space="preserve">  Of itself this suggests KPMG was misled by officials whose thoughts about access are </w:t>
      </w:r>
      <w:r w:rsidR="00173478">
        <w:t xml:space="preserve">likely </w:t>
      </w:r>
      <w:r>
        <w:t>dominated by arguments with economic regulators over coal haulage.</w:t>
      </w:r>
      <w:r w:rsidR="00415D05">
        <w:rPr>
          <w:rStyle w:val="FootnoteReference"/>
        </w:rPr>
        <w:footnoteReference w:id="178"/>
      </w:r>
    </w:p>
    <w:p w14:paraId="7D3E18C0" w14:textId="45F1027D" w:rsidR="00415D05" w:rsidRDefault="00415D05" w:rsidP="00931787">
      <w:pPr>
        <w:spacing w:after="0"/>
      </w:pPr>
    </w:p>
    <w:p w14:paraId="49F94DFA" w14:textId="21F1F22A" w:rsidR="00415D05" w:rsidRDefault="00A95C27" w:rsidP="00931787">
      <w:pPr>
        <w:spacing w:after="0"/>
      </w:pPr>
      <w:r>
        <w:t>In any event, return</w:t>
      </w:r>
      <w:r w:rsidR="00415D05">
        <w:t>s relate only to the ceiling charge.  They should not be included in the floor.</w:t>
      </w:r>
    </w:p>
    <w:p w14:paraId="4E368C97" w14:textId="1DBC65C2" w:rsidR="00415D05" w:rsidRDefault="00415D05" w:rsidP="00931787">
      <w:pPr>
        <w:spacing w:after="0"/>
      </w:pPr>
    </w:p>
    <w:p w14:paraId="5F988257" w14:textId="5B832007" w:rsidR="00415D05" w:rsidRDefault="00CB75EE" w:rsidP="00931787">
      <w:pPr>
        <w:pStyle w:val="Heading4"/>
      </w:pPr>
      <w:r>
        <w:t>6.5.</w:t>
      </w:r>
      <w:r w:rsidR="009B530E">
        <w:t>8</w:t>
      </w:r>
      <w:r w:rsidR="00415D05">
        <w:tab/>
        <w:t>Constructing an argument</w:t>
      </w:r>
    </w:p>
    <w:p w14:paraId="5B52AFD2" w14:textId="71753ACA" w:rsidR="00415D05" w:rsidRDefault="002E5732" w:rsidP="00931787">
      <w:pPr>
        <w:spacing w:after="0"/>
      </w:pPr>
      <w:r>
        <w:t xml:space="preserve">Despite the charges including apparent gifts, it </w:t>
      </w:r>
      <w:r w:rsidR="0009154E">
        <w:t>may</w:t>
      </w:r>
      <w:r>
        <w:t xml:space="preserve"> </w:t>
      </w:r>
      <w:r w:rsidR="0009154E">
        <w:t xml:space="preserve">be </w:t>
      </w:r>
      <w:r>
        <w:t>possible to construct an argument that it may be in Sydney Trains interests to make such payments.</w:t>
      </w:r>
    </w:p>
    <w:p w14:paraId="71C57A07" w14:textId="3FE75933" w:rsidR="002E5732" w:rsidRDefault="002E5732" w:rsidP="00931787">
      <w:pPr>
        <w:spacing w:after="0"/>
      </w:pPr>
    </w:p>
    <w:p w14:paraId="3CB03156" w14:textId="4B866384" w:rsidR="00AD7949" w:rsidRDefault="002E5732" w:rsidP="00931787">
      <w:pPr>
        <w:spacing w:after="0"/>
      </w:pPr>
      <w:r>
        <w:t>The ability of Sydney Trains to meet its objectives depends on adequate maintenance of the network.  Inserting the Entity into the maintenance process – to endorse the level of maintenance – creates a risk of under</w:t>
      </w:r>
      <w:r w:rsidR="0009154E">
        <w:t>-</w:t>
      </w:r>
      <w:r>
        <w:t xml:space="preserve">maintenance.  That </w:t>
      </w:r>
      <w:r w:rsidR="0009154E">
        <w:t>could be mitigated</w:t>
      </w:r>
      <w:r>
        <w:t xml:space="preserve"> were the Entity to financially suffer from maintenance cuts.</w:t>
      </w:r>
      <w:r w:rsidR="00AD7949">
        <w:rPr>
          <w:rStyle w:val="FootnoteReference"/>
        </w:rPr>
        <w:footnoteReference w:id="179"/>
      </w:r>
      <w:r w:rsidR="00AD7949">
        <w:t xml:space="preserve">  </w:t>
      </w:r>
    </w:p>
    <w:p w14:paraId="0E6B5FC5" w14:textId="77777777" w:rsidR="00AD7949" w:rsidRDefault="00AD7949" w:rsidP="00931787">
      <w:pPr>
        <w:spacing w:after="0"/>
      </w:pPr>
    </w:p>
    <w:p w14:paraId="0B4BE9F4" w14:textId="1AD10364" w:rsidR="00F92742" w:rsidRDefault="00AD7949" w:rsidP="00931787">
      <w:pPr>
        <w:spacing w:after="0"/>
      </w:pPr>
      <w:r>
        <w:t>It may be in Sydney Trains</w:t>
      </w:r>
      <w:r w:rsidR="00CB75EE">
        <w:t>’</w:t>
      </w:r>
      <w:r>
        <w:t xml:space="preserve"> further interest to neutralise the Entity’s </w:t>
      </w:r>
      <w:r w:rsidR="002E5732">
        <w:t xml:space="preserve">incentive to </w:t>
      </w:r>
      <w:r>
        <w:t>w</w:t>
      </w:r>
      <w:r w:rsidR="002E5732">
        <w:t xml:space="preserve">rite down asset values.  </w:t>
      </w:r>
      <w:r w:rsidR="00F92742">
        <w:t xml:space="preserve">In a purely monetary-access transaction that requires payment of the ceiling </w:t>
      </w:r>
      <w:r w:rsidR="009406DC">
        <w:t>i.e.,</w:t>
      </w:r>
      <w:r w:rsidR="00F92742">
        <w:t xml:space="preserve"> in the order of $3bn pa.  The access agreement is to only deal with access.</w:t>
      </w:r>
      <w:r w:rsidR="00F92742">
        <w:rPr>
          <w:rStyle w:val="FootnoteReference"/>
        </w:rPr>
        <w:footnoteReference w:id="180"/>
      </w:r>
    </w:p>
    <w:p w14:paraId="0E154568" w14:textId="77777777" w:rsidR="00F92742" w:rsidRDefault="00F92742" w:rsidP="00931787">
      <w:pPr>
        <w:spacing w:after="0"/>
      </w:pPr>
    </w:p>
    <w:p w14:paraId="507FA178" w14:textId="77777777" w:rsidR="00173478" w:rsidRDefault="00F92742" w:rsidP="00931787">
      <w:pPr>
        <w:spacing w:after="0"/>
      </w:pPr>
      <w:r>
        <w:t xml:space="preserve">However, the Entity’s role in ‘endorsing’ maintenance and State budget bids provides an avenue of benefit to Sydney Trains.  It is in Sydney Trains interests that </w:t>
      </w:r>
      <w:r w:rsidR="0009154E">
        <w:t xml:space="preserve">the Entity endorses both the maximum amount of maintenance sought to be conducted by Sydney Trains and also the maximum bid </w:t>
      </w:r>
      <w:r w:rsidR="00CC315C">
        <w:t xml:space="preserve">for maintenance money </w:t>
      </w:r>
      <w:r w:rsidR="0009154E">
        <w:t>Sydney Trains makes in NSW budget processes.</w:t>
      </w:r>
      <w:r w:rsidR="00173478">
        <w:t xml:space="preserve">  </w:t>
      </w:r>
    </w:p>
    <w:p w14:paraId="1829252B" w14:textId="77777777" w:rsidR="00173478" w:rsidRDefault="00173478" w:rsidP="00931787">
      <w:pPr>
        <w:spacing w:after="0"/>
      </w:pPr>
    </w:p>
    <w:p w14:paraId="57A6227F" w14:textId="4B6260D2" w:rsidR="00CC315C" w:rsidRDefault="00CC315C" w:rsidP="00931787">
      <w:pPr>
        <w:spacing w:after="0"/>
      </w:pPr>
      <w:r>
        <w:t xml:space="preserve">That would </w:t>
      </w:r>
      <w:r w:rsidR="00F92742">
        <w:t>suggest a further</w:t>
      </w:r>
      <w:r w:rsidR="00B90FCA">
        <w:t>, ancillary,</w:t>
      </w:r>
      <w:r w:rsidR="00F92742">
        <w:t xml:space="preserve"> </w:t>
      </w:r>
      <w:r>
        <w:t>‘agreement’ between Sydney Trains and the Entity</w:t>
      </w:r>
      <w:r w:rsidR="00F92742">
        <w:t xml:space="preserve">: </w:t>
      </w:r>
      <w:r>
        <w:t xml:space="preserve"> for the </w:t>
      </w:r>
      <w:r w:rsidR="00F92742">
        <w:t xml:space="preserve">Entity </w:t>
      </w:r>
      <w:r>
        <w:t>to promise not to alter asset valuations, possibly except on change in asset condition</w:t>
      </w:r>
      <w:r w:rsidR="00F92742">
        <w:t xml:space="preserve">, to endorse all Sydney Trains maintenance </w:t>
      </w:r>
      <w:r w:rsidR="009559C0">
        <w:t>programs and all maintenance bids for State funding</w:t>
      </w:r>
      <w:r>
        <w:t xml:space="preserve">.  The absence of such </w:t>
      </w:r>
      <w:r w:rsidR="009559C0">
        <w:t xml:space="preserve">agreement </w:t>
      </w:r>
      <w:r>
        <w:t>would suggest Sydney Trains has not received ‘consideration’ for its payment</w:t>
      </w:r>
      <w:r w:rsidR="00AD7949">
        <w:t xml:space="preserve"> of $680m (or $700m)</w:t>
      </w:r>
      <w:r>
        <w:t>.</w:t>
      </w:r>
    </w:p>
    <w:p w14:paraId="1E5D7B12" w14:textId="03472115" w:rsidR="00B90FCA" w:rsidRDefault="00B90FCA" w:rsidP="00931787">
      <w:pPr>
        <w:spacing w:after="0"/>
      </w:pPr>
    </w:p>
    <w:p w14:paraId="5ACCD74D" w14:textId="1F175E50" w:rsidR="00B90FCA" w:rsidRDefault="00B90FCA" w:rsidP="00931787">
      <w:pPr>
        <w:spacing w:after="0"/>
      </w:pPr>
      <w:r>
        <w:t>Unfortunately for that theory, it appears the Entity has already altered asset valuations on the basis of expected future income rather than condition.</w:t>
      </w:r>
      <w:r>
        <w:rPr>
          <w:rStyle w:val="FootnoteReference"/>
        </w:rPr>
        <w:footnoteReference w:id="181"/>
      </w:r>
    </w:p>
    <w:p w14:paraId="534CD0B5" w14:textId="505DCB27" w:rsidR="00AF75C7" w:rsidRDefault="00AF75C7" w:rsidP="00931787">
      <w:pPr>
        <w:spacing w:after="0"/>
      </w:pPr>
    </w:p>
    <w:p w14:paraId="636F67C8" w14:textId="43ED43F0" w:rsidR="009559C0" w:rsidRDefault="009559C0" w:rsidP="00931787">
      <w:pPr>
        <w:spacing w:after="0"/>
      </w:pPr>
      <w:r>
        <w:br w:type="page"/>
      </w:r>
    </w:p>
    <w:p w14:paraId="7380594B" w14:textId="531C143D" w:rsidR="00647D25" w:rsidRDefault="00525D42" w:rsidP="00931787">
      <w:pPr>
        <w:pStyle w:val="Heading2"/>
      </w:pPr>
      <w:bookmarkStart w:id="31" w:name="_Toc93085777"/>
      <w:r>
        <w:lastRenderedPageBreak/>
        <w:t>7</w:t>
      </w:r>
      <w:r w:rsidR="00F13235">
        <w:t>.</w:t>
      </w:r>
      <w:r w:rsidR="00F13235">
        <w:tab/>
        <w:t>Franchising</w:t>
      </w:r>
      <w:bookmarkEnd w:id="31"/>
    </w:p>
    <w:p w14:paraId="162BA626" w14:textId="77777777" w:rsidR="00747570" w:rsidRDefault="00E759D0" w:rsidP="00931787">
      <w:pPr>
        <w:spacing w:after="0"/>
      </w:pPr>
      <w:r>
        <w:t xml:space="preserve">The Policy SPAD article suggested franchising </w:t>
      </w:r>
      <w:r w:rsidR="00747570">
        <w:t xml:space="preserve">of commuter rail </w:t>
      </w:r>
      <w:r>
        <w:t xml:space="preserve">to be among the initial motivations for the scheme involving the Entity.  </w:t>
      </w:r>
    </w:p>
    <w:p w14:paraId="2AF5FC08" w14:textId="77777777" w:rsidR="00747570" w:rsidRDefault="00747570" w:rsidP="00931787">
      <w:pPr>
        <w:spacing w:after="0"/>
      </w:pPr>
    </w:p>
    <w:p w14:paraId="629D86A5" w14:textId="638FE8BE" w:rsidR="00747570" w:rsidRDefault="00DC5305" w:rsidP="00931787">
      <w:pPr>
        <w:spacing w:after="0"/>
      </w:pPr>
      <w:r>
        <w:t>The article referred to</w:t>
      </w:r>
      <w:r w:rsidR="00E759D0">
        <w:t xml:space="preserve"> the origins of Transport for NSW as a ‘bus department’ and </w:t>
      </w:r>
      <w:r>
        <w:t xml:space="preserve">its </w:t>
      </w:r>
      <w:r w:rsidR="00E759D0">
        <w:t xml:space="preserve">apparent pride in the early 2000s </w:t>
      </w:r>
      <w:r w:rsidR="00747570">
        <w:t xml:space="preserve">in </w:t>
      </w:r>
      <w:r w:rsidR="00E759D0">
        <w:t xml:space="preserve">franchising bus areas by </w:t>
      </w:r>
      <w:r w:rsidR="00963C57">
        <w:t>taking ownership of</w:t>
      </w:r>
      <w:r w:rsidR="00E759D0">
        <w:t xml:space="preserve"> assets.  </w:t>
      </w:r>
      <w:r w:rsidR="00525D42">
        <w:t>To that might be added the franchising of Sydney’s ferry services, as recommended by a Special Commission of Inquiry.</w:t>
      </w:r>
    </w:p>
    <w:p w14:paraId="62CD3810" w14:textId="75ECA0B7" w:rsidR="00F22DCA" w:rsidRDefault="00F22DCA" w:rsidP="00931787">
      <w:pPr>
        <w:spacing w:after="0"/>
      </w:pPr>
    </w:p>
    <w:p w14:paraId="7BFEE837" w14:textId="099AFB4C" w:rsidR="009A300F" w:rsidRDefault="00F22DCA" w:rsidP="00931787">
      <w:pPr>
        <w:spacing w:after="0"/>
      </w:pPr>
      <w:r>
        <w:t xml:space="preserve">Treasury’s interest in </w:t>
      </w:r>
      <w:r w:rsidR="000949EF">
        <w:t xml:space="preserve">the Entity </w:t>
      </w:r>
      <w:r w:rsidR="009A300F">
        <w:t>–</w:t>
      </w:r>
      <w:r w:rsidR="000949EF">
        <w:t xml:space="preserve"> </w:t>
      </w:r>
      <w:r w:rsidR="009A300F">
        <w:t xml:space="preserve">and </w:t>
      </w:r>
      <w:r>
        <w:t xml:space="preserve">which Government agency owns the commuter rail assets </w:t>
      </w:r>
      <w:r w:rsidR="000949EF">
        <w:t xml:space="preserve">- </w:t>
      </w:r>
      <w:r>
        <w:t xml:space="preserve">may be related to </w:t>
      </w:r>
      <w:r w:rsidR="000949EF">
        <w:t xml:space="preserve">perceived opportunities to participate in future franchising processes.  Treasury took the running on the sale of FreightCorp, a State-owned corporation, in the early 2000s.  The </w:t>
      </w:r>
      <w:r w:rsidR="008546F6">
        <w:t xml:space="preserve">initial </w:t>
      </w:r>
      <w:r w:rsidR="000949EF">
        <w:t xml:space="preserve">Melbourne </w:t>
      </w:r>
      <w:r w:rsidR="008546F6">
        <w:t xml:space="preserve">commuter rail </w:t>
      </w:r>
      <w:r w:rsidR="000949EF">
        <w:t>franchising processes were run from within Victoria</w:t>
      </w:r>
      <w:r w:rsidR="00963C57">
        <w:t xml:space="preserve">’s </w:t>
      </w:r>
      <w:r w:rsidR="000949EF">
        <w:t>Treasury.</w:t>
      </w:r>
      <w:r w:rsidR="009A300F" w:rsidRPr="009A300F">
        <w:rPr>
          <w:rStyle w:val="FootnoteReference"/>
        </w:rPr>
        <w:t xml:space="preserve"> </w:t>
      </w:r>
      <w:r w:rsidR="009A300F">
        <w:rPr>
          <w:rStyle w:val="FootnoteReference"/>
        </w:rPr>
        <w:footnoteReference w:id="182"/>
      </w:r>
      <w:r w:rsidR="009A300F">
        <w:t xml:space="preserve">  </w:t>
      </w:r>
    </w:p>
    <w:p w14:paraId="3F097833" w14:textId="77777777" w:rsidR="009A300F" w:rsidRDefault="009A300F" w:rsidP="00931787">
      <w:pPr>
        <w:spacing w:after="0"/>
      </w:pPr>
    </w:p>
    <w:p w14:paraId="0CAB87AD" w14:textId="5A40EFF0" w:rsidR="000949EF" w:rsidRDefault="009A300F" w:rsidP="00931787">
      <w:pPr>
        <w:spacing w:after="0"/>
      </w:pPr>
      <w:r>
        <w:t>Treasury has not shown s</w:t>
      </w:r>
      <w:r w:rsidR="00963C57">
        <w:t>imilar</w:t>
      </w:r>
      <w:r>
        <w:t xml:space="preserve"> interest the Sydney Metro assets</w:t>
      </w:r>
      <w:r w:rsidR="00963C57">
        <w:t xml:space="preserve">, even though those assets present larger microeconomic and fiscal issues.  Among the key differences between the commuter railway and </w:t>
      </w:r>
      <w:r>
        <w:t xml:space="preserve">Sydney Metro </w:t>
      </w:r>
      <w:r w:rsidR="00963C57">
        <w:t>is the latter</w:t>
      </w:r>
      <w:r>
        <w:t xml:space="preserve"> effectively </w:t>
      </w:r>
      <w:r w:rsidR="004619C1">
        <w:t xml:space="preserve">has </w:t>
      </w:r>
      <w:r>
        <w:t>been franchised already.</w:t>
      </w:r>
    </w:p>
    <w:p w14:paraId="41D76974" w14:textId="77777777" w:rsidR="00747570" w:rsidRDefault="00747570" w:rsidP="00931787">
      <w:pPr>
        <w:spacing w:after="0"/>
      </w:pPr>
    </w:p>
    <w:p w14:paraId="37C68DA6" w14:textId="493D83BE" w:rsidR="00E759D0" w:rsidRDefault="00747570" w:rsidP="00931787">
      <w:pPr>
        <w:spacing w:after="0"/>
      </w:pPr>
      <w:r>
        <w:t xml:space="preserve">The </w:t>
      </w:r>
      <w:r w:rsidR="009A300F">
        <w:t xml:space="preserve">Policy SPAD </w:t>
      </w:r>
      <w:r>
        <w:t>article</w:t>
      </w:r>
      <w:r w:rsidR="00E759D0">
        <w:t xml:space="preserve"> </w:t>
      </w:r>
      <w:r w:rsidR="00DC5305">
        <w:t>referred to</w:t>
      </w:r>
      <w:r w:rsidR="00E759D0">
        <w:t xml:space="preserve"> urgings for franchising Sydney Trains </w:t>
      </w:r>
      <w:r w:rsidR="00DC5305">
        <w:t xml:space="preserve">- </w:t>
      </w:r>
      <w:r w:rsidR="00E759D0">
        <w:t>with estimates of savings o</w:t>
      </w:r>
      <w:r w:rsidR="00DC5305">
        <w:t xml:space="preserve">f $7.2bn in present value terms – </w:t>
      </w:r>
      <w:r w:rsidR="009A300F">
        <w:t xml:space="preserve">made </w:t>
      </w:r>
      <w:r w:rsidR="00DC5305">
        <w:t>at around the same time Parliament was considering legislation for the Entity.</w:t>
      </w:r>
      <w:r w:rsidR="00DC5305">
        <w:rPr>
          <w:rStyle w:val="FootnoteReference"/>
        </w:rPr>
        <w:footnoteReference w:id="183"/>
      </w:r>
    </w:p>
    <w:p w14:paraId="2A6F8564" w14:textId="135D121E" w:rsidR="00DC5305" w:rsidRDefault="00DC5305" w:rsidP="00931787">
      <w:pPr>
        <w:spacing w:after="0"/>
      </w:pPr>
    </w:p>
    <w:p w14:paraId="2FC40C6D" w14:textId="52913D6A" w:rsidR="00747570" w:rsidRDefault="00377FE8" w:rsidP="00931787">
      <w:pPr>
        <w:spacing w:after="0"/>
      </w:pPr>
      <w:r>
        <w:t>The article also</w:t>
      </w:r>
      <w:r w:rsidR="00DC5305">
        <w:t xml:space="preserve"> noted the urgings ignored important factors and experience and were severely criticised by the </w:t>
      </w:r>
      <w:r w:rsidR="009A300F">
        <w:t xml:space="preserve">relevant </w:t>
      </w:r>
      <w:r w:rsidR="00DC5305">
        <w:t xml:space="preserve">Australian experts.  This article makes similar criticisms of the Productivity Commission’s </w:t>
      </w:r>
      <w:r w:rsidR="009A300F">
        <w:t xml:space="preserve">similar </w:t>
      </w:r>
      <w:r w:rsidR="00DC5305">
        <w:t>earlier urgings</w:t>
      </w:r>
      <w:r w:rsidR="00747570">
        <w:t xml:space="preserve">.  </w:t>
      </w:r>
    </w:p>
    <w:p w14:paraId="7BF993AA" w14:textId="7A30C500" w:rsidR="00747570" w:rsidRDefault="00747570" w:rsidP="00931787">
      <w:pPr>
        <w:spacing w:after="0"/>
      </w:pPr>
    </w:p>
    <w:p w14:paraId="3E7C8383" w14:textId="5F0FF7CD" w:rsidR="00747570" w:rsidRDefault="00747570" w:rsidP="00931787">
      <w:pPr>
        <w:spacing w:after="0"/>
      </w:pPr>
      <w:r>
        <w:t xml:space="preserve">The NSW scheme of </w:t>
      </w:r>
      <w:r w:rsidR="00377FE8">
        <w:t xml:space="preserve">removing </w:t>
      </w:r>
      <w:r>
        <w:t xml:space="preserve">ownership of commuter rail assets </w:t>
      </w:r>
      <w:r w:rsidR="00377FE8">
        <w:t xml:space="preserve">from the maintainer, </w:t>
      </w:r>
      <w:r>
        <w:t>the rail operator and the Department of Transport – to another statutory organisation - appears to have some similarities with Melbourne.  Some may consider the Entity to be modelled on Vic</w:t>
      </w:r>
      <w:r w:rsidR="001B6B2C">
        <w:t>T</w:t>
      </w:r>
      <w:r>
        <w:t>rack.</w:t>
      </w:r>
    </w:p>
    <w:p w14:paraId="0019297C" w14:textId="77777777" w:rsidR="00747570" w:rsidRDefault="00747570" w:rsidP="00931787">
      <w:pPr>
        <w:spacing w:after="0"/>
      </w:pPr>
    </w:p>
    <w:p w14:paraId="3F12966C" w14:textId="77777777" w:rsidR="00377FE8" w:rsidRDefault="00747570" w:rsidP="00931787">
      <w:pPr>
        <w:spacing w:after="0"/>
      </w:pPr>
      <w:r>
        <w:t xml:space="preserve">However, fundamental differences </w:t>
      </w:r>
      <w:r w:rsidR="00377FE8">
        <w:t xml:space="preserve">have been </w:t>
      </w:r>
      <w:r>
        <w:t xml:space="preserve">identified in this article.  </w:t>
      </w:r>
      <w:r w:rsidR="001B6B2C">
        <w:t xml:space="preserve">Among these is the history that led to VicTrack.  </w:t>
      </w:r>
      <w:r w:rsidR="009A300F">
        <w:t xml:space="preserve"> </w:t>
      </w:r>
      <w:r w:rsidR="001B6B2C">
        <w:t>Another significant difference is the statutory scheme in Victoria sees VicTrack lease all assets to the transport department.  There is no relevant ‘access agreement’</w:t>
      </w:r>
      <w:r w:rsidR="00377FE8">
        <w:t>, no access charge and no supposed ‘negotiation’</w:t>
      </w:r>
      <w:r w:rsidR="001B6B2C">
        <w:t xml:space="preserve">.  </w:t>
      </w:r>
    </w:p>
    <w:p w14:paraId="69F79037" w14:textId="77777777" w:rsidR="00377FE8" w:rsidRDefault="00377FE8" w:rsidP="00931787">
      <w:pPr>
        <w:spacing w:after="0"/>
      </w:pPr>
    </w:p>
    <w:p w14:paraId="60572E3A" w14:textId="2D9450E3" w:rsidR="001B6B2C" w:rsidRDefault="00377FE8" w:rsidP="00931787">
      <w:pPr>
        <w:spacing w:after="0"/>
      </w:pPr>
      <w:r>
        <w:t>In turn, Victoria’s</w:t>
      </w:r>
      <w:r w:rsidR="001B6B2C">
        <w:t xml:space="preserve"> transport department provides these assets to the franchisee at nominal fees</w:t>
      </w:r>
      <w:r>
        <w:t>.  That is the only</w:t>
      </w:r>
      <w:r w:rsidR="001B6B2C">
        <w:t xml:space="preserve"> sensible</w:t>
      </w:r>
      <w:r>
        <w:t xml:space="preserve"> approach</w:t>
      </w:r>
      <w:r w:rsidR="001B6B2C">
        <w:t xml:space="preserve">, given the department pays the franchisee </w:t>
      </w:r>
      <w:r>
        <w:t xml:space="preserve">large sums </w:t>
      </w:r>
      <w:r w:rsidR="001B6B2C">
        <w:t>to run trains etc.</w:t>
      </w:r>
    </w:p>
    <w:p w14:paraId="7F1C5E81" w14:textId="7E62821B" w:rsidR="00F22DCA" w:rsidRDefault="00F22DCA" w:rsidP="00931787">
      <w:pPr>
        <w:spacing w:after="0"/>
      </w:pPr>
    </w:p>
    <w:p w14:paraId="2170561E" w14:textId="77777777" w:rsidR="00525D42" w:rsidRDefault="00F22DCA" w:rsidP="00931787">
      <w:pPr>
        <w:spacing w:after="0"/>
      </w:pPr>
      <w:r>
        <w:t>The</w:t>
      </w:r>
      <w:r w:rsidR="009A300F">
        <w:t xml:space="preserve"> Melbourne</w:t>
      </w:r>
      <w:r>
        <w:t xml:space="preserve"> arrangements reflect </w:t>
      </w:r>
      <w:r w:rsidR="009A300F">
        <w:t>hard learned</w:t>
      </w:r>
      <w:r>
        <w:t xml:space="preserve"> experience – and </w:t>
      </w:r>
      <w:r w:rsidR="009A300F">
        <w:t xml:space="preserve">the </w:t>
      </w:r>
      <w:r>
        <w:t xml:space="preserve">theory – that a commuter railway works best when vertically integrated.  Attempts in Melbourne to vertically and horizontally separate the commuter railway conspicuously </w:t>
      </w:r>
      <w:r w:rsidR="00377FE8">
        <w:t xml:space="preserve">and quickly </w:t>
      </w:r>
      <w:r>
        <w:t>failed.</w:t>
      </w:r>
      <w:r w:rsidR="00264F6E">
        <w:t xml:space="preserve">  </w:t>
      </w:r>
    </w:p>
    <w:p w14:paraId="5BC21EA7" w14:textId="77777777" w:rsidR="00525D42" w:rsidRDefault="00525D42" w:rsidP="00931787">
      <w:pPr>
        <w:spacing w:after="0"/>
      </w:pPr>
    </w:p>
    <w:p w14:paraId="45AD1353" w14:textId="6DA48653" w:rsidR="00F22DCA" w:rsidRDefault="00264F6E" w:rsidP="00931787">
      <w:pPr>
        <w:spacing w:after="0"/>
      </w:pPr>
      <w:r>
        <w:lastRenderedPageBreak/>
        <w:t xml:space="preserve">Afterwards there remained concerns about maintenance of infrastructure assets and the </w:t>
      </w:r>
      <w:r w:rsidR="00377FE8">
        <w:t xml:space="preserve">lack of </w:t>
      </w:r>
      <w:r>
        <w:t xml:space="preserve">government </w:t>
      </w:r>
      <w:r w:rsidR="00377FE8">
        <w:t>control over</w:t>
      </w:r>
      <w:r>
        <w:t xml:space="preserve"> </w:t>
      </w:r>
      <w:r w:rsidR="00377FE8">
        <w:t xml:space="preserve">infrastructure </w:t>
      </w:r>
      <w:r>
        <w:t>maintenance and renewals.</w:t>
      </w:r>
      <w:r>
        <w:rPr>
          <w:rStyle w:val="FootnoteReference"/>
        </w:rPr>
        <w:footnoteReference w:id="184"/>
      </w:r>
      <w:r w:rsidR="00F22DCA">
        <w:t xml:space="preserve">  </w:t>
      </w:r>
    </w:p>
    <w:p w14:paraId="5D8DAD29" w14:textId="77777777" w:rsidR="00F22DCA" w:rsidRDefault="00F22DCA" w:rsidP="00931787">
      <w:pPr>
        <w:spacing w:after="0"/>
      </w:pPr>
    </w:p>
    <w:p w14:paraId="5E2D4D5D" w14:textId="59A2D657" w:rsidR="004B6B19" w:rsidRDefault="004B6B19" w:rsidP="00931787">
      <w:pPr>
        <w:spacing w:after="0"/>
      </w:pPr>
      <w:r>
        <w:t xml:space="preserve">That suggests prior to considering franchising, Sydney’s commuter railway needs to be vertically integrated </w:t>
      </w:r>
      <w:r w:rsidR="00377FE8">
        <w:t xml:space="preserve">as a statutory authority.  </w:t>
      </w:r>
      <w:r w:rsidR="002F5550">
        <w:t>Even more importantly</w:t>
      </w:r>
      <w:r>
        <w:t>, the</w:t>
      </w:r>
      <w:r w:rsidR="002F5550">
        <w:t xml:space="preserve">re must be singular control of all aspects of infrastructure assets, with the controlling organisation </w:t>
      </w:r>
      <w:r w:rsidR="002F5550" w:rsidRPr="002F5550">
        <w:rPr>
          <w:u w:val="single"/>
        </w:rPr>
        <w:t>fully</w:t>
      </w:r>
      <w:r w:rsidR="002F5550">
        <w:t xml:space="preserve"> </w:t>
      </w:r>
      <w:r>
        <w:t>responsible for maintenance – as per the Glenbrook recommendation.</w:t>
      </w:r>
    </w:p>
    <w:p w14:paraId="46B2882E" w14:textId="77777777" w:rsidR="004B6B19" w:rsidRDefault="004B6B19" w:rsidP="00931787">
      <w:pPr>
        <w:spacing w:after="0"/>
      </w:pPr>
    </w:p>
    <w:p w14:paraId="75894E3C" w14:textId="2CC06F7C" w:rsidR="004B6B19" w:rsidRDefault="002F5550" w:rsidP="00931787">
      <w:pPr>
        <w:spacing w:after="0"/>
      </w:pPr>
      <w:r>
        <w:t>E</w:t>
      </w:r>
      <w:r w:rsidR="004B6B19">
        <w:t xml:space="preserve">arlier sections of this article point to dreadful mistakes and confusion in </w:t>
      </w:r>
      <w:r w:rsidR="00525D42">
        <w:t xml:space="preserve">NSW </w:t>
      </w:r>
      <w:r w:rsidR="004B6B19">
        <w:t xml:space="preserve">(commuter) rail policy since 2011.  </w:t>
      </w:r>
      <w:r w:rsidR="00EF260B">
        <w:t xml:space="preserve">Judging from </w:t>
      </w:r>
      <w:r w:rsidR="004B6B19">
        <w:t>much in the public domain, the advice to and from the Government about Sydney</w:t>
      </w:r>
      <w:r w:rsidR="00EF260B">
        <w:t>’s</w:t>
      </w:r>
      <w:r w:rsidR="004B6B19">
        <w:t xml:space="preserve"> railways </w:t>
      </w:r>
      <w:r>
        <w:t>canno</w:t>
      </w:r>
      <w:r w:rsidR="004B6B19">
        <w:t>t be trusted.</w:t>
      </w:r>
    </w:p>
    <w:p w14:paraId="0DF1A375" w14:textId="77777777" w:rsidR="004B6B19" w:rsidRDefault="004B6B19" w:rsidP="00931787">
      <w:pPr>
        <w:spacing w:after="0"/>
      </w:pPr>
    </w:p>
    <w:p w14:paraId="01797A7B" w14:textId="7AB98E08" w:rsidR="00EF260B" w:rsidRDefault="004B6B19" w:rsidP="00931787">
      <w:pPr>
        <w:spacing w:after="0"/>
      </w:pPr>
      <w:r>
        <w:t xml:space="preserve">It would be foolhardy to contemplate franchising in such an environment, not merely because of the likelihood of the Government offering </w:t>
      </w:r>
      <w:r w:rsidR="00EF260B">
        <w:t xml:space="preserve">a bad structure to the market, creating high risk of failure and damage to the public.  </w:t>
      </w:r>
      <w:r w:rsidR="00954ADE">
        <w:t>Another reason</w:t>
      </w:r>
      <w:r w:rsidR="002F5550">
        <w:t>:</w:t>
      </w:r>
      <w:r w:rsidR="00EF260B">
        <w:t xml:space="preserve"> serious potential </w:t>
      </w:r>
      <w:r w:rsidR="00954ADE">
        <w:t xml:space="preserve">top-class </w:t>
      </w:r>
      <w:r w:rsidR="00EF260B">
        <w:t>private participants would steer clear of any offering</w:t>
      </w:r>
      <w:r w:rsidR="002F5550">
        <w:t xml:space="preserve"> from any Government associated with such bad advice and decisions</w:t>
      </w:r>
      <w:r w:rsidR="00EF260B">
        <w:t>.</w:t>
      </w:r>
    </w:p>
    <w:p w14:paraId="709C492E" w14:textId="77777777" w:rsidR="00EF260B" w:rsidRDefault="00EF260B" w:rsidP="00931787">
      <w:pPr>
        <w:spacing w:after="0"/>
      </w:pPr>
    </w:p>
    <w:p w14:paraId="242640C5" w14:textId="529AEA48" w:rsidR="00F22DCA" w:rsidRDefault="00EF260B" w:rsidP="00931787">
      <w:pPr>
        <w:spacing w:after="0"/>
      </w:pPr>
      <w:r>
        <w:t xml:space="preserve">The idea of franchising should be put on hold until there can be public confidence in rail </w:t>
      </w:r>
      <w:r w:rsidR="002F5550">
        <w:t xml:space="preserve">advice and </w:t>
      </w:r>
      <w:r>
        <w:t>policy.  Even with substantial efforts and major changes, that will take a considerable time.</w:t>
      </w:r>
      <w:r w:rsidR="00F22DCA">
        <w:t xml:space="preserve"> </w:t>
      </w:r>
    </w:p>
    <w:p w14:paraId="43C14894" w14:textId="4559E32F" w:rsidR="00954ADE" w:rsidRDefault="00954ADE">
      <w:r>
        <w:br w:type="page"/>
      </w:r>
    </w:p>
    <w:p w14:paraId="34368120" w14:textId="2BE2E7C5" w:rsidR="00AF75C7" w:rsidRDefault="00525D42" w:rsidP="00931787">
      <w:pPr>
        <w:pStyle w:val="Heading2"/>
      </w:pPr>
      <w:bookmarkStart w:id="32" w:name="_Toc93085778"/>
      <w:r>
        <w:lastRenderedPageBreak/>
        <w:t>8</w:t>
      </w:r>
      <w:r w:rsidR="00AF75C7">
        <w:t>.</w:t>
      </w:r>
      <w:r>
        <w:tab/>
      </w:r>
      <w:r w:rsidR="00AF75C7">
        <w:t>Conclusion</w:t>
      </w:r>
      <w:bookmarkEnd w:id="32"/>
    </w:p>
    <w:p w14:paraId="18D730C7" w14:textId="15C34FAA" w:rsidR="00E17C91" w:rsidRDefault="00525D42" w:rsidP="00931787">
      <w:pPr>
        <w:pStyle w:val="Heading3"/>
      </w:pPr>
      <w:bookmarkStart w:id="33" w:name="_Toc93085779"/>
      <w:r>
        <w:t>8</w:t>
      </w:r>
      <w:r w:rsidR="00E17C91">
        <w:t>.1</w:t>
      </w:r>
      <w:r w:rsidR="00E17C91">
        <w:tab/>
        <w:t>This series</w:t>
      </w:r>
      <w:bookmarkEnd w:id="33"/>
    </w:p>
    <w:p w14:paraId="6BDA046C" w14:textId="70DB6396" w:rsidR="00E17C91" w:rsidRDefault="00E17C91" w:rsidP="00931787">
      <w:pPr>
        <w:spacing w:after="0"/>
      </w:pPr>
      <w:r>
        <w:t xml:space="preserve">This series has not been concerned with the accounting furore surrounding the Transport Asset Holding Entity.  </w:t>
      </w:r>
      <w:r w:rsidR="00A20327">
        <w:t xml:space="preserve">Some hold the view that accounting can </w:t>
      </w:r>
      <w:r w:rsidR="001A4912">
        <w:t xml:space="preserve">- even should - </w:t>
      </w:r>
      <w:r w:rsidR="00A20327">
        <w:t>be divorced from the real world</w:t>
      </w:r>
      <w:r w:rsidR="006C244B">
        <w:t>.  T</w:t>
      </w:r>
      <w:r w:rsidR="00DC143C">
        <w:t xml:space="preserve">hey can </w:t>
      </w:r>
      <w:r w:rsidR="002F5550">
        <w:t>try</w:t>
      </w:r>
      <w:r w:rsidR="00DC143C">
        <w:t xml:space="preserve"> to explain that.</w:t>
      </w:r>
      <w:r w:rsidR="001A4912">
        <w:t xml:space="preserve">  In any event, the</w:t>
      </w:r>
      <w:r w:rsidR="001A4912">
        <w:t xml:space="preserve"> interest</w:t>
      </w:r>
      <w:r w:rsidR="001A4912">
        <w:t xml:space="preserve"> here is</w:t>
      </w:r>
      <w:r w:rsidR="001A4912">
        <w:t xml:space="preserve"> in potential real-world effects of the scheme</w:t>
      </w:r>
      <w:r w:rsidR="001A4912">
        <w:t xml:space="preserve"> involving the Entity</w:t>
      </w:r>
      <w:r w:rsidR="001A4912">
        <w:t xml:space="preserve">.  </w:t>
      </w:r>
    </w:p>
    <w:p w14:paraId="0E80005D" w14:textId="77777777" w:rsidR="00954ADE" w:rsidRDefault="00954ADE" w:rsidP="00931787">
      <w:pPr>
        <w:spacing w:after="0"/>
      </w:pPr>
    </w:p>
    <w:p w14:paraId="24A76FA0" w14:textId="78C89B62" w:rsidR="00445D22" w:rsidRDefault="00E17C91" w:rsidP="00931787">
      <w:pPr>
        <w:spacing w:after="0"/>
      </w:pPr>
      <w:r>
        <w:t>Th</w:t>
      </w:r>
      <w:r w:rsidR="00445D22">
        <w:t xml:space="preserve">e Government’s support for the scheme </w:t>
      </w:r>
      <w:r w:rsidR="001A4912">
        <w:t>appears</w:t>
      </w:r>
      <w:r w:rsidR="00445D22">
        <w:t xml:space="preserve"> based on two mutually exclusive propositions: </w:t>
      </w:r>
      <w:r w:rsidR="00DC143C">
        <w:t xml:space="preserve">for audit bodies - </w:t>
      </w:r>
      <w:r w:rsidR="00445D22">
        <w:t xml:space="preserve">that the Entity exerts significant control over rail assets; </w:t>
      </w:r>
      <w:r w:rsidR="00DC143C">
        <w:t xml:space="preserve">for the public and rail regulatory bodies - </w:t>
      </w:r>
      <w:r w:rsidR="00445D22">
        <w:t>that the Entity exercises no control over rail assets.</w:t>
      </w:r>
    </w:p>
    <w:p w14:paraId="4D531208" w14:textId="77777777" w:rsidR="00954ADE" w:rsidRDefault="00954ADE" w:rsidP="00931787">
      <w:pPr>
        <w:spacing w:after="0"/>
      </w:pPr>
    </w:p>
    <w:p w14:paraId="618D42C8" w14:textId="5F9AB65E" w:rsidR="00445D22" w:rsidRDefault="00445D22" w:rsidP="00931787">
      <w:pPr>
        <w:spacing w:after="0"/>
      </w:pPr>
      <w:r>
        <w:t xml:space="preserve">There are different opinions on the real-world effects of either proposition.  </w:t>
      </w:r>
    </w:p>
    <w:p w14:paraId="00FBA79E" w14:textId="77777777" w:rsidR="00954ADE" w:rsidRDefault="00954ADE" w:rsidP="00931787">
      <w:pPr>
        <w:spacing w:after="0"/>
      </w:pPr>
    </w:p>
    <w:p w14:paraId="414386FE" w14:textId="17FACB56" w:rsidR="00445D22" w:rsidRDefault="00445D22" w:rsidP="00931787">
      <w:pPr>
        <w:spacing w:after="0"/>
      </w:pPr>
      <w:r>
        <w:t xml:space="preserve">Some would hold that were </w:t>
      </w:r>
      <w:r w:rsidR="006C244B">
        <w:t>a State-owned corporation</w:t>
      </w:r>
      <w:r>
        <w:t xml:space="preserve"> to control rail assets – and therefore </w:t>
      </w:r>
      <w:r w:rsidR="001A4912">
        <w:t xml:space="preserve">influence </w:t>
      </w:r>
      <w:r>
        <w:t xml:space="preserve">rail operations – </w:t>
      </w:r>
      <w:r w:rsidR="006C244B">
        <w:t xml:space="preserve">under strictly commercial arrangements, </w:t>
      </w:r>
      <w:r>
        <w:t>the NSW rail sector would be more efficient, less costly and have a better ‘culture’.  Th</w:t>
      </w:r>
      <w:r w:rsidR="00DC143C">
        <w:t>ey would say th</w:t>
      </w:r>
      <w:r>
        <w:t xml:space="preserve">is is because behaviour of organisations and individuals would </w:t>
      </w:r>
      <w:r w:rsidR="001A4912">
        <w:t xml:space="preserve">then </w:t>
      </w:r>
      <w:r>
        <w:t>be subject to ‘commercial discipline</w:t>
      </w:r>
      <w:r w:rsidR="002C2E92">
        <w:t>s’.</w:t>
      </w:r>
    </w:p>
    <w:p w14:paraId="0CD64A83" w14:textId="77777777" w:rsidR="00954ADE" w:rsidRDefault="00954ADE" w:rsidP="00931787">
      <w:pPr>
        <w:spacing w:after="0"/>
      </w:pPr>
    </w:p>
    <w:p w14:paraId="4094FDCB" w14:textId="77777777" w:rsidR="00FB6C06" w:rsidRDefault="002B5D1E" w:rsidP="00931787">
      <w:pPr>
        <w:spacing w:after="0"/>
      </w:pPr>
      <w:r>
        <w:t>As against this, there is a question</w:t>
      </w:r>
      <w:r w:rsidR="00445D22">
        <w:t xml:space="preserve"> </w:t>
      </w:r>
      <w:r w:rsidR="00F5134D">
        <w:t xml:space="preserve">whether </w:t>
      </w:r>
      <w:r w:rsidR="00445D22">
        <w:t xml:space="preserve">such disciplines can </w:t>
      </w:r>
      <w:r w:rsidR="00487C19">
        <w:t>ever</w:t>
      </w:r>
      <w:r w:rsidR="00445D22">
        <w:t xml:space="preserve"> be real when the basis of commercial processes – contracts – cannot be enforced.  </w:t>
      </w:r>
      <w:r>
        <w:t>There also are doubts about the capability of the Entity to participate in the rail industry</w:t>
      </w:r>
      <w:r w:rsidR="001A4912">
        <w:t xml:space="preserve">.  </w:t>
      </w:r>
    </w:p>
    <w:p w14:paraId="5EA8ED78" w14:textId="77777777" w:rsidR="00FB6C06" w:rsidRDefault="00FB6C06" w:rsidP="00931787">
      <w:pPr>
        <w:spacing w:after="0"/>
      </w:pPr>
    </w:p>
    <w:p w14:paraId="68952567" w14:textId="70388370" w:rsidR="00B747AE" w:rsidRDefault="001A4912" w:rsidP="00931787">
      <w:pPr>
        <w:spacing w:after="0"/>
      </w:pPr>
      <w:r>
        <w:t>Further</w:t>
      </w:r>
      <w:r w:rsidR="006C244B">
        <w:t>, practical budgetary matters lead to</w:t>
      </w:r>
      <w:r w:rsidR="00DC143C">
        <w:t xml:space="preserve"> a basic </w:t>
      </w:r>
      <w:r w:rsidR="002B5D1E">
        <w:t xml:space="preserve">inconsistency between </w:t>
      </w:r>
      <w:r w:rsidR="00F5134D">
        <w:t xml:space="preserve">corporate </w:t>
      </w:r>
      <w:r w:rsidR="00DC143C">
        <w:t>financial</w:t>
      </w:r>
      <w:r w:rsidR="002B5D1E">
        <w:t xml:space="preserve"> objectives and the operation of the public service like the railways.</w:t>
      </w:r>
      <w:r>
        <w:t xml:space="preserve">  </w:t>
      </w:r>
      <w:r w:rsidR="00FB6C06">
        <w:t>In this it is worth recalling the original objectives of the corporatisation</w:t>
      </w:r>
      <w:r w:rsidR="00523D09">
        <w:t>/</w:t>
      </w:r>
      <w:r w:rsidR="00FB6C06">
        <w:t>commercialisation agenda</w:t>
      </w:r>
      <w:r w:rsidR="00523D09">
        <w:t>.  One was</w:t>
      </w:r>
      <w:r w:rsidR="00A73C08">
        <w:t xml:space="preserve"> </w:t>
      </w:r>
      <w:r w:rsidR="00FB6C06">
        <w:t xml:space="preserve">improvement of democratic processes by making transparent </w:t>
      </w:r>
      <w:r w:rsidR="00A73C08">
        <w:t xml:space="preserve">the </w:t>
      </w:r>
      <w:r w:rsidR="00FB6C06">
        <w:t xml:space="preserve">Government decisions </w:t>
      </w:r>
      <w:r w:rsidR="00A73C08">
        <w:t>that</w:t>
      </w:r>
      <w:r w:rsidR="00FB6C06">
        <w:t xml:space="preserve"> influence business-type activities.  </w:t>
      </w:r>
      <w:r w:rsidR="00523D09">
        <w:t>Another, also relied on transparency – improvement of p</w:t>
      </w:r>
      <w:r w:rsidR="00FB6C06">
        <w:t xml:space="preserve">erformance of </w:t>
      </w:r>
      <w:r w:rsidR="00523D09">
        <w:t>(</w:t>
      </w:r>
      <w:r w:rsidR="00FB6C06">
        <w:t xml:space="preserve">organisations </w:t>
      </w:r>
      <w:r w:rsidR="00523D09">
        <w:t>involved in)</w:t>
      </w:r>
      <w:r w:rsidR="00FB6C06">
        <w:t xml:space="preserve"> those activities </w:t>
      </w:r>
      <w:r w:rsidR="00E53AD7">
        <w:t>with a social purpose</w:t>
      </w:r>
      <w:r w:rsidR="00604FF7">
        <w:t>,</w:t>
      </w:r>
      <w:r w:rsidR="00E53AD7">
        <w:t xml:space="preserve"> by</w:t>
      </w:r>
      <w:r w:rsidR="00FB6C06">
        <w:t xml:space="preserve"> </w:t>
      </w:r>
      <w:r w:rsidR="00A73C08">
        <w:t xml:space="preserve">the </w:t>
      </w:r>
      <w:r w:rsidR="00FB6C06">
        <w:t>public reporting of relevant indicators</w:t>
      </w:r>
      <w:r w:rsidR="00B747AE">
        <w:t>, especially ‘non-financial’ ones</w:t>
      </w:r>
      <w:r w:rsidR="00604FF7">
        <w:t>, to facilitate ‘yardstick’ competition’.</w:t>
      </w:r>
      <w:r w:rsidR="00FB6C06">
        <w:t xml:space="preserve">  </w:t>
      </w:r>
    </w:p>
    <w:p w14:paraId="7C2B214F" w14:textId="77777777" w:rsidR="00B747AE" w:rsidRDefault="00B747AE" w:rsidP="00931787">
      <w:pPr>
        <w:spacing w:after="0"/>
      </w:pPr>
    </w:p>
    <w:p w14:paraId="35FDA603" w14:textId="04ACEA2A" w:rsidR="002B5D1E" w:rsidRDefault="00A73C08" w:rsidP="00931787">
      <w:pPr>
        <w:spacing w:after="0"/>
      </w:pPr>
      <w:r>
        <w:t xml:space="preserve">The idea that public sector </w:t>
      </w:r>
      <w:r w:rsidR="00C255E8">
        <w:t>internal</w:t>
      </w:r>
      <w:r>
        <w:t xml:space="preserve"> performance might be improved by profit seeking behaviour </w:t>
      </w:r>
      <w:r w:rsidR="00604FF7">
        <w:t xml:space="preserve">rather than transparency </w:t>
      </w:r>
      <w:r>
        <w:t xml:space="preserve">was a later embellishment unrelated to </w:t>
      </w:r>
      <w:r w:rsidR="00B747AE">
        <w:t xml:space="preserve">corporatisation’s </w:t>
      </w:r>
      <w:r>
        <w:t xml:space="preserve">original goals.  </w:t>
      </w:r>
      <w:r w:rsidR="00B747AE">
        <w:t>F</w:t>
      </w:r>
      <w:r>
        <w:t xml:space="preserve">urther embellishments - attempts to capture performance of organisations </w:t>
      </w:r>
      <w:r w:rsidR="00B747AE">
        <w:t xml:space="preserve">solely </w:t>
      </w:r>
      <w:r>
        <w:t>by indicators drawn from accounting rules for private listed corporations</w:t>
      </w:r>
      <w:r w:rsidR="00E53AD7">
        <w:t xml:space="preserve">, private sector style confidentiality about </w:t>
      </w:r>
      <w:r w:rsidR="00D34CB9">
        <w:t>e.g.,</w:t>
      </w:r>
      <w:r w:rsidR="00E53AD7">
        <w:t xml:space="preserve"> internal workings and executive employment</w:t>
      </w:r>
      <w:r w:rsidR="00004B5D">
        <w:t xml:space="preserve">, Government community service funding </w:t>
      </w:r>
      <w:r w:rsidR="005D1220">
        <w:t xml:space="preserve">at less than the arithmetic implied by the target rate of return (on optimised asset replacement cost) </w:t>
      </w:r>
      <w:r w:rsidR="00004B5D">
        <w:t>to stimulate ‘efficiency’</w:t>
      </w:r>
      <w:r>
        <w:t xml:space="preserve"> – derogated from the </w:t>
      </w:r>
      <w:r w:rsidR="005D1220">
        <w:t xml:space="preserve">initial </w:t>
      </w:r>
      <w:r>
        <w:t>aims of the agenda.</w:t>
      </w:r>
      <w:r>
        <w:rPr>
          <w:rStyle w:val="FootnoteReference"/>
        </w:rPr>
        <w:footnoteReference w:id="185"/>
      </w:r>
      <w:r w:rsidR="00FB6C06">
        <w:t xml:space="preserve"> </w:t>
      </w:r>
    </w:p>
    <w:p w14:paraId="3F3D70A5" w14:textId="39543DC7" w:rsidR="00954ADE" w:rsidRDefault="00954ADE" w:rsidP="00931787">
      <w:pPr>
        <w:spacing w:after="0"/>
      </w:pPr>
    </w:p>
    <w:p w14:paraId="6FD2C133" w14:textId="77777777" w:rsidR="006C244B" w:rsidRDefault="006C244B" w:rsidP="00931787">
      <w:pPr>
        <w:spacing w:after="0"/>
      </w:pPr>
    </w:p>
    <w:p w14:paraId="5205767E" w14:textId="575E5A2C" w:rsidR="002B5D1E" w:rsidRDefault="00B747AE" w:rsidP="00931787">
      <w:pPr>
        <w:spacing w:after="0"/>
      </w:pPr>
      <w:r>
        <w:lastRenderedPageBreak/>
        <w:t>Hence, o</w:t>
      </w:r>
      <w:r w:rsidR="002B5D1E">
        <w:t xml:space="preserve">thers </w:t>
      </w:r>
      <w:r>
        <w:t xml:space="preserve">with less faith in how corporatisation has evolved in practice, </w:t>
      </w:r>
      <w:r w:rsidR="00011B08">
        <w:t xml:space="preserve">or </w:t>
      </w:r>
      <w:r>
        <w:t xml:space="preserve">drawing (for example) on several </w:t>
      </w:r>
      <w:r w:rsidR="00011B08">
        <w:t xml:space="preserve">NSW </w:t>
      </w:r>
      <w:r>
        <w:t xml:space="preserve">Special Commissions of Inquiry, </w:t>
      </w:r>
      <w:r w:rsidR="002B5D1E">
        <w:t>might hold the Entity should have no railway function</w:t>
      </w:r>
      <w:r w:rsidR="005738E5">
        <w:t>.  They may think it best if the Entity did</w:t>
      </w:r>
      <w:r w:rsidR="00011B08">
        <w:t xml:space="preserve"> not exercise control over assets</w:t>
      </w:r>
      <w:r w:rsidR="005738E5">
        <w:t xml:space="preserve"> needed for commuter rail operation – rather, if it is to continue, </w:t>
      </w:r>
      <w:r w:rsidR="002C2E92">
        <w:t>it should be</w:t>
      </w:r>
      <w:r w:rsidR="005738E5">
        <w:t xml:space="preserve"> like VicTrack</w:t>
      </w:r>
      <w:r w:rsidR="002C2E92">
        <w:t>, with Sydney Trains taking a multi-year lease over relevant assets for a nominal fee</w:t>
      </w:r>
      <w:r w:rsidR="002B5D1E">
        <w:t>.</w:t>
      </w:r>
    </w:p>
    <w:p w14:paraId="1D25F1A0" w14:textId="77777777" w:rsidR="00954ADE" w:rsidRDefault="00954ADE" w:rsidP="00931787">
      <w:pPr>
        <w:spacing w:after="0"/>
      </w:pPr>
    </w:p>
    <w:p w14:paraId="774DE2C1" w14:textId="39AF7E77" w:rsidR="00C21BDE" w:rsidRDefault="005D3BE7" w:rsidP="00931787">
      <w:pPr>
        <w:spacing w:after="0"/>
      </w:pPr>
      <w:r>
        <w:t>Yet t</w:t>
      </w:r>
      <w:r w:rsidR="002B5D1E">
        <w:t xml:space="preserve">he critical problem at this time is not the choice between the propositions.  </w:t>
      </w:r>
      <w:r w:rsidR="00C21BDE">
        <w:t xml:space="preserve">The PwC report indicated a choice can be made, and once it is made, </w:t>
      </w:r>
      <w:r>
        <w:t xml:space="preserve">it may be possible to </w:t>
      </w:r>
      <w:r w:rsidR="00C21BDE">
        <w:t>mitigate</w:t>
      </w:r>
      <w:r>
        <w:t xml:space="preserve"> risks</w:t>
      </w:r>
      <w:r w:rsidR="00C21BDE">
        <w:t>.</w:t>
      </w:r>
    </w:p>
    <w:p w14:paraId="20DE54F6" w14:textId="77777777" w:rsidR="00954ADE" w:rsidRDefault="00954ADE" w:rsidP="00931787">
      <w:pPr>
        <w:spacing w:after="0"/>
      </w:pPr>
    </w:p>
    <w:p w14:paraId="762169E4" w14:textId="6F7AF0D0" w:rsidR="00356B64" w:rsidRDefault="00C21BDE" w:rsidP="00931787">
      <w:pPr>
        <w:spacing w:after="0"/>
      </w:pPr>
      <w:r>
        <w:t>Rather, the problem now</w:t>
      </w:r>
      <w:r w:rsidR="002B5D1E">
        <w:t xml:space="preserve"> is that </w:t>
      </w:r>
      <w:r w:rsidR="00DC143C">
        <w:t xml:space="preserve">both propositions </w:t>
      </w:r>
      <w:r w:rsidR="005738E5">
        <w:t>seem to be</w:t>
      </w:r>
      <w:r w:rsidR="000052F2">
        <w:t xml:space="preserve"> being made </w:t>
      </w:r>
      <w:r w:rsidR="00DC143C">
        <w:t>at once.</w:t>
      </w:r>
      <w:r w:rsidR="002B5D1E">
        <w:t xml:space="preserve"> </w:t>
      </w:r>
      <w:r w:rsidR="00DC143C">
        <w:t xml:space="preserve"> </w:t>
      </w:r>
      <w:r>
        <w:t xml:space="preserve">That must cause confusion and derogate from democratic, organisational and personal accountability.  The real-world effects of such confusion, evidenced from the 1996 changes in NSW </w:t>
      </w:r>
      <w:r w:rsidR="00487C19">
        <w:t>are likely to include</w:t>
      </w:r>
      <w:r>
        <w:t xml:space="preserve">: </w:t>
      </w:r>
      <w:r w:rsidR="00487C19">
        <w:t xml:space="preserve">antagonism within and among the Government, bureaucracy and railways; </w:t>
      </w:r>
      <w:r>
        <w:t>increase</w:t>
      </w:r>
      <w:r w:rsidR="00DC143C">
        <w:t>s</w:t>
      </w:r>
      <w:r>
        <w:t xml:space="preserve"> in financial costs</w:t>
      </w:r>
      <w:r w:rsidR="003C7068">
        <w:t>;</w:t>
      </w:r>
      <w:r>
        <w:t xml:space="preserve"> worse operational performance</w:t>
      </w:r>
      <w:r w:rsidR="003C7068">
        <w:t>;</w:t>
      </w:r>
      <w:r>
        <w:t xml:space="preserve"> introduction of systemic risk</w:t>
      </w:r>
      <w:r w:rsidR="00356B64">
        <w:t xml:space="preserve"> to public safety</w:t>
      </w:r>
      <w:r>
        <w:t xml:space="preserve">.  </w:t>
      </w:r>
    </w:p>
    <w:p w14:paraId="0068F353" w14:textId="73A46AD4" w:rsidR="00954ADE" w:rsidRDefault="00954ADE" w:rsidP="00931787">
      <w:pPr>
        <w:spacing w:after="0"/>
      </w:pPr>
    </w:p>
    <w:p w14:paraId="1A541227" w14:textId="55796A94" w:rsidR="00131604" w:rsidRDefault="00954ADE" w:rsidP="00931787">
      <w:pPr>
        <w:spacing w:after="0"/>
      </w:pPr>
      <w:r>
        <w:t xml:space="preserve">It may be the </w:t>
      </w:r>
      <w:r w:rsidR="000052F2">
        <w:t xml:space="preserve">creation of </w:t>
      </w:r>
      <w:r>
        <w:t xml:space="preserve">Entity – and the disputes about it – </w:t>
      </w:r>
      <w:r w:rsidR="000052F2">
        <w:t>we</w:t>
      </w:r>
      <w:r>
        <w:t>re motivated by bureaucracies positioning to ‘lead’ potential franchising of Sydney commuter</w:t>
      </w:r>
      <w:r w:rsidR="00B747AE">
        <w:t xml:space="preserve"> rail</w:t>
      </w:r>
      <w:r>
        <w:t xml:space="preserve">.  </w:t>
      </w:r>
      <w:r w:rsidR="00B747AE">
        <w:t xml:space="preserve">Given their apparent performance in advising on commuter rail in relation to the Entity and associated scheme, it </w:t>
      </w:r>
      <w:r>
        <w:t xml:space="preserve">would be foolhardy to contemplate franchising at present.  </w:t>
      </w:r>
    </w:p>
    <w:p w14:paraId="5F56EF83" w14:textId="77777777" w:rsidR="00131604" w:rsidRDefault="00131604" w:rsidP="00931787">
      <w:pPr>
        <w:spacing w:after="0"/>
      </w:pPr>
    </w:p>
    <w:p w14:paraId="330C5894" w14:textId="27950D72" w:rsidR="00954ADE" w:rsidRDefault="00954ADE" w:rsidP="00525D42">
      <w:pPr>
        <w:spacing w:after="0"/>
      </w:pPr>
      <w:r>
        <w:t xml:space="preserve">The present scheme is </w:t>
      </w:r>
      <w:r w:rsidR="00487C19">
        <w:t xml:space="preserve">an impediment to </w:t>
      </w:r>
      <w:r>
        <w:t xml:space="preserve">franchising.  </w:t>
      </w:r>
      <w:r w:rsidR="00487C19">
        <w:t xml:space="preserve">More significantly, </w:t>
      </w:r>
      <w:r>
        <w:t xml:space="preserve">the </w:t>
      </w:r>
      <w:r w:rsidR="00487C19">
        <w:t xml:space="preserve">advice and decisions on public </w:t>
      </w:r>
      <w:r>
        <w:t xml:space="preserve">display </w:t>
      </w:r>
      <w:r w:rsidR="00B82F8D">
        <w:t>practically preclude a satisfactory outcome of any commuter rail franchising process.</w:t>
      </w:r>
    </w:p>
    <w:p w14:paraId="67995AC5" w14:textId="77777777" w:rsidR="00525D42" w:rsidRDefault="00525D42" w:rsidP="00F5134D">
      <w:pPr>
        <w:spacing w:after="0"/>
      </w:pPr>
    </w:p>
    <w:p w14:paraId="0CD24FA0" w14:textId="3BFCA16F" w:rsidR="00E15320" w:rsidRDefault="00525D42" w:rsidP="00931787">
      <w:pPr>
        <w:pStyle w:val="Heading3"/>
      </w:pPr>
      <w:bookmarkStart w:id="34" w:name="_Toc93085780"/>
      <w:r>
        <w:t>8</w:t>
      </w:r>
      <w:r w:rsidR="00E15320">
        <w:t>.</w:t>
      </w:r>
      <w:r w:rsidR="00C21BDE">
        <w:t>2</w:t>
      </w:r>
      <w:r w:rsidR="00E15320">
        <w:tab/>
        <w:t>Policy SPAD</w:t>
      </w:r>
      <w:bookmarkEnd w:id="34"/>
    </w:p>
    <w:p w14:paraId="7B457042" w14:textId="77777777" w:rsidR="00E15320" w:rsidRDefault="00E15320" w:rsidP="00931787">
      <w:pPr>
        <w:spacing w:after="0"/>
      </w:pPr>
      <w:r>
        <w:t xml:space="preserve">The initial article said a SPAD occurs when a train passes a red signal - signals at ‘stop’ or ‘danger’.   </w:t>
      </w:r>
    </w:p>
    <w:p w14:paraId="31F08A97" w14:textId="77777777" w:rsidR="00E15320" w:rsidRDefault="00E15320" w:rsidP="00931787">
      <w:pPr>
        <w:spacing w:after="0"/>
      </w:pPr>
    </w:p>
    <w:p w14:paraId="1E96596F" w14:textId="60D78D87" w:rsidR="00B82F8D" w:rsidRDefault="00E15320" w:rsidP="00931787">
      <w:pPr>
        <w:spacing w:after="0"/>
      </w:pPr>
      <w:r>
        <w:t xml:space="preserve">SPADs can occur due to inattention to (red) signals.  </w:t>
      </w:r>
      <w:r w:rsidR="005074CA">
        <w:t xml:space="preserve">In some </w:t>
      </w:r>
      <w:r w:rsidR="00152F65">
        <w:t>cases,</w:t>
      </w:r>
      <w:r>
        <w:t xml:space="preserve"> the train driver believed a signal was green (proceed) when in fact it was red</w:t>
      </w:r>
      <w:r w:rsidR="005074CA">
        <w:t xml:space="preserve">.  In other </w:t>
      </w:r>
      <w:r w:rsidR="00152F65">
        <w:t>cases,</w:t>
      </w:r>
      <w:r>
        <w:t xml:space="preserve"> a train was travelling too fast.  Psychological factors, including driver conditioning and expectations – ‘the signal is always green’ – and pressure to conform </w:t>
      </w:r>
      <w:r w:rsidR="009406DC">
        <w:t>e.g.,</w:t>
      </w:r>
      <w:r>
        <w:t xml:space="preserve"> to timetable have been in play.</w:t>
      </w:r>
      <w:r w:rsidR="00395F98">
        <w:t xml:space="preserve">  </w:t>
      </w:r>
      <w:r>
        <w:t>SPAD</w:t>
      </w:r>
      <w:r w:rsidR="005074CA">
        <w:t>s</w:t>
      </w:r>
      <w:r>
        <w:t xml:space="preserve"> do not always </w:t>
      </w:r>
      <w:r w:rsidR="003D3F7C">
        <w:t>causes</w:t>
      </w:r>
      <w:r>
        <w:t xml:space="preserve"> wreck</w:t>
      </w:r>
      <w:r w:rsidR="005074CA">
        <w:t>s</w:t>
      </w:r>
      <w:r>
        <w:t xml:space="preserve">.  In Sydney, a train can pass a red signal without </w:t>
      </w:r>
      <w:r w:rsidR="00B82F8D">
        <w:t xml:space="preserve">harm.  But </w:t>
      </w:r>
      <w:r w:rsidR="00131604">
        <w:t xml:space="preserve">there </w:t>
      </w:r>
      <w:r w:rsidR="00487C19">
        <w:t xml:space="preserve">can be a different story if it </w:t>
      </w:r>
      <w:r w:rsidR="00B82F8D">
        <w:t>pass</w:t>
      </w:r>
      <w:r w:rsidR="00487C19">
        <w:t>es</w:t>
      </w:r>
      <w:r w:rsidR="00B82F8D">
        <w:t xml:space="preserve"> several in a row.</w:t>
      </w:r>
      <w:r w:rsidR="00395F98">
        <w:rPr>
          <w:rStyle w:val="FootnoteReference"/>
        </w:rPr>
        <w:footnoteReference w:id="186"/>
      </w:r>
    </w:p>
    <w:p w14:paraId="51022B0A" w14:textId="7B484545" w:rsidR="00E15320" w:rsidRDefault="00E15320" w:rsidP="00931787">
      <w:pPr>
        <w:spacing w:after="0"/>
      </w:pPr>
      <w:r>
        <w:t xml:space="preserve"> </w:t>
      </w:r>
    </w:p>
    <w:p w14:paraId="1DCF3F28" w14:textId="4B168908" w:rsidR="003C7068" w:rsidRDefault="00E15320" w:rsidP="00931787">
      <w:pPr>
        <w:spacing w:after="0"/>
      </w:pPr>
      <w:r>
        <w:t>Whatever the motivations</w:t>
      </w:r>
      <w:r w:rsidR="000052F2">
        <w:t>, aims and efforts</w:t>
      </w:r>
      <w:r>
        <w:t xml:space="preserve"> of those creati</w:t>
      </w:r>
      <w:r w:rsidR="00E17C91">
        <w:t>ng</w:t>
      </w:r>
      <w:r>
        <w:t xml:space="preserve"> the </w:t>
      </w:r>
      <w:r w:rsidR="005738E5">
        <w:t xml:space="preserve">scheme surrounding the </w:t>
      </w:r>
      <w:r>
        <w:t>Entity, the</w:t>
      </w:r>
      <w:r w:rsidR="000052F2">
        <w:t xml:space="preserve">re </w:t>
      </w:r>
      <w:r>
        <w:t xml:space="preserve">have been </w:t>
      </w:r>
      <w:r w:rsidR="00356B64">
        <w:t>successive</w:t>
      </w:r>
      <w:r>
        <w:t xml:space="preserve"> policy SPAD</w:t>
      </w:r>
      <w:r w:rsidR="00356B64">
        <w:t>s</w:t>
      </w:r>
      <w:r>
        <w:t xml:space="preserve">.  </w:t>
      </w:r>
      <w:r w:rsidR="00395F98">
        <w:t xml:space="preserve">  </w:t>
      </w:r>
    </w:p>
    <w:p w14:paraId="215CC0F4" w14:textId="77777777" w:rsidR="003C7068" w:rsidRDefault="003C7068" w:rsidP="00931787">
      <w:pPr>
        <w:spacing w:after="0"/>
      </w:pPr>
    </w:p>
    <w:p w14:paraId="234048B6" w14:textId="4CB95CA8" w:rsidR="00356B64" w:rsidRDefault="00356B64" w:rsidP="00931787">
      <w:pPr>
        <w:spacing w:after="0"/>
      </w:pPr>
      <w:r>
        <w:t>Re</w:t>
      </w:r>
      <w:r w:rsidR="003C7068">
        <w:t>d signals f</w:t>
      </w:r>
      <w:r>
        <w:t xml:space="preserve">rom </w:t>
      </w:r>
      <w:r w:rsidR="00E15320">
        <w:t xml:space="preserve">two </w:t>
      </w:r>
      <w:r w:rsidR="00CB6140">
        <w:t xml:space="preserve">rail </w:t>
      </w:r>
      <w:r w:rsidR="00F05742">
        <w:t>crash</w:t>
      </w:r>
      <w:r w:rsidR="00E15320">
        <w:t xml:space="preserve"> Commissions</w:t>
      </w:r>
      <w:r>
        <w:t xml:space="preserve"> </w:t>
      </w:r>
      <w:r w:rsidR="003C7068">
        <w:t xml:space="preserve">are now widely misunderstood as ‘green’.  </w:t>
      </w:r>
      <w:r w:rsidR="00E15320">
        <w:t xml:space="preserve"> </w:t>
      </w:r>
      <w:r>
        <w:t xml:space="preserve">Were they understood, the scheme involving the Entity – splitting asset ownership from maintenance - would </w:t>
      </w:r>
      <w:r w:rsidR="003D3F7C">
        <w:t>likely</w:t>
      </w:r>
      <w:r>
        <w:t xml:space="preserve"> have been abandoned. </w:t>
      </w:r>
    </w:p>
    <w:p w14:paraId="634030B5" w14:textId="183E8B4A" w:rsidR="003C7068" w:rsidRDefault="003C7068" w:rsidP="00931787">
      <w:pPr>
        <w:spacing w:after="0"/>
      </w:pPr>
    </w:p>
    <w:p w14:paraId="4C5FF2B8" w14:textId="77777777" w:rsidR="00D43F98" w:rsidRDefault="00F05742" w:rsidP="00395F98">
      <w:pPr>
        <w:spacing w:after="0"/>
      </w:pPr>
      <w:r>
        <w:t xml:space="preserve">Also </w:t>
      </w:r>
      <w:r w:rsidR="00487C19">
        <w:t xml:space="preserve">apparently </w:t>
      </w:r>
      <w:r>
        <w:t>ignored have been: several Productivity Commission</w:t>
      </w:r>
      <w:r w:rsidR="00395F98">
        <w:t xml:space="preserve"> reports</w:t>
      </w:r>
      <w:r>
        <w:t xml:space="preserve">; </w:t>
      </w:r>
      <w:r w:rsidR="00395F98">
        <w:t>a</w:t>
      </w:r>
      <w:r>
        <w:t xml:space="preserve"> Special Commission of Inquiry into Sydney Ferries; </w:t>
      </w:r>
      <w:r w:rsidR="00395F98">
        <w:t>advice</w:t>
      </w:r>
      <w:r>
        <w:t xml:space="preserve"> </w:t>
      </w:r>
      <w:r w:rsidR="00395F98">
        <w:t>from</w:t>
      </w:r>
      <w:r>
        <w:t xml:space="preserve"> the Independent Pricing and Regulatory Tribunal.</w:t>
      </w:r>
      <w:r w:rsidR="003D3F7C">
        <w:t xml:space="preserve">  </w:t>
      </w:r>
      <w:r w:rsidR="00395F98">
        <w:t xml:space="preserve">Policy precepts including about State-owned corporations and rail access have </w:t>
      </w:r>
      <w:r w:rsidR="000052F2">
        <w:t xml:space="preserve">not </w:t>
      </w:r>
      <w:r w:rsidR="00395F98">
        <w:t xml:space="preserve">been </w:t>
      </w:r>
      <w:r w:rsidR="000052F2">
        <w:t>applied as originally intended</w:t>
      </w:r>
      <w:r w:rsidR="00395F98">
        <w:t xml:space="preserve">. Rail access appears to </w:t>
      </w:r>
      <w:r w:rsidR="00395F98">
        <w:t>be seen</w:t>
      </w:r>
      <w:r w:rsidR="00395F98">
        <w:t xml:space="preserve"> as a financial instrument in contra</w:t>
      </w:r>
      <w:r w:rsidR="000052F2">
        <w:t>st</w:t>
      </w:r>
      <w:r w:rsidR="00395F98">
        <w:t xml:space="preserve"> to its intent, legislation and NSW access regulation.</w:t>
      </w:r>
      <w:r w:rsidR="001B6184">
        <w:t xml:space="preserve">  </w:t>
      </w:r>
    </w:p>
    <w:p w14:paraId="18AB68A1" w14:textId="356F3E75" w:rsidR="001B6184" w:rsidRDefault="00395F98" w:rsidP="00395F98">
      <w:pPr>
        <w:spacing w:after="0"/>
      </w:pPr>
      <w:r>
        <w:lastRenderedPageBreak/>
        <w:t>The result</w:t>
      </w:r>
      <w:r w:rsidR="003D3F7C">
        <w:t xml:space="preserve">: </w:t>
      </w:r>
      <w:r w:rsidR="005266ED">
        <w:t>the present scheme i</w:t>
      </w:r>
      <w:r w:rsidR="00D43F98">
        <w:t>ncludes</w:t>
      </w:r>
      <w:r w:rsidR="005266ED">
        <w:t xml:space="preserve"> </w:t>
      </w:r>
      <w:r>
        <w:t xml:space="preserve">a repetition of the </w:t>
      </w:r>
      <w:r w:rsidR="000052F2">
        <w:t xml:space="preserve">commuter rail aspects of the </w:t>
      </w:r>
      <w:r>
        <w:t>1996 changes.</w:t>
      </w:r>
      <w:r w:rsidR="005266ED">
        <w:t xml:space="preserve">  </w:t>
      </w:r>
    </w:p>
    <w:p w14:paraId="7468E00F" w14:textId="77777777" w:rsidR="001B6184" w:rsidRDefault="001B6184" w:rsidP="00395F98">
      <w:pPr>
        <w:spacing w:after="0"/>
      </w:pPr>
    </w:p>
    <w:p w14:paraId="08A848D5" w14:textId="64305ED3" w:rsidR="00E25B9F" w:rsidRDefault="00395F98" w:rsidP="00931787">
      <w:pPr>
        <w:spacing w:after="0"/>
      </w:pPr>
      <w:r>
        <w:t>The</w:t>
      </w:r>
      <w:r w:rsidR="00E25B9F">
        <w:t xml:space="preserve"> problematic decisions start</w:t>
      </w:r>
      <w:r w:rsidR="00C255E8">
        <w:t>ed with</w:t>
      </w:r>
      <w:r w:rsidR="00E25B9F">
        <w:t xml:space="preserve"> take-over of railway assets and network control by Transport for NSW</w:t>
      </w:r>
      <w:r w:rsidR="00131604">
        <w:t>.  That idea</w:t>
      </w:r>
      <w:r w:rsidR="001B6184">
        <w:t>,</w:t>
      </w:r>
      <w:r w:rsidR="00836396">
        <w:t xml:space="preserve"> </w:t>
      </w:r>
      <w:r w:rsidR="00131604">
        <w:t xml:space="preserve">spurned </w:t>
      </w:r>
      <w:r w:rsidR="00D43F98">
        <w:t xml:space="preserve">in the second reading speech by the Minister who introduced the relevant Bill </w:t>
      </w:r>
      <w:r w:rsidR="00131604">
        <w:t>in mid-2011</w:t>
      </w:r>
      <w:r w:rsidR="001B6184">
        <w:t>,</w:t>
      </w:r>
      <w:r w:rsidR="00131604">
        <w:t xml:space="preserve"> </w:t>
      </w:r>
      <w:r w:rsidR="00D43F98">
        <w:t>seems to have been</w:t>
      </w:r>
      <w:r w:rsidR="00131604">
        <w:t xml:space="preserve"> </w:t>
      </w:r>
      <w:r w:rsidR="00614050">
        <w:t xml:space="preserve">spawned </w:t>
      </w:r>
      <w:r w:rsidR="00131604">
        <w:t xml:space="preserve">behind closed doors </w:t>
      </w:r>
      <w:r w:rsidR="00614050">
        <w:t>between end-2011 and mid-2012.</w:t>
      </w:r>
      <w:r w:rsidR="00E25B9F">
        <w:t xml:space="preserve">  Failure of the Transport portfolio to acknowledge th</w:t>
      </w:r>
      <w:r w:rsidR="00131604">
        <w:t>e idea</w:t>
      </w:r>
      <w:r w:rsidR="00E25B9F">
        <w:t xml:space="preserve"> </w:t>
      </w:r>
      <w:r w:rsidR="00131604">
        <w:t>w</w:t>
      </w:r>
      <w:r w:rsidR="00E25B9F">
        <w:t xml:space="preserve">as a mistake </w:t>
      </w:r>
      <w:r w:rsidR="00D43F98">
        <w:t xml:space="preserve">was </w:t>
      </w:r>
      <w:r w:rsidR="00C255E8">
        <w:t xml:space="preserve">always likely to lead to a scheme such as that </w:t>
      </w:r>
      <w:r>
        <w:t xml:space="preserve">involving the </w:t>
      </w:r>
      <w:r w:rsidR="00E25B9F">
        <w:t>Entity.</w:t>
      </w:r>
    </w:p>
    <w:p w14:paraId="139BFC40" w14:textId="6228E8EE" w:rsidR="004C3BE7" w:rsidRDefault="004C3BE7" w:rsidP="00931787">
      <w:pPr>
        <w:spacing w:after="0"/>
      </w:pPr>
    </w:p>
    <w:p w14:paraId="36CA11B5" w14:textId="3AB65D8F" w:rsidR="00E25B9F" w:rsidRDefault="00E25B9F" w:rsidP="00931787">
      <w:pPr>
        <w:spacing w:after="0"/>
      </w:pPr>
      <w:r>
        <w:t>There are obvious similarities with</w:t>
      </w:r>
      <w:r w:rsidR="001B6184">
        <w:t xml:space="preserve"> an</w:t>
      </w:r>
      <w:r>
        <w:t>other policy SPAD</w:t>
      </w:r>
      <w:r w:rsidR="005074CA">
        <w:t xml:space="preserve"> </w:t>
      </w:r>
      <w:r w:rsidR="001B6184">
        <w:t>-</w:t>
      </w:r>
      <w:r>
        <w:t xml:space="preserve"> Sydney Metro</w:t>
      </w:r>
      <w:r w:rsidR="001B6184">
        <w:t xml:space="preserve">.  That </w:t>
      </w:r>
      <w:r w:rsidR="005266ED">
        <w:t xml:space="preserve">idea </w:t>
      </w:r>
      <w:r w:rsidR="001B6184">
        <w:t xml:space="preserve">was </w:t>
      </w:r>
      <w:r w:rsidR="005266ED">
        <w:t>also spawned between end-2011 and mid-2012 in the Transport portfolio</w:t>
      </w:r>
      <w:r w:rsidR="005738E5">
        <w:t xml:space="preserve"> - also</w:t>
      </w:r>
      <w:r w:rsidR="00131604">
        <w:t xml:space="preserve"> </w:t>
      </w:r>
      <w:r w:rsidR="001B6184">
        <w:t xml:space="preserve">after </w:t>
      </w:r>
      <w:r w:rsidR="00D43F98">
        <w:t xml:space="preserve">Ministerial </w:t>
      </w:r>
      <w:r w:rsidR="001B6184">
        <w:t>announcements in mid</w:t>
      </w:r>
      <w:r w:rsidR="00CB6140">
        <w:t>-</w:t>
      </w:r>
      <w:r w:rsidR="001B6184">
        <w:t>2011 saying the opposite</w:t>
      </w:r>
      <w:r>
        <w:t>.</w:t>
      </w:r>
      <w:r w:rsidR="005266ED">
        <w:t xml:space="preserve">  Failure to acknowledge </w:t>
      </w:r>
      <w:r w:rsidR="003D3F7C">
        <w:t>grave problems</w:t>
      </w:r>
      <w:r w:rsidR="005266ED">
        <w:t xml:space="preserve"> of </w:t>
      </w:r>
      <w:r w:rsidR="001B6184">
        <w:t>Sydney Metro</w:t>
      </w:r>
      <w:r w:rsidR="005266ED">
        <w:t xml:space="preserve"> – like small tunnel size and CBD route sterilising other rail development </w:t>
      </w:r>
      <w:r w:rsidR="003D3F7C">
        <w:t xml:space="preserve">- </w:t>
      </w:r>
      <w:r w:rsidR="005266ED">
        <w:t xml:space="preserve">inevitably led to ever more bizarre manifestations, the latest a Metro </w:t>
      </w:r>
      <w:r w:rsidR="004807BA">
        <w:t>‘</w:t>
      </w:r>
      <w:r w:rsidR="005266ED">
        <w:t>i</w:t>
      </w:r>
      <w:r w:rsidR="004807BA">
        <w:t>n S</w:t>
      </w:r>
      <w:r w:rsidR="005266ED">
        <w:t>iberia</w:t>
      </w:r>
      <w:r w:rsidR="004807BA">
        <w:t>’</w:t>
      </w:r>
      <w:r w:rsidR="005266ED">
        <w:t>.</w:t>
      </w:r>
      <w:r w:rsidR="005266ED">
        <w:rPr>
          <w:rStyle w:val="FootnoteReference"/>
        </w:rPr>
        <w:footnoteReference w:id="187"/>
      </w:r>
    </w:p>
    <w:p w14:paraId="43EB8629" w14:textId="0843A5AB" w:rsidR="00E25B9F" w:rsidRDefault="00E25B9F" w:rsidP="00931787">
      <w:pPr>
        <w:spacing w:after="0"/>
      </w:pPr>
    </w:p>
    <w:p w14:paraId="7C10F9CD" w14:textId="2E6D2A2B" w:rsidR="005266ED" w:rsidRDefault="005266ED" w:rsidP="005266ED">
      <w:pPr>
        <w:spacing w:after="0"/>
      </w:pPr>
      <w:r>
        <w:t>In both cases, p</w:t>
      </w:r>
      <w:r>
        <w:t xml:space="preserve">olicy has been made in secret </w:t>
      </w:r>
      <w:r w:rsidR="004807BA">
        <w:t>with</w:t>
      </w:r>
      <w:r>
        <w:t xml:space="preserve"> un</w:t>
      </w:r>
      <w:r w:rsidR="00C255E8">
        <w:t>certain agendas</w:t>
      </w:r>
      <w:r>
        <w:t xml:space="preserve">.  </w:t>
      </w:r>
      <w:r w:rsidR="00CB6140">
        <w:t>There is evident failure of p</w:t>
      </w:r>
      <w:r>
        <w:t xml:space="preserve">rocesses to ensure Cabinet </w:t>
      </w:r>
      <w:r w:rsidR="00D43F98">
        <w:t>wa</w:t>
      </w:r>
      <w:r>
        <w:t>s properly advised.</w:t>
      </w:r>
    </w:p>
    <w:p w14:paraId="324C2522" w14:textId="77777777" w:rsidR="005266ED" w:rsidRDefault="005266ED" w:rsidP="005266ED">
      <w:pPr>
        <w:spacing w:after="0"/>
      </w:pPr>
    </w:p>
    <w:p w14:paraId="4E8343E6" w14:textId="5A7A4536" w:rsidR="004C3BE7" w:rsidRDefault="004C3BE7" w:rsidP="00931787">
      <w:pPr>
        <w:spacing w:after="0"/>
      </w:pPr>
      <w:r>
        <w:t xml:space="preserve">The result </w:t>
      </w:r>
      <w:r w:rsidR="005266ED">
        <w:t>are</w:t>
      </w:r>
      <w:r>
        <w:t xml:space="preserve"> policy wreck</w:t>
      </w:r>
      <w:r w:rsidR="005266ED">
        <w:t>s</w:t>
      </w:r>
      <w:r>
        <w:t>.</w:t>
      </w:r>
      <w:r w:rsidR="005266ED">
        <w:t xml:space="preserve">  </w:t>
      </w:r>
      <w:r w:rsidR="00A2435E">
        <w:t xml:space="preserve">Attempted defences of </w:t>
      </w:r>
      <w:r w:rsidR="00A2435E">
        <w:t xml:space="preserve">advice and decisions </w:t>
      </w:r>
      <w:r w:rsidR="00A2435E">
        <w:t xml:space="preserve">– </w:t>
      </w:r>
      <w:r w:rsidR="004807BA">
        <w:t>especially</w:t>
      </w:r>
      <w:r w:rsidR="00A2435E">
        <w:t xml:space="preserve"> </w:t>
      </w:r>
      <w:r w:rsidR="005C1C6A">
        <w:t>strident</w:t>
      </w:r>
      <w:r w:rsidR="003D3F7C">
        <w:t xml:space="preserve"> </w:t>
      </w:r>
      <w:r w:rsidR="00A2435E">
        <w:t xml:space="preserve">claims </w:t>
      </w:r>
      <w:r w:rsidR="001257A9">
        <w:t>about</w:t>
      </w:r>
      <w:r w:rsidR="00A2435E">
        <w:t xml:space="preserve"> ‘professionalism’ </w:t>
      </w:r>
      <w:r w:rsidR="005738E5">
        <w:t>–</w:t>
      </w:r>
      <w:r w:rsidR="00A2435E">
        <w:t xml:space="preserve"> </w:t>
      </w:r>
      <w:r w:rsidR="001B6184">
        <w:t>are</w:t>
      </w:r>
      <w:r w:rsidR="005738E5">
        <w:t>,</w:t>
      </w:r>
      <w:r w:rsidR="00A2435E">
        <w:t xml:space="preserve"> </w:t>
      </w:r>
      <w:r w:rsidR="005738E5">
        <w:t xml:space="preserve">to my mind, </w:t>
      </w:r>
      <w:r w:rsidR="00A2435E">
        <w:t>embarrassing.</w:t>
      </w:r>
    </w:p>
    <w:p w14:paraId="67821FBC" w14:textId="002E44C8" w:rsidR="00B82F8D" w:rsidRDefault="00B82F8D" w:rsidP="00931787">
      <w:pPr>
        <w:spacing w:after="0"/>
      </w:pPr>
    </w:p>
    <w:p w14:paraId="0A114C6E" w14:textId="54ADCC09" w:rsidR="00CB6140" w:rsidRDefault="00CB6140" w:rsidP="00931787">
      <w:pPr>
        <w:spacing w:after="0"/>
      </w:pPr>
    </w:p>
    <w:p w14:paraId="2A7966B4" w14:textId="77777777" w:rsidR="00CB6140" w:rsidRDefault="00CB6140" w:rsidP="00931787">
      <w:pPr>
        <w:spacing w:after="0"/>
      </w:pPr>
    </w:p>
    <w:p w14:paraId="073B11C5" w14:textId="014CDF26" w:rsidR="00B82F8D" w:rsidRDefault="009B5582" w:rsidP="00931787">
      <w:pPr>
        <w:spacing w:after="0"/>
      </w:pPr>
      <w:r>
        <w:t>J</w:t>
      </w:r>
      <w:r w:rsidR="00B82F8D">
        <w:t xml:space="preserve"> Austen</w:t>
      </w:r>
    </w:p>
    <w:p w14:paraId="29F13AD7" w14:textId="35F4B728" w:rsidR="00B82F8D" w:rsidRDefault="009B5582" w:rsidP="00931787">
      <w:pPr>
        <w:spacing w:after="0"/>
      </w:pPr>
      <w:r>
        <w:t>14</w:t>
      </w:r>
      <w:r w:rsidR="00B82F8D">
        <w:t xml:space="preserve"> January 2022</w:t>
      </w:r>
    </w:p>
    <w:sectPr w:rsidR="00B82F8D">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B222C" w14:textId="77777777" w:rsidR="00CC3DB7" w:rsidRDefault="00CC3DB7" w:rsidP="00593AF5">
      <w:pPr>
        <w:spacing w:after="0" w:line="240" w:lineRule="auto"/>
      </w:pPr>
      <w:r>
        <w:separator/>
      </w:r>
    </w:p>
  </w:endnote>
  <w:endnote w:type="continuationSeparator" w:id="0">
    <w:p w14:paraId="76EFACEC" w14:textId="77777777" w:rsidR="00CC3DB7" w:rsidRDefault="00CC3DB7" w:rsidP="0059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3663C" w14:textId="77777777" w:rsidR="00C17FD7" w:rsidRDefault="00C17F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4962021"/>
      <w:docPartObj>
        <w:docPartGallery w:val="Page Numbers (Bottom of Page)"/>
        <w:docPartUnique/>
      </w:docPartObj>
    </w:sdtPr>
    <w:sdtEndPr>
      <w:rPr>
        <w:noProof/>
      </w:rPr>
    </w:sdtEndPr>
    <w:sdtContent>
      <w:p w14:paraId="31F211A7" w14:textId="2F91B602" w:rsidR="00C17FD7" w:rsidRDefault="00C17F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C334AA5" w14:textId="77777777" w:rsidR="00C17FD7" w:rsidRDefault="00C17F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A85F5" w14:textId="77777777" w:rsidR="00C17FD7" w:rsidRDefault="00C17F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04CA81" w14:textId="77777777" w:rsidR="00CC3DB7" w:rsidRDefault="00CC3DB7" w:rsidP="00593AF5">
      <w:pPr>
        <w:spacing w:after="0" w:line="240" w:lineRule="auto"/>
      </w:pPr>
      <w:r>
        <w:separator/>
      </w:r>
    </w:p>
  </w:footnote>
  <w:footnote w:type="continuationSeparator" w:id="0">
    <w:p w14:paraId="3C9F4EE8" w14:textId="77777777" w:rsidR="00CC3DB7" w:rsidRDefault="00CC3DB7" w:rsidP="00593AF5">
      <w:pPr>
        <w:spacing w:after="0" w:line="240" w:lineRule="auto"/>
      </w:pPr>
      <w:r>
        <w:continuationSeparator/>
      </w:r>
    </w:p>
  </w:footnote>
  <w:footnote w:id="1">
    <w:p w14:paraId="2565CBFB" w14:textId="0A3BE3CC" w:rsidR="00510B9E" w:rsidRPr="003C69F6" w:rsidRDefault="00510B9E" w:rsidP="00DC7299">
      <w:pPr>
        <w:spacing w:after="0"/>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Article: </w:t>
      </w:r>
      <w:hyperlink r:id="rId1" w:history="1">
        <w:r w:rsidRPr="003C69F6">
          <w:rPr>
            <w:rStyle w:val="Hyperlink"/>
            <w:rFonts w:cstheme="minorHAnsi"/>
            <w:sz w:val="16"/>
            <w:szCs w:val="16"/>
          </w:rPr>
          <w:t>https://www.thejadebeagle.com/policy-spad.html</w:t>
        </w:r>
      </w:hyperlink>
    </w:p>
    <w:p w14:paraId="4D4F35F2" w14:textId="77777777" w:rsidR="00510B9E" w:rsidRPr="003C69F6" w:rsidRDefault="00510B9E" w:rsidP="00A469EA">
      <w:pPr>
        <w:pStyle w:val="FootnoteText"/>
        <w:rPr>
          <w:rFonts w:cstheme="minorHAnsi"/>
          <w:sz w:val="16"/>
          <w:szCs w:val="16"/>
        </w:rPr>
      </w:pPr>
    </w:p>
  </w:footnote>
  <w:footnote w:id="2">
    <w:p w14:paraId="72D575FA" w14:textId="77777777" w:rsidR="00510B9E" w:rsidRPr="003C69F6" w:rsidRDefault="00510B9E"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2" w:anchor="tab-submissions" w:history="1">
        <w:r w:rsidRPr="003C69F6">
          <w:rPr>
            <w:rStyle w:val="Hyperlink"/>
            <w:rFonts w:cstheme="minorHAnsi"/>
            <w:sz w:val="16"/>
            <w:szCs w:val="16"/>
          </w:rPr>
          <w:t>https://www.parliament.nsw.gov.au/committees/inquiries/Pages/inquiry-details.aspx?pk=2819#tab-submissions</w:t>
        </w:r>
      </w:hyperlink>
    </w:p>
    <w:p w14:paraId="021BFBB3" w14:textId="77777777" w:rsidR="00510B9E" w:rsidRPr="003C69F6" w:rsidRDefault="00510B9E" w:rsidP="00A469EA">
      <w:pPr>
        <w:pStyle w:val="FootnoteText"/>
        <w:rPr>
          <w:rFonts w:cstheme="minorHAnsi"/>
          <w:sz w:val="16"/>
          <w:szCs w:val="16"/>
        </w:rPr>
      </w:pPr>
    </w:p>
  </w:footnote>
  <w:footnote w:id="3">
    <w:p w14:paraId="0693A985" w14:textId="77777777" w:rsidR="00510B9E" w:rsidRPr="003C69F6" w:rsidRDefault="00510B9E"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3" w:anchor="tab-hearingsandtranscripts" w:history="1">
        <w:r w:rsidRPr="003C69F6">
          <w:rPr>
            <w:rStyle w:val="Hyperlink"/>
            <w:rFonts w:cstheme="minorHAnsi"/>
            <w:sz w:val="16"/>
            <w:szCs w:val="16"/>
          </w:rPr>
          <w:t>https://www.parliament.nsw.gov.au/committees/inquiries/Pages/inquiry-details.aspx?pk=2819#tab-hearingsandtranscripts</w:t>
        </w:r>
      </w:hyperlink>
    </w:p>
    <w:p w14:paraId="69DAFC3A" w14:textId="77777777" w:rsidR="00510B9E" w:rsidRPr="003C69F6" w:rsidRDefault="00510B9E" w:rsidP="00A469EA">
      <w:pPr>
        <w:pStyle w:val="FootnoteText"/>
        <w:rPr>
          <w:rFonts w:cstheme="minorHAnsi"/>
          <w:sz w:val="16"/>
          <w:szCs w:val="16"/>
        </w:rPr>
      </w:pPr>
    </w:p>
  </w:footnote>
  <w:footnote w:id="4">
    <w:p w14:paraId="640E0C9F" w14:textId="0C6D411B" w:rsidR="005D7A38" w:rsidRPr="003C69F6" w:rsidRDefault="005D7A38"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4" w:anchor="tab-otherdocuments" w:history="1">
        <w:r w:rsidR="007F77A6" w:rsidRPr="003C69F6">
          <w:rPr>
            <w:rStyle w:val="Hyperlink"/>
            <w:rFonts w:cstheme="minorHAnsi"/>
            <w:sz w:val="16"/>
            <w:szCs w:val="16"/>
          </w:rPr>
          <w:t>https://www.parliament.nsw.gov.au/committees/inquiries/Pages/inquiry-details.aspx?pk=2819#tab-otherdocuments</w:t>
        </w:r>
      </w:hyperlink>
    </w:p>
    <w:p w14:paraId="040E9263" w14:textId="77777777" w:rsidR="007F77A6" w:rsidRPr="003C69F6" w:rsidRDefault="007F77A6" w:rsidP="00A469EA">
      <w:pPr>
        <w:pStyle w:val="FootnoteText"/>
        <w:rPr>
          <w:rFonts w:cstheme="minorHAnsi"/>
          <w:sz w:val="16"/>
          <w:szCs w:val="16"/>
          <w:lang w:val="en-AU"/>
        </w:rPr>
      </w:pPr>
    </w:p>
  </w:footnote>
  <w:footnote w:id="5">
    <w:p w14:paraId="16D11350" w14:textId="74ADE5DA" w:rsidR="00B72CA3" w:rsidRPr="003C69F6" w:rsidRDefault="00B72CA3"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5" w:history="1">
        <w:r w:rsidR="00A9118A" w:rsidRPr="003C69F6">
          <w:rPr>
            <w:rStyle w:val="Hyperlink"/>
            <w:rFonts w:cstheme="minorHAnsi"/>
            <w:sz w:val="16"/>
            <w:szCs w:val="16"/>
          </w:rPr>
          <w:t>https://www.thejadebeagle.com/policy-spad-update.html</w:t>
        </w:r>
      </w:hyperlink>
    </w:p>
    <w:p w14:paraId="1536019D" w14:textId="77777777" w:rsidR="00B679B1" w:rsidRPr="003C69F6" w:rsidRDefault="00B679B1" w:rsidP="00A469EA">
      <w:pPr>
        <w:pStyle w:val="FootnoteText"/>
        <w:rPr>
          <w:rFonts w:cstheme="minorHAnsi"/>
          <w:sz w:val="16"/>
          <w:szCs w:val="16"/>
          <w:lang w:val="en-AU"/>
        </w:rPr>
      </w:pPr>
    </w:p>
  </w:footnote>
  <w:footnote w:id="6">
    <w:p w14:paraId="6B861906" w14:textId="77777777" w:rsidR="00F32139" w:rsidRPr="003C69F6" w:rsidRDefault="00D72199"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Document: </w:t>
      </w:r>
      <w:hyperlink r:id="rId6" w:history="1">
        <w:r w:rsidRPr="003C69F6">
          <w:rPr>
            <w:rStyle w:val="Hyperlink"/>
            <w:rFonts w:cstheme="minorHAnsi"/>
            <w:sz w:val="16"/>
            <w:szCs w:val="16"/>
          </w:rPr>
          <w:t>https://www.parliament.nsw.gov.au/lcdocs/other/16179/Mr%20Rob%20Sharp%20-%202%20November%202021_Redacted.pdf</w:t>
        </w:r>
      </w:hyperlink>
      <w:r w:rsidRPr="003C69F6">
        <w:rPr>
          <w:rFonts w:cstheme="minorHAnsi"/>
          <w:sz w:val="16"/>
          <w:szCs w:val="16"/>
        </w:rPr>
        <w:t xml:space="preserve">; </w:t>
      </w:r>
    </w:p>
    <w:p w14:paraId="6120CDEE" w14:textId="7046E9D9" w:rsidR="00D72199" w:rsidRPr="003C69F6" w:rsidRDefault="00D72199" w:rsidP="00A469EA">
      <w:pPr>
        <w:pStyle w:val="FootnoteText"/>
        <w:rPr>
          <w:rFonts w:cstheme="minorHAnsi"/>
          <w:sz w:val="16"/>
          <w:szCs w:val="16"/>
        </w:rPr>
      </w:pPr>
      <w:r w:rsidRPr="003C69F6">
        <w:rPr>
          <w:rFonts w:cstheme="minorHAnsi"/>
          <w:sz w:val="16"/>
          <w:szCs w:val="16"/>
        </w:rPr>
        <w:t xml:space="preserve">Transcript: </w:t>
      </w:r>
      <w:hyperlink r:id="rId7" w:history="1">
        <w:r w:rsidRPr="003C69F6">
          <w:rPr>
            <w:rStyle w:val="Hyperlink"/>
            <w:rFonts w:cstheme="minorHAnsi"/>
            <w:sz w:val="16"/>
            <w:szCs w:val="16"/>
          </w:rPr>
          <w:t>https://www.parliament.nsw.gov.au/lcdocs/transcripts/2737/Transcript%20-%20UNCORRECTED%20-%20PC%206%20-%20Transport%20and%20Roads%20-%202%20November%202021.pdf</w:t>
        </w:r>
      </w:hyperlink>
    </w:p>
    <w:p w14:paraId="15603367" w14:textId="77777777" w:rsidR="00D72199" w:rsidRPr="003C69F6" w:rsidRDefault="00D72199" w:rsidP="00A469EA">
      <w:pPr>
        <w:pStyle w:val="FootnoteText"/>
        <w:rPr>
          <w:rFonts w:cstheme="minorHAnsi"/>
          <w:sz w:val="16"/>
          <w:szCs w:val="16"/>
          <w:lang w:val="en-AU"/>
        </w:rPr>
      </w:pPr>
    </w:p>
  </w:footnote>
  <w:footnote w:id="7">
    <w:p w14:paraId="22913BBB" w14:textId="62E7FBB7" w:rsidR="00D72199" w:rsidRPr="003C69F6" w:rsidRDefault="00D72199" w:rsidP="00A469EA">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r w:rsidR="009406DC" w:rsidRPr="003C69F6">
        <w:rPr>
          <w:rFonts w:cstheme="minorHAnsi"/>
          <w:sz w:val="16"/>
          <w:szCs w:val="16"/>
          <w:lang w:val="en-AU"/>
        </w:rPr>
        <w:t>E.g.,</w:t>
      </w:r>
      <w:r w:rsidRPr="003C69F6">
        <w:rPr>
          <w:rFonts w:cstheme="minorHAnsi"/>
          <w:sz w:val="16"/>
          <w:szCs w:val="16"/>
          <w:lang w:val="en-AU"/>
        </w:rPr>
        <w:t xml:space="preserve"> </w:t>
      </w:r>
      <w:hyperlink r:id="rId8" w:history="1">
        <w:r w:rsidRPr="003C69F6">
          <w:rPr>
            <w:rStyle w:val="Hyperlink"/>
            <w:rFonts w:cstheme="minorHAnsi"/>
            <w:sz w:val="16"/>
            <w:szCs w:val="16"/>
            <w:lang w:val="en-AU"/>
          </w:rPr>
          <w:t>https://www.themandarin.com.au/174587-brendan-lyon-exposes-the-rotten-world-of-high-stakes-consulting/</w:t>
        </w:r>
      </w:hyperlink>
    </w:p>
    <w:p w14:paraId="5F683590" w14:textId="77777777" w:rsidR="00D72199" w:rsidRPr="003C69F6" w:rsidRDefault="00D72199" w:rsidP="00A469EA">
      <w:pPr>
        <w:pStyle w:val="FootnoteText"/>
        <w:rPr>
          <w:rFonts w:cstheme="minorHAnsi"/>
          <w:sz w:val="16"/>
          <w:szCs w:val="16"/>
          <w:lang w:val="en-AU"/>
        </w:rPr>
      </w:pPr>
    </w:p>
  </w:footnote>
  <w:footnote w:id="8">
    <w:p w14:paraId="544C84D3" w14:textId="6283D944" w:rsidR="00456424" w:rsidRPr="003C69F6" w:rsidRDefault="00456424"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9" w:history="1">
        <w:r w:rsidR="00014545" w:rsidRPr="003C69F6">
          <w:rPr>
            <w:rStyle w:val="Hyperlink"/>
            <w:rFonts w:cstheme="minorHAnsi"/>
            <w:sz w:val="16"/>
            <w:szCs w:val="16"/>
          </w:rPr>
          <w:t>https://www.parliament.nsw.gov.au/lcdocs/transcripts/2768/Transcript%20-%20TAHE%20-%20Uncorrected%20-%208%20November%202021.pdf</w:t>
        </w:r>
      </w:hyperlink>
    </w:p>
    <w:p w14:paraId="61E44088" w14:textId="77777777" w:rsidR="00014545" w:rsidRPr="003C69F6" w:rsidRDefault="00014545" w:rsidP="00A469EA">
      <w:pPr>
        <w:pStyle w:val="FootnoteText"/>
        <w:rPr>
          <w:rFonts w:cstheme="minorHAnsi"/>
          <w:sz w:val="16"/>
          <w:szCs w:val="16"/>
          <w:lang w:val="en-AU"/>
        </w:rPr>
      </w:pPr>
    </w:p>
  </w:footnote>
  <w:footnote w:id="9">
    <w:p w14:paraId="7E9BE2A0" w14:textId="567DDDCD" w:rsidR="00957073" w:rsidRPr="003C69F6" w:rsidRDefault="00957073"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0" w:history="1">
        <w:r w:rsidR="00014545" w:rsidRPr="003C69F6">
          <w:rPr>
            <w:rStyle w:val="Hyperlink"/>
            <w:rFonts w:cstheme="minorHAnsi"/>
            <w:sz w:val="16"/>
            <w:szCs w:val="16"/>
          </w:rPr>
          <w:t>https://www.parliament.nsw.gov.au/lcdocs/submissions/76497/0008%20KPMG.pdf</w:t>
        </w:r>
      </w:hyperlink>
    </w:p>
    <w:p w14:paraId="337FEFC7" w14:textId="77777777" w:rsidR="00014545" w:rsidRPr="003C69F6" w:rsidRDefault="00014545" w:rsidP="00A469EA">
      <w:pPr>
        <w:pStyle w:val="FootnoteText"/>
        <w:rPr>
          <w:rFonts w:cstheme="minorHAnsi"/>
          <w:sz w:val="16"/>
          <w:szCs w:val="16"/>
          <w:lang w:val="en-AU"/>
        </w:rPr>
      </w:pPr>
    </w:p>
  </w:footnote>
  <w:footnote w:id="10">
    <w:p w14:paraId="49138375" w14:textId="77777777" w:rsidR="00BE2FDB" w:rsidRPr="003C69F6" w:rsidRDefault="00BE2FDB"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E.g. </w:t>
      </w:r>
      <w:hyperlink r:id="rId11" w:history="1">
        <w:r w:rsidRPr="003C69F6">
          <w:rPr>
            <w:rStyle w:val="Hyperlink"/>
            <w:rFonts w:cstheme="minorHAnsi"/>
            <w:sz w:val="16"/>
            <w:szCs w:val="16"/>
          </w:rPr>
          <w:t>https://www.afr.com/companies/professional-services/kpmg-says-conflicting-reports-were-both-in-scope-20211115-p5990b</w:t>
        </w:r>
      </w:hyperlink>
      <w:r w:rsidRPr="003C69F6">
        <w:rPr>
          <w:rFonts w:cstheme="minorHAnsi"/>
          <w:sz w:val="16"/>
          <w:szCs w:val="16"/>
        </w:rPr>
        <w:t xml:space="preserve">; </w:t>
      </w:r>
      <w:hyperlink r:id="rId12" w:history="1">
        <w:r w:rsidRPr="003C69F6">
          <w:rPr>
            <w:rStyle w:val="Hyperlink"/>
            <w:rFonts w:cstheme="minorHAnsi"/>
            <w:sz w:val="16"/>
            <w:szCs w:val="16"/>
          </w:rPr>
          <w:t>https://7news.com.au/business/tax/sacked-nsw-transport-boss-to-front-inquiry-c-4559021</w:t>
        </w:r>
      </w:hyperlink>
    </w:p>
    <w:p w14:paraId="0CA6F1B4" w14:textId="77777777" w:rsidR="00BE2FDB" w:rsidRPr="003C69F6" w:rsidRDefault="00BE2FDB" w:rsidP="00A469EA">
      <w:pPr>
        <w:pStyle w:val="FootnoteText"/>
        <w:rPr>
          <w:rFonts w:cstheme="minorHAnsi"/>
          <w:sz w:val="16"/>
          <w:szCs w:val="16"/>
          <w:lang w:val="en-AU"/>
        </w:rPr>
      </w:pPr>
    </w:p>
  </w:footnote>
  <w:footnote w:id="11">
    <w:p w14:paraId="2B4DE30A" w14:textId="37F11B69" w:rsidR="00014545" w:rsidRPr="003C69F6" w:rsidRDefault="00957073"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3" w:history="1">
        <w:r w:rsidR="00014545" w:rsidRPr="003C69F6">
          <w:rPr>
            <w:rStyle w:val="Hyperlink"/>
            <w:rFonts w:cstheme="minorHAnsi"/>
            <w:sz w:val="16"/>
            <w:szCs w:val="16"/>
          </w:rPr>
          <w:t>https://www.parliament.nsw.gov.au/lcdocs/transcripts/2769/Transcript%20-%20TAHE%20-%20Uncorrected%20-%2015%20November%202021.pdf</w:t>
        </w:r>
      </w:hyperlink>
    </w:p>
    <w:p w14:paraId="2855B146" w14:textId="1855B6AE" w:rsidR="00957073" w:rsidRPr="003C69F6" w:rsidRDefault="00CC3DB7" w:rsidP="00A469EA">
      <w:pPr>
        <w:pStyle w:val="FootnoteText"/>
        <w:rPr>
          <w:rFonts w:cstheme="minorHAnsi"/>
          <w:sz w:val="16"/>
          <w:szCs w:val="16"/>
        </w:rPr>
      </w:pPr>
      <w:hyperlink r:id="rId14" w:history="1">
        <w:r w:rsidR="00957073" w:rsidRPr="003C69F6">
          <w:rPr>
            <w:rStyle w:val="Hyperlink"/>
            <w:rFonts w:cstheme="minorHAnsi"/>
            <w:sz w:val="16"/>
            <w:szCs w:val="16"/>
          </w:rPr>
          <w:t>https://www.smh.com.au/national/nsw/nsw-s-top-transport-chief-to-step-down-after-three-years-in-role-20201118-p56fra.html</w:t>
        </w:r>
      </w:hyperlink>
    </w:p>
    <w:p w14:paraId="7A7E7FB3" w14:textId="77777777" w:rsidR="00957073" w:rsidRPr="003C69F6" w:rsidRDefault="00957073" w:rsidP="00A469EA">
      <w:pPr>
        <w:pStyle w:val="FootnoteText"/>
        <w:rPr>
          <w:rFonts w:cstheme="minorHAnsi"/>
          <w:sz w:val="16"/>
          <w:szCs w:val="16"/>
          <w:lang w:val="en-AU"/>
        </w:rPr>
      </w:pPr>
    </w:p>
  </w:footnote>
  <w:footnote w:id="12">
    <w:p w14:paraId="24FFD43D" w14:textId="77777777" w:rsidR="005D517F" w:rsidRPr="003C69F6" w:rsidRDefault="005D517F" w:rsidP="005D517F">
      <w:pPr>
        <w:pStyle w:val="FootnoteText"/>
        <w:rPr>
          <w:rFonts w:cstheme="minorHAnsi"/>
          <w:sz w:val="16"/>
          <w:szCs w:val="16"/>
        </w:rPr>
      </w:pPr>
      <w:r w:rsidRPr="003C69F6">
        <w:rPr>
          <w:rStyle w:val="FootnoteReference"/>
          <w:rFonts w:cstheme="minorHAnsi"/>
          <w:sz w:val="16"/>
          <w:szCs w:val="16"/>
        </w:rPr>
        <w:footnoteRef/>
      </w:r>
      <w:hyperlink r:id="rId15" w:history="1">
        <w:r w:rsidRPr="003C69F6">
          <w:rPr>
            <w:rStyle w:val="Hyperlink"/>
            <w:rFonts w:cstheme="minorHAnsi"/>
            <w:sz w:val="16"/>
            <w:szCs w:val="16"/>
          </w:rPr>
          <w:t>https://www.parliament.nsw.gov.au/lcdocs/other/16416/Letter%20from%20NSW%20Treasury%20responding%20to%20evidence%20provided%20by%20Mr%20Brendan%20Lyon,%20Former%20Partner,%20KPMG%20Australia%20redacted.pdf</w:t>
        </w:r>
      </w:hyperlink>
    </w:p>
    <w:p w14:paraId="057DEF92" w14:textId="77777777" w:rsidR="005D517F" w:rsidRPr="003C69F6" w:rsidRDefault="005D517F" w:rsidP="005D517F">
      <w:pPr>
        <w:pStyle w:val="FootnoteText"/>
        <w:rPr>
          <w:rFonts w:cstheme="minorHAnsi"/>
          <w:sz w:val="16"/>
          <w:szCs w:val="16"/>
          <w:lang w:val="en-AU"/>
        </w:rPr>
      </w:pPr>
    </w:p>
  </w:footnote>
  <w:footnote w:id="13">
    <w:p w14:paraId="6EE55A03" w14:textId="58F218BC" w:rsidR="00526592" w:rsidRPr="003C69F6" w:rsidRDefault="00526592">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6" w:history="1">
        <w:r w:rsidRPr="003C69F6">
          <w:rPr>
            <w:rStyle w:val="Hyperlink"/>
            <w:rFonts w:cstheme="minorHAnsi"/>
            <w:sz w:val="16"/>
            <w:szCs w:val="16"/>
          </w:rPr>
          <w:t>https://www.parliament.nsw.gov.au/lcdocs/transcripts/2784/Transcript%20-%20Uncorrected%20-%2016%20December%202021.pdf</w:t>
        </w:r>
      </w:hyperlink>
      <w:r w:rsidRPr="003C69F6">
        <w:rPr>
          <w:rFonts w:cstheme="minorHAnsi"/>
          <w:sz w:val="16"/>
          <w:szCs w:val="16"/>
        </w:rPr>
        <w:t xml:space="preserve"> at p.2</w:t>
      </w:r>
      <w:r w:rsidR="00A45529">
        <w:rPr>
          <w:rFonts w:cstheme="minorHAnsi"/>
          <w:sz w:val="16"/>
          <w:szCs w:val="16"/>
        </w:rPr>
        <w:t>.</w:t>
      </w:r>
    </w:p>
    <w:p w14:paraId="50801BAC" w14:textId="77777777" w:rsidR="00526592" w:rsidRPr="003C69F6" w:rsidRDefault="00526592">
      <w:pPr>
        <w:pStyle w:val="FootnoteText"/>
        <w:rPr>
          <w:rFonts w:cstheme="minorHAnsi"/>
          <w:sz w:val="16"/>
          <w:szCs w:val="16"/>
          <w:lang w:val="en-AU"/>
        </w:rPr>
      </w:pPr>
    </w:p>
  </w:footnote>
  <w:footnote w:id="14">
    <w:p w14:paraId="5126E583" w14:textId="2EE4F35C" w:rsidR="00044525" w:rsidRPr="003C69F6" w:rsidRDefault="00044525" w:rsidP="00A469EA">
      <w:pPr>
        <w:pStyle w:val="FootnoteText"/>
        <w:rPr>
          <w:rFonts w:cstheme="minorHAnsi"/>
          <w:sz w:val="16"/>
          <w:szCs w:val="16"/>
        </w:rPr>
      </w:pPr>
      <w:r w:rsidRPr="003C69F6">
        <w:rPr>
          <w:rStyle w:val="FootnoteReference"/>
          <w:rFonts w:cstheme="minorHAnsi"/>
          <w:sz w:val="16"/>
          <w:szCs w:val="16"/>
        </w:rPr>
        <w:footnoteRef/>
      </w:r>
      <w:hyperlink r:id="rId17" w:history="1">
        <w:r w:rsidRPr="003C69F6">
          <w:rPr>
            <w:rStyle w:val="Hyperlink"/>
            <w:rFonts w:cstheme="minorHAnsi"/>
            <w:sz w:val="16"/>
            <w:szCs w:val="16"/>
          </w:rPr>
          <w:t>https://www.parliament.nsw.gov.au/lcdocs/other/16306/Coorespondence%20between%20DPC%20and%20the%20Chair.pdf</w:t>
        </w:r>
      </w:hyperlink>
    </w:p>
    <w:p w14:paraId="2EC4D5B4" w14:textId="77777777" w:rsidR="00044525" w:rsidRPr="003C69F6" w:rsidRDefault="00044525" w:rsidP="00A469EA">
      <w:pPr>
        <w:pStyle w:val="FootnoteText"/>
        <w:rPr>
          <w:rFonts w:cstheme="minorHAnsi"/>
          <w:sz w:val="16"/>
          <w:szCs w:val="16"/>
          <w:lang w:val="en-AU"/>
        </w:rPr>
      </w:pPr>
    </w:p>
  </w:footnote>
  <w:footnote w:id="15">
    <w:p w14:paraId="78152AB2" w14:textId="77777777" w:rsidR="005C2248" w:rsidRPr="003C69F6" w:rsidRDefault="005C2248" w:rsidP="005C2248">
      <w:pPr>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Further:</w:t>
      </w:r>
      <w:r w:rsidRPr="003C69F6">
        <w:rPr>
          <w:rFonts w:cstheme="minorHAnsi"/>
          <w:i/>
          <w:iCs/>
          <w:sz w:val="16"/>
          <w:szCs w:val="16"/>
        </w:rPr>
        <w:t xml:space="preserve"> ‘The false narrative that TAHE is a conspiracy concocted by all these public servants and external accounting specialists to cook the State's books, as suggested by Lyon and others, is as insulting as it is beyond belief. The truth is that Treasury and the public sector in good faith were implementing complex micro-economic reform to provide significant benefits for the New South Wales public.’ </w:t>
      </w:r>
      <w:hyperlink r:id="rId18" w:history="1">
        <w:r w:rsidRPr="003C69F6">
          <w:rPr>
            <w:rStyle w:val="Hyperlink"/>
            <w:rFonts w:cstheme="minorHAnsi"/>
            <w:sz w:val="16"/>
            <w:szCs w:val="16"/>
          </w:rPr>
          <w:t>https://www.parliament.nsw.gov.au/lcdocs/transcripts/2784/Transcript%20-%20Uncorrected%20-%2016%20December%202021.pdf</w:t>
        </w:r>
      </w:hyperlink>
    </w:p>
  </w:footnote>
  <w:footnote w:id="16">
    <w:p w14:paraId="5F13EC2B"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hyperlink r:id="rId19" w:history="1">
        <w:r w:rsidRPr="003C69F6">
          <w:rPr>
            <w:rStyle w:val="Hyperlink"/>
            <w:rFonts w:cstheme="minorHAnsi"/>
            <w:sz w:val="16"/>
            <w:szCs w:val="16"/>
          </w:rPr>
          <w:t>https://www.parliament.nsw.gov.au/lcdocs/submissions/76629/0009%20NSW%20Treasury%20and%20Transport%20for%20NSW.pdf</w:t>
        </w:r>
      </w:hyperlink>
    </w:p>
    <w:p w14:paraId="1A58110E" w14:textId="77777777" w:rsidR="005C2248" w:rsidRPr="003C69F6" w:rsidRDefault="00CC3DB7" w:rsidP="005C2248">
      <w:pPr>
        <w:pStyle w:val="FootnoteText"/>
        <w:rPr>
          <w:rFonts w:cstheme="minorHAnsi"/>
          <w:sz w:val="16"/>
          <w:szCs w:val="16"/>
        </w:rPr>
      </w:pPr>
      <w:hyperlink r:id="rId20" w:history="1">
        <w:r w:rsidR="005C2248" w:rsidRPr="003C69F6">
          <w:rPr>
            <w:rStyle w:val="Hyperlink"/>
            <w:rFonts w:cstheme="minorHAnsi"/>
            <w:sz w:val="16"/>
            <w:szCs w:val="16"/>
          </w:rPr>
          <w:t>http://ncp.ncc.gov.au/docs/National%20Competition%20Policy%20Review%20report,%20The%20Hilmer%20Report,%20August%201993.pdf</w:t>
        </w:r>
      </w:hyperlink>
    </w:p>
    <w:p w14:paraId="3F92FAFC" w14:textId="77777777" w:rsidR="005C2248" w:rsidRPr="003C69F6" w:rsidRDefault="00CC3DB7" w:rsidP="005C2248">
      <w:pPr>
        <w:pStyle w:val="FootnoteText"/>
        <w:rPr>
          <w:rFonts w:cstheme="minorHAnsi"/>
          <w:sz w:val="16"/>
          <w:szCs w:val="16"/>
        </w:rPr>
      </w:pPr>
      <w:hyperlink r:id="rId21" w:history="1">
        <w:r w:rsidR="005C2248" w:rsidRPr="003C69F6">
          <w:rPr>
            <w:rStyle w:val="Hyperlink"/>
            <w:rFonts w:cstheme="minorHAnsi"/>
            <w:sz w:val="16"/>
            <w:szCs w:val="16"/>
          </w:rPr>
          <w:t>https://www.pc.gov.au/inquiries/completed/access/files/ncpagreement.pdf</w:t>
        </w:r>
      </w:hyperlink>
    </w:p>
    <w:p w14:paraId="04B37888" w14:textId="77777777" w:rsidR="005C2248" w:rsidRPr="003C69F6" w:rsidRDefault="00CC3DB7" w:rsidP="005C2248">
      <w:pPr>
        <w:pStyle w:val="FootnoteText"/>
        <w:rPr>
          <w:rFonts w:cstheme="minorHAnsi"/>
          <w:sz w:val="16"/>
          <w:szCs w:val="16"/>
        </w:rPr>
      </w:pPr>
      <w:hyperlink r:id="rId22" w:history="1">
        <w:r w:rsidR="005C2248" w:rsidRPr="003C69F6">
          <w:rPr>
            <w:rStyle w:val="Hyperlink"/>
            <w:rFonts w:cstheme="minorHAnsi"/>
            <w:sz w:val="16"/>
            <w:szCs w:val="16"/>
          </w:rPr>
          <w:t>https://www.treasury.nsw.gov.au/sites/default/files/2017-03/IGA-productivity-reforms.pdf</w:t>
        </w:r>
      </w:hyperlink>
    </w:p>
    <w:p w14:paraId="7423AADB" w14:textId="77777777" w:rsidR="005C2248" w:rsidRPr="003C69F6" w:rsidRDefault="005C2248" w:rsidP="005C2248">
      <w:pPr>
        <w:pStyle w:val="FootnoteText"/>
        <w:rPr>
          <w:rFonts w:cstheme="minorHAnsi"/>
          <w:sz w:val="16"/>
          <w:szCs w:val="16"/>
          <w:lang w:val="en-AU"/>
        </w:rPr>
      </w:pPr>
    </w:p>
  </w:footnote>
  <w:footnote w:id="17">
    <w:p w14:paraId="175E8F45"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23" w:history="1">
        <w:r w:rsidRPr="003C69F6">
          <w:rPr>
            <w:rStyle w:val="Hyperlink"/>
            <w:rFonts w:cstheme="minorHAnsi"/>
            <w:sz w:val="16"/>
            <w:szCs w:val="16"/>
          </w:rPr>
          <w:t>https://slll.cass.anu.edu.au/centres/andc/pet-shop-galah</w:t>
        </w:r>
      </w:hyperlink>
    </w:p>
    <w:p w14:paraId="21AAF959" w14:textId="77777777" w:rsidR="005C2248" w:rsidRPr="003C69F6" w:rsidRDefault="005C2248" w:rsidP="005C2248">
      <w:pPr>
        <w:pStyle w:val="FootnoteText"/>
        <w:rPr>
          <w:rFonts w:cstheme="minorHAnsi"/>
          <w:sz w:val="16"/>
          <w:szCs w:val="16"/>
          <w:lang w:val="en-AU"/>
        </w:rPr>
      </w:pPr>
    </w:p>
  </w:footnote>
  <w:footnote w:id="18">
    <w:p w14:paraId="372C9669"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24" w:history="1">
        <w:r w:rsidRPr="003C69F6">
          <w:rPr>
            <w:rStyle w:val="Hyperlink"/>
            <w:rFonts w:cstheme="minorHAnsi"/>
            <w:sz w:val="16"/>
            <w:szCs w:val="16"/>
          </w:rPr>
          <w:t>http://ncp.ncc.gov.au/pages/about</w:t>
        </w:r>
      </w:hyperlink>
      <w:r w:rsidRPr="003C69F6">
        <w:rPr>
          <w:rFonts w:cstheme="minorHAnsi"/>
          <w:sz w:val="16"/>
          <w:szCs w:val="16"/>
        </w:rPr>
        <w:t xml:space="preserve"> </w:t>
      </w:r>
    </w:p>
    <w:p w14:paraId="44931422" w14:textId="77777777" w:rsidR="005C2248" w:rsidRPr="003C69F6" w:rsidRDefault="005C2248" w:rsidP="005C2248">
      <w:pPr>
        <w:pStyle w:val="FootnoteText"/>
        <w:rPr>
          <w:rFonts w:cstheme="minorHAnsi"/>
          <w:sz w:val="16"/>
          <w:szCs w:val="16"/>
          <w:lang w:val="en-AU"/>
        </w:rPr>
      </w:pPr>
    </w:p>
  </w:footnote>
  <w:footnote w:id="19">
    <w:p w14:paraId="59783BF5"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25" w:history="1">
        <w:r w:rsidRPr="003C69F6">
          <w:rPr>
            <w:rStyle w:val="Hyperlink"/>
            <w:rFonts w:cstheme="minorHAnsi"/>
            <w:sz w:val="16"/>
            <w:szCs w:val="16"/>
          </w:rPr>
          <w:t>http://ncp.ncc.gov.au/docs/Competition%20Principles%20Agreement,%2011%20April%201995%20as%20amended%202007.pdf</w:t>
        </w:r>
      </w:hyperlink>
    </w:p>
    <w:p w14:paraId="74A11D83" w14:textId="77777777" w:rsidR="005C2248" w:rsidRPr="003C69F6" w:rsidRDefault="005C2248" w:rsidP="005C2248">
      <w:pPr>
        <w:pStyle w:val="FootnoteText"/>
        <w:rPr>
          <w:rFonts w:cstheme="minorHAnsi"/>
          <w:b/>
          <w:bCs/>
          <w:sz w:val="16"/>
          <w:szCs w:val="16"/>
          <w:lang w:val="en-AU"/>
        </w:rPr>
      </w:pPr>
    </w:p>
  </w:footnote>
  <w:footnote w:id="20">
    <w:p w14:paraId="2417EADE" w14:textId="692DE398" w:rsidR="00495859" w:rsidRPr="003C69F6" w:rsidRDefault="00495859">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r w:rsidRPr="003C69F6">
        <w:rPr>
          <w:rFonts w:cstheme="minorHAnsi"/>
          <w:sz w:val="16"/>
          <w:szCs w:val="16"/>
          <w:lang w:val="en-AU"/>
        </w:rPr>
        <w:t>At first the issue was whether Government rail freight operators were advantaged over private firms</w:t>
      </w:r>
      <w:r w:rsidR="00206AFB" w:rsidRPr="003C69F6">
        <w:rPr>
          <w:rFonts w:cstheme="minorHAnsi"/>
          <w:sz w:val="16"/>
          <w:szCs w:val="16"/>
          <w:lang w:val="en-AU"/>
        </w:rPr>
        <w:t xml:space="preserve"> because of Government practices</w:t>
      </w:r>
      <w:r w:rsidRPr="003C69F6">
        <w:rPr>
          <w:rFonts w:cstheme="minorHAnsi"/>
          <w:sz w:val="16"/>
          <w:szCs w:val="16"/>
          <w:lang w:val="en-AU"/>
        </w:rPr>
        <w:t>.  One given reason was the practice of providing funding to Government operators for community service obligations.  As against this, there were claims the funding was inadequate</w:t>
      </w:r>
      <w:r w:rsidR="00206AFB" w:rsidRPr="003C69F6">
        <w:rPr>
          <w:rFonts w:cstheme="minorHAnsi"/>
          <w:sz w:val="16"/>
          <w:szCs w:val="16"/>
          <w:lang w:val="en-AU"/>
        </w:rPr>
        <w:t xml:space="preserve"> in not including return of and on capital components.  The vexed questions arising could only really be resolved by privatisation – with most freight operations vertically separated and in private hands by the early 2000s.</w:t>
      </w:r>
    </w:p>
    <w:p w14:paraId="3657611B" w14:textId="195F742E" w:rsidR="00206AFB" w:rsidRPr="003C69F6" w:rsidRDefault="00206AFB">
      <w:pPr>
        <w:pStyle w:val="FootnoteText"/>
        <w:rPr>
          <w:rFonts w:cstheme="minorHAnsi"/>
          <w:sz w:val="16"/>
          <w:szCs w:val="16"/>
          <w:lang w:val="en-AU"/>
        </w:rPr>
      </w:pPr>
      <w:r w:rsidRPr="003C69F6">
        <w:rPr>
          <w:rFonts w:cstheme="minorHAnsi"/>
          <w:sz w:val="16"/>
          <w:szCs w:val="16"/>
          <w:lang w:val="en-AU"/>
        </w:rPr>
        <w:t xml:space="preserve">This revealed a much more substantial issue of neutrality – parties using Government owned track paid direct charges, but needed to compete with road transport that appeared likely subsidised via ‘free’ capital for roads that competed with railways and cross-subsidies from roads that did not.  This led to the Productivity Commission inquiry into ‘Road and Rail Infrastructure Pricing’ – which should be regarded as a failure – see </w:t>
      </w:r>
      <w:r w:rsidR="0066649C">
        <w:rPr>
          <w:rFonts w:cstheme="minorHAnsi"/>
          <w:sz w:val="16"/>
          <w:szCs w:val="16"/>
          <w:lang w:val="en-AU"/>
        </w:rPr>
        <w:t>section 3.5.6 below</w:t>
      </w:r>
      <w:r w:rsidRPr="003C69F6">
        <w:rPr>
          <w:rFonts w:cstheme="minorHAnsi"/>
          <w:sz w:val="16"/>
          <w:szCs w:val="16"/>
          <w:lang w:val="en-AU"/>
        </w:rPr>
        <w:t>.</w:t>
      </w:r>
    </w:p>
    <w:p w14:paraId="4483DDFA" w14:textId="51350E0B" w:rsidR="00206AFB" w:rsidRPr="003C69F6" w:rsidRDefault="00206AFB">
      <w:pPr>
        <w:pStyle w:val="FootnoteText"/>
        <w:rPr>
          <w:rFonts w:cstheme="minorHAnsi"/>
          <w:sz w:val="16"/>
          <w:szCs w:val="16"/>
          <w:lang w:val="en-AU"/>
        </w:rPr>
      </w:pPr>
    </w:p>
  </w:footnote>
  <w:footnote w:id="21">
    <w:p w14:paraId="63F61FED"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That coal was a target was confirmed by the ‘coal haulage moratorium’ in which NSW and Queensland could keep the Government coal haulage monopoly until 2000: </w:t>
      </w:r>
      <w:hyperlink r:id="rId26" w:history="1">
        <w:r w:rsidRPr="003C69F6">
          <w:rPr>
            <w:rStyle w:val="Hyperlink"/>
            <w:rFonts w:cstheme="minorHAnsi"/>
            <w:sz w:val="16"/>
            <w:szCs w:val="16"/>
          </w:rPr>
          <w:t>https://www.pc.gov.au/inquiries/completed/black-coal/submissions/nsw_government_/sub026.pdf</w:t>
        </w:r>
      </w:hyperlink>
    </w:p>
    <w:p w14:paraId="7433B251" w14:textId="77777777" w:rsidR="005C2248" w:rsidRPr="003C69F6" w:rsidRDefault="005C2248" w:rsidP="005C2248">
      <w:pPr>
        <w:pStyle w:val="FootnoteText"/>
        <w:rPr>
          <w:rFonts w:cstheme="minorHAnsi"/>
          <w:sz w:val="16"/>
          <w:szCs w:val="16"/>
          <w:lang w:val="en-AU"/>
        </w:rPr>
      </w:pPr>
    </w:p>
  </w:footnote>
  <w:footnote w:id="22">
    <w:p w14:paraId="7E4CCADA"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hyperlink r:id="rId27" w:history="1">
        <w:r w:rsidRPr="003C69F6">
          <w:rPr>
            <w:rStyle w:val="Hyperlink"/>
            <w:rFonts w:cstheme="minorHAnsi"/>
            <w:sz w:val="16"/>
            <w:szCs w:val="16"/>
          </w:rPr>
          <w:t>http://ncp.ncc.gov.au/docs/National%20Competition%20Policy%20Review%20report,%20The%20Hilmer%20Report,%20August%201993.pdf</w:t>
        </w:r>
      </w:hyperlink>
      <w:r w:rsidRPr="003C69F6">
        <w:rPr>
          <w:rFonts w:cstheme="minorHAnsi"/>
          <w:sz w:val="16"/>
          <w:szCs w:val="16"/>
        </w:rPr>
        <w:t xml:space="preserve"> at p.195</w:t>
      </w:r>
    </w:p>
    <w:p w14:paraId="630F1018" w14:textId="77777777" w:rsidR="005C2248" w:rsidRPr="003C69F6" w:rsidRDefault="005C2248" w:rsidP="005C2248">
      <w:pPr>
        <w:pStyle w:val="FootnoteText"/>
        <w:rPr>
          <w:rFonts w:cstheme="minorHAnsi"/>
          <w:sz w:val="16"/>
          <w:szCs w:val="16"/>
          <w:lang w:val="en-AU"/>
        </w:rPr>
      </w:pPr>
    </w:p>
  </w:footnote>
  <w:footnote w:id="23">
    <w:p w14:paraId="53E94F25"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For example, seeking contemporaneous competition on tracks used by commuter trains.  Or the passage of over three years, nit-picking and an independent review by the NSW (competition) regulator, for the NSW rail access regime to be certified as nationally ‘effective’ for just one year – starting just before the Glenbrook crash.  Among the reasons for reluctance for holding it to be effective – its potential effect outside NSW! </w:t>
      </w:r>
      <w:hyperlink r:id="rId28" w:history="1">
        <w:r w:rsidRPr="003C69F6">
          <w:rPr>
            <w:rStyle w:val="Hyperlink"/>
            <w:rFonts w:cstheme="minorHAnsi"/>
            <w:sz w:val="16"/>
            <w:szCs w:val="16"/>
          </w:rPr>
          <w:t>https://ncc.gov.au/images/uploads/CERaNsDe-001.pdf</w:t>
        </w:r>
      </w:hyperlink>
    </w:p>
    <w:p w14:paraId="388E23E5" w14:textId="77777777" w:rsidR="005C2248" w:rsidRPr="003C69F6" w:rsidRDefault="005C2248" w:rsidP="005C2248">
      <w:pPr>
        <w:pStyle w:val="FootnoteText"/>
        <w:rPr>
          <w:rFonts w:cstheme="minorHAnsi"/>
          <w:sz w:val="16"/>
          <w:szCs w:val="16"/>
        </w:rPr>
      </w:pPr>
      <w:r w:rsidRPr="003C69F6">
        <w:rPr>
          <w:rFonts w:cstheme="minorHAnsi"/>
          <w:sz w:val="16"/>
          <w:szCs w:val="16"/>
        </w:rPr>
        <w:t xml:space="preserve"> </w:t>
      </w:r>
      <w:hyperlink r:id="rId29" w:history="1">
        <w:r w:rsidRPr="003C69F6">
          <w:rPr>
            <w:rStyle w:val="Hyperlink"/>
            <w:rFonts w:cstheme="minorHAnsi"/>
            <w:sz w:val="16"/>
            <w:szCs w:val="16"/>
          </w:rPr>
          <w:t>https://www.ipart.nsw.gov.au/sites/default/files/documents/draft_report_-_aspects_of_the_nsw_rail_access_regime_-_february_1999.pdf</w:t>
        </w:r>
      </w:hyperlink>
      <w:r w:rsidRPr="003C69F6">
        <w:rPr>
          <w:rFonts w:cstheme="minorHAnsi"/>
          <w:sz w:val="16"/>
          <w:szCs w:val="16"/>
        </w:rPr>
        <w:t xml:space="preserve">, </w:t>
      </w:r>
      <w:hyperlink r:id="rId30" w:history="1">
        <w:r w:rsidRPr="003C69F6">
          <w:rPr>
            <w:rStyle w:val="Hyperlink"/>
            <w:rFonts w:cstheme="minorHAnsi"/>
            <w:sz w:val="16"/>
            <w:szCs w:val="16"/>
          </w:rPr>
          <w:t>http://ncp.ncc.gov.au/docs/PIAn00-001.pdf</w:t>
        </w:r>
      </w:hyperlink>
    </w:p>
    <w:p w14:paraId="4003DFC8" w14:textId="77777777" w:rsidR="005C2248" w:rsidRPr="003C69F6" w:rsidRDefault="005C2248" w:rsidP="005C2248">
      <w:pPr>
        <w:pStyle w:val="FootnoteText"/>
        <w:rPr>
          <w:rFonts w:cstheme="minorHAnsi"/>
          <w:sz w:val="16"/>
          <w:szCs w:val="16"/>
          <w:lang w:val="en-AU"/>
        </w:rPr>
      </w:pPr>
    </w:p>
  </w:footnote>
  <w:footnote w:id="24">
    <w:p w14:paraId="6FACE275"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The process for an access declaration of a Western Australian iron ore line took nearly a decade from 2004-2013, and involved the High Court.  </w:t>
      </w:r>
      <w:hyperlink r:id="rId31" w:history="1">
        <w:r w:rsidRPr="003C69F6">
          <w:rPr>
            <w:rStyle w:val="Hyperlink"/>
            <w:rFonts w:cstheme="minorHAnsi"/>
            <w:sz w:val="16"/>
            <w:szCs w:val="16"/>
          </w:rPr>
          <w:t>https://www.australiancompetitionlaw.org/cases/fortescue.html</w:t>
        </w:r>
      </w:hyperlink>
      <w:r w:rsidRPr="003C69F6">
        <w:rPr>
          <w:rFonts w:cstheme="minorHAnsi"/>
          <w:sz w:val="16"/>
          <w:szCs w:val="16"/>
        </w:rPr>
        <w:t xml:space="preserve">.  Also noteworthy are criticisms of the NSW access regime’s floor and ceiling provisions as being too vague to be of use: </w:t>
      </w:r>
    </w:p>
    <w:p w14:paraId="5678846F" w14:textId="77777777" w:rsidR="005C2248" w:rsidRPr="003C69F6" w:rsidRDefault="005C2248" w:rsidP="005C2248">
      <w:pPr>
        <w:pStyle w:val="FootnoteText"/>
        <w:rPr>
          <w:rFonts w:cstheme="minorHAnsi"/>
          <w:sz w:val="16"/>
          <w:szCs w:val="16"/>
          <w:lang w:val="en-AU"/>
        </w:rPr>
      </w:pPr>
    </w:p>
  </w:footnote>
  <w:footnote w:id="25">
    <w:p w14:paraId="687D7FBF"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32" w:history="1">
        <w:r w:rsidRPr="003C69F6">
          <w:rPr>
            <w:rStyle w:val="Hyperlink"/>
            <w:rFonts w:cstheme="minorHAnsi"/>
            <w:sz w:val="16"/>
            <w:szCs w:val="16"/>
          </w:rPr>
          <w:t>https://www.legislation.gov.au/Details/C2018C00437 s.44B</w:t>
        </w:r>
      </w:hyperlink>
      <w:r w:rsidRPr="003C69F6">
        <w:rPr>
          <w:rFonts w:cstheme="minorHAnsi"/>
          <w:sz w:val="16"/>
          <w:szCs w:val="16"/>
        </w:rPr>
        <w:t xml:space="preserve">; </w:t>
      </w:r>
      <w:hyperlink r:id="rId33" w:history="1">
        <w:r w:rsidRPr="003C69F6">
          <w:rPr>
            <w:rStyle w:val="Hyperlink"/>
            <w:rFonts w:cstheme="minorHAnsi"/>
            <w:sz w:val="16"/>
            <w:szCs w:val="16"/>
          </w:rPr>
          <w:t>https://www.thejadebeagle.com/road-reform.html</w:t>
        </w:r>
      </w:hyperlink>
      <w:r w:rsidRPr="003C69F6">
        <w:rPr>
          <w:rFonts w:cstheme="minorHAnsi"/>
          <w:sz w:val="16"/>
          <w:szCs w:val="16"/>
        </w:rPr>
        <w:t xml:space="preserve">; </w:t>
      </w:r>
      <w:hyperlink r:id="rId34" w:history="1">
        <w:r w:rsidRPr="003C69F6">
          <w:rPr>
            <w:rStyle w:val="Hyperlink"/>
            <w:rFonts w:cstheme="minorHAnsi"/>
            <w:sz w:val="16"/>
            <w:szCs w:val="16"/>
          </w:rPr>
          <w:t>https://www.thejadebeagle.com/roads-3-htfu.html</w:t>
        </w:r>
      </w:hyperlink>
      <w:r w:rsidRPr="003C69F6">
        <w:rPr>
          <w:rFonts w:cstheme="minorHAnsi"/>
          <w:sz w:val="16"/>
          <w:szCs w:val="16"/>
        </w:rPr>
        <w:t xml:space="preserve">; </w:t>
      </w:r>
    </w:p>
    <w:p w14:paraId="319AB208" w14:textId="77777777" w:rsidR="005C2248" w:rsidRPr="003C69F6" w:rsidRDefault="005C2248" w:rsidP="005C2248">
      <w:pPr>
        <w:pStyle w:val="FootnoteText"/>
        <w:rPr>
          <w:rFonts w:cstheme="minorHAnsi"/>
          <w:sz w:val="16"/>
          <w:szCs w:val="16"/>
          <w:lang w:val="en-AU"/>
        </w:rPr>
      </w:pPr>
    </w:p>
  </w:footnote>
  <w:footnote w:id="26">
    <w:p w14:paraId="16ACA91C"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hyperlink r:id="rId35" w:history="1">
        <w:r w:rsidRPr="003C69F6">
          <w:rPr>
            <w:rStyle w:val="Hyperlink"/>
            <w:rFonts w:cstheme="minorHAnsi"/>
            <w:sz w:val="16"/>
            <w:szCs w:val="16"/>
          </w:rPr>
          <w:t>http://ncp.ncc.gov.au/docs/Competition%20Principles%20Agreement,%2011%20April%201995%20as%20amended%202007.pdf</w:t>
        </w:r>
      </w:hyperlink>
    </w:p>
    <w:p w14:paraId="78E06698" w14:textId="77777777" w:rsidR="005C2248" w:rsidRPr="003C69F6" w:rsidRDefault="005C2248" w:rsidP="005C2248">
      <w:pPr>
        <w:pStyle w:val="FootnoteText"/>
        <w:rPr>
          <w:rFonts w:cstheme="minorHAnsi"/>
          <w:sz w:val="16"/>
          <w:szCs w:val="16"/>
          <w:lang w:val="en-AU"/>
        </w:rPr>
      </w:pPr>
    </w:p>
  </w:footnote>
  <w:footnote w:id="27">
    <w:p w14:paraId="53CCC3BD"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36" w:history="1">
        <w:r w:rsidRPr="003C69F6">
          <w:rPr>
            <w:rStyle w:val="Hyperlink"/>
            <w:rFonts w:cstheme="minorHAnsi"/>
            <w:sz w:val="16"/>
            <w:szCs w:val="16"/>
          </w:rPr>
          <w:t>https://www.thejadebeagle.com/policy-spad.html</w:t>
        </w:r>
      </w:hyperlink>
    </w:p>
    <w:p w14:paraId="717E0080" w14:textId="77777777" w:rsidR="005C2248" w:rsidRPr="003C69F6" w:rsidRDefault="005C2248" w:rsidP="005C2248">
      <w:pPr>
        <w:pStyle w:val="FootnoteText"/>
        <w:rPr>
          <w:rFonts w:cstheme="minorHAnsi"/>
          <w:sz w:val="16"/>
          <w:szCs w:val="16"/>
          <w:lang w:val="en-AU"/>
        </w:rPr>
      </w:pPr>
    </w:p>
  </w:footnote>
  <w:footnote w:id="28">
    <w:p w14:paraId="585F2A03" w14:textId="1D394647" w:rsidR="00A74FA7" w:rsidRPr="003C69F6" w:rsidRDefault="00A74FA7">
      <w:pPr>
        <w:pStyle w:val="FootnoteText"/>
        <w:rPr>
          <w:rFonts w:cstheme="minorHAnsi"/>
          <w:sz w:val="16"/>
          <w:szCs w:val="16"/>
        </w:rPr>
      </w:pPr>
      <w:r w:rsidRPr="003C69F6">
        <w:rPr>
          <w:rStyle w:val="FootnoteReference"/>
          <w:rFonts w:cstheme="minorHAnsi"/>
          <w:sz w:val="16"/>
          <w:szCs w:val="16"/>
        </w:rPr>
        <w:footnoteRef/>
      </w:r>
      <w:r w:rsidR="00DF5228" w:rsidRPr="003C69F6">
        <w:rPr>
          <w:rFonts w:cstheme="minorHAnsi"/>
          <w:sz w:val="16"/>
          <w:szCs w:val="16"/>
        </w:rPr>
        <w:t>E.g.,</w:t>
      </w:r>
      <w:r w:rsidRPr="003C69F6">
        <w:rPr>
          <w:rFonts w:cstheme="minorHAnsi"/>
          <w:sz w:val="16"/>
          <w:szCs w:val="16"/>
        </w:rPr>
        <w:t xml:space="preserve"> </w:t>
      </w:r>
      <w:hyperlink r:id="rId37" w:history="1">
        <w:r w:rsidRPr="003C69F6">
          <w:rPr>
            <w:rStyle w:val="Hyperlink"/>
            <w:rFonts w:cstheme="minorHAnsi"/>
            <w:sz w:val="16"/>
            <w:szCs w:val="16"/>
          </w:rPr>
          <w:t>https://www.tmr.qld.gov.au/-/media/busind/Transport-sectors/Rail/Pdf_rpf_review_of_rail_safety_legislation.pdf?la=en</w:t>
        </w:r>
      </w:hyperlink>
    </w:p>
    <w:p w14:paraId="6F58DEAD" w14:textId="77777777" w:rsidR="00A74FA7" w:rsidRPr="003C69F6" w:rsidRDefault="00A74FA7">
      <w:pPr>
        <w:pStyle w:val="FootnoteText"/>
        <w:rPr>
          <w:rFonts w:cstheme="minorHAnsi"/>
          <w:sz w:val="16"/>
          <w:szCs w:val="16"/>
          <w:lang w:val="en-AU"/>
        </w:rPr>
      </w:pPr>
    </w:p>
  </w:footnote>
  <w:footnote w:id="29">
    <w:p w14:paraId="6F3DE23E" w14:textId="521D6930" w:rsidR="00DE0350" w:rsidRPr="003C69F6" w:rsidRDefault="00DE0350">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r w:rsidRPr="003C69F6">
        <w:rPr>
          <w:rFonts w:cstheme="minorHAnsi"/>
          <w:sz w:val="16"/>
          <w:szCs w:val="16"/>
          <w:lang w:val="en-AU"/>
        </w:rPr>
        <w:t>Arguabl</w:t>
      </w:r>
      <w:r w:rsidR="0050784A" w:rsidRPr="003C69F6">
        <w:rPr>
          <w:rFonts w:cstheme="minorHAnsi"/>
          <w:sz w:val="16"/>
          <w:szCs w:val="16"/>
          <w:lang w:val="en-AU"/>
        </w:rPr>
        <w:t>y</w:t>
      </w:r>
      <w:r w:rsidRPr="003C69F6">
        <w:rPr>
          <w:rFonts w:cstheme="minorHAnsi"/>
          <w:sz w:val="16"/>
          <w:szCs w:val="16"/>
          <w:lang w:val="en-AU"/>
        </w:rPr>
        <w:t xml:space="preserve"> corporatisation of infrastructure </w:t>
      </w:r>
      <w:r w:rsidR="0050784A" w:rsidRPr="003C69F6">
        <w:rPr>
          <w:rFonts w:cstheme="minorHAnsi"/>
          <w:sz w:val="16"/>
          <w:szCs w:val="16"/>
          <w:lang w:val="en-AU"/>
        </w:rPr>
        <w:t>i</w:t>
      </w:r>
      <w:r w:rsidRPr="003C69F6">
        <w:rPr>
          <w:rFonts w:cstheme="minorHAnsi"/>
          <w:sz w:val="16"/>
          <w:szCs w:val="16"/>
          <w:lang w:val="en-AU"/>
        </w:rPr>
        <w:t>s anti-competitive.  Th</w:t>
      </w:r>
      <w:r w:rsidR="00B80659" w:rsidRPr="003C69F6">
        <w:rPr>
          <w:rFonts w:cstheme="minorHAnsi"/>
          <w:sz w:val="16"/>
          <w:szCs w:val="16"/>
          <w:lang w:val="en-AU"/>
        </w:rPr>
        <w:t>e</w:t>
      </w:r>
      <w:r w:rsidRPr="003C69F6">
        <w:rPr>
          <w:rFonts w:cstheme="minorHAnsi"/>
          <w:sz w:val="16"/>
          <w:szCs w:val="16"/>
          <w:lang w:val="en-AU"/>
        </w:rPr>
        <w:t xml:space="preserve"> corporate infrastructure owner has </w:t>
      </w:r>
      <w:r w:rsidR="00B80659" w:rsidRPr="003C69F6">
        <w:rPr>
          <w:rFonts w:cstheme="minorHAnsi"/>
          <w:sz w:val="16"/>
          <w:szCs w:val="16"/>
          <w:lang w:val="en-AU"/>
        </w:rPr>
        <w:t>more</w:t>
      </w:r>
      <w:r w:rsidRPr="003C69F6">
        <w:rPr>
          <w:rFonts w:cstheme="minorHAnsi"/>
          <w:sz w:val="16"/>
          <w:szCs w:val="16"/>
          <w:lang w:val="en-AU"/>
        </w:rPr>
        <w:t xml:space="preserve"> incentive to pursue profits </w:t>
      </w:r>
      <w:r w:rsidR="0050784A" w:rsidRPr="003C69F6">
        <w:rPr>
          <w:rFonts w:cstheme="minorHAnsi"/>
          <w:sz w:val="16"/>
          <w:szCs w:val="16"/>
          <w:lang w:val="en-AU"/>
        </w:rPr>
        <w:t xml:space="preserve">- </w:t>
      </w:r>
      <w:r w:rsidRPr="003C69F6">
        <w:rPr>
          <w:rFonts w:cstheme="minorHAnsi"/>
          <w:sz w:val="16"/>
          <w:szCs w:val="16"/>
          <w:lang w:val="en-AU"/>
        </w:rPr>
        <w:t xml:space="preserve">use </w:t>
      </w:r>
      <w:r w:rsidR="00A11E56" w:rsidRPr="003C69F6">
        <w:rPr>
          <w:rFonts w:cstheme="minorHAnsi"/>
          <w:sz w:val="16"/>
          <w:szCs w:val="16"/>
          <w:lang w:val="en-AU"/>
        </w:rPr>
        <w:t>m</w:t>
      </w:r>
      <w:r w:rsidRPr="003C69F6">
        <w:rPr>
          <w:rFonts w:cstheme="minorHAnsi"/>
          <w:sz w:val="16"/>
          <w:szCs w:val="16"/>
          <w:lang w:val="en-AU"/>
        </w:rPr>
        <w:t>onopoly po</w:t>
      </w:r>
      <w:r w:rsidR="00A11E56" w:rsidRPr="003C69F6">
        <w:rPr>
          <w:rFonts w:cstheme="minorHAnsi"/>
          <w:sz w:val="16"/>
          <w:szCs w:val="16"/>
          <w:lang w:val="en-AU"/>
        </w:rPr>
        <w:t>wer against rail operators and access seekers</w:t>
      </w:r>
      <w:r w:rsidRPr="003C69F6">
        <w:rPr>
          <w:rFonts w:cstheme="minorHAnsi"/>
          <w:sz w:val="16"/>
          <w:szCs w:val="16"/>
          <w:lang w:val="en-AU"/>
        </w:rPr>
        <w:t>.</w:t>
      </w:r>
      <w:r w:rsidR="00B80659" w:rsidRPr="003C69F6">
        <w:rPr>
          <w:rFonts w:cstheme="minorHAnsi"/>
          <w:sz w:val="16"/>
          <w:szCs w:val="16"/>
          <w:lang w:val="en-AU"/>
        </w:rPr>
        <w:t xml:space="preserve"> </w:t>
      </w:r>
      <w:r w:rsidR="0050784A" w:rsidRPr="003C69F6">
        <w:rPr>
          <w:rFonts w:cstheme="minorHAnsi"/>
          <w:sz w:val="16"/>
          <w:szCs w:val="16"/>
          <w:lang w:val="en-AU"/>
        </w:rPr>
        <w:t xml:space="preserve">There are </w:t>
      </w:r>
      <w:r w:rsidR="00B80659" w:rsidRPr="003C69F6">
        <w:rPr>
          <w:rFonts w:cstheme="minorHAnsi"/>
          <w:sz w:val="16"/>
          <w:szCs w:val="16"/>
          <w:lang w:val="en-AU"/>
        </w:rPr>
        <w:t>other</w:t>
      </w:r>
      <w:r w:rsidR="0050784A" w:rsidRPr="003C69F6">
        <w:rPr>
          <w:rFonts w:cstheme="minorHAnsi"/>
          <w:sz w:val="16"/>
          <w:szCs w:val="16"/>
          <w:lang w:val="en-AU"/>
        </w:rPr>
        <w:t xml:space="preserve"> doubts about the merit of corporatisation of rail infrastructure. </w:t>
      </w:r>
      <w:r w:rsidR="00B80659" w:rsidRPr="003C69F6">
        <w:rPr>
          <w:rFonts w:cstheme="minorHAnsi"/>
          <w:sz w:val="16"/>
          <w:szCs w:val="16"/>
          <w:lang w:val="en-AU"/>
        </w:rPr>
        <w:t>R</w:t>
      </w:r>
      <w:r w:rsidR="00A11E56" w:rsidRPr="003C69F6">
        <w:rPr>
          <w:rFonts w:cstheme="minorHAnsi"/>
          <w:sz w:val="16"/>
          <w:szCs w:val="16"/>
          <w:lang w:val="en-AU"/>
        </w:rPr>
        <w:t xml:space="preserve">ail </w:t>
      </w:r>
      <w:r w:rsidR="0050784A" w:rsidRPr="003C69F6">
        <w:rPr>
          <w:rFonts w:cstheme="minorHAnsi"/>
          <w:sz w:val="16"/>
          <w:szCs w:val="16"/>
          <w:lang w:val="en-AU"/>
        </w:rPr>
        <w:t>infrastructure is further from the market than rail operations.  Corporatisation theory would have rail operations corporatized ahead of infrastructure.  This was/is conspicuously not the case in NSW.</w:t>
      </w:r>
      <w:r w:rsidR="00B80659" w:rsidRPr="003C69F6">
        <w:rPr>
          <w:rFonts w:cstheme="minorHAnsi"/>
          <w:sz w:val="16"/>
          <w:szCs w:val="16"/>
          <w:lang w:val="en-AU"/>
        </w:rPr>
        <w:t xml:space="preserve">  C</w:t>
      </w:r>
      <w:r w:rsidR="0050784A" w:rsidRPr="003C69F6">
        <w:rPr>
          <w:rFonts w:cstheme="minorHAnsi"/>
          <w:sz w:val="16"/>
          <w:szCs w:val="16"/>
          <w:lang w:val="en-AU"/>
        </w:rPr>
        <w:t xml:space="preserve">ompetition to railways largely comes from roads.  Roads are not corporatized, and there are suspicions those that compete with railways are (cross) subsidised (see note 20 above).  </w:t>
      </w:r>
      <w:r w:rsidR="00A11E56" w:rsidRPr="003C69F6">
        <w:rPr>
          <w:rFonts w:cstheme="minorHAnsi"/>
          <w:sz w:val="16"/>
          <w:szCs w:val="16"/>
          <w:lang w:val="en-AU"/>
        </w:rPr>
        <w:t>Such subsidisation means rail (infrastructure) is marginal.</w:t>
      </w:r>
      <w:r w:rsidR="0050784A" w:rsidRPr="003C69F6">
        <w:rPr>
          <w:rFonts w:cstheme="minorHAnsi"/>
          <w:sz w:val="16"/>
          <w:szCs w:val="16"/>
          <w:lang w:val="en-AU"/>
        </w:rPr>
        <w:t xml:space="preserve"> </w:t>
      </w:r>
      <w:r w:rsidR="00A11E56" w:rsidRPr="003C69F6">
        <w:rPr>
          <w:rFonts w:cstheme="minorHAnsi"/>
          <w:sz w:val="16"/>
          <w:szCs w:val="16"/>
          <w:lang w:val="en-AU"/>
        </w:rPr>
        <w:t xml:space="preserve">For these reasons, there are suspicions that NSW corporatisation </w:t>
      </w:r>
      <w:r w:rsidR="00B80659" w:rsidRPr="003C69F6">
        <w:rPr>
          <w:rFonts w:cstheme="minorHAnsi"/>
          <w:sz w:val="16"/>
          <w:szCs w:val="16"/>
          <w:lang w:val="en-AU"/>
        </w:rPr>
        <w:t>has</w:t>
      </w:r>
      <w:r w:rsidR="00A11E56" w:rsidRPr="003C69F6">
        <w:rPr>
          <w:rFonts w:cstheme="minorHAnsi"/>
          <w:sz w:val="16"/>
          <w:szCs w:val="16"/>
          <w:lang w:val="en-AU"/>
        </w:rPr>
        <w:t xml:space="preserve"> a different agenda – of bureaucratic control over railways by Treasury. Such suspicions are amplified by unique legislati</w:t>
      </w:r>
      <w:r w:rsidR="00B80659" w:rsidRPr="003C69F6">
        <w:rPr>
          <w:rFonts w:cstheme="minorHAnsi"/>
          <w:sz w:val="16"/>
          <w:szCs w:val="16"/>
          <w:lang w:val="en-AU"/>
        </w:rPr>
        <w:t>on</w:t>
      </w:r>
      <w:r w:rsidR="00A11E56" w:rsidRPr="003C69F6">
        <w:rPr>
          <w:rFonts w:cstheme="minorHAnsi"/>
          <w:sz w:val="16"/>
          <w:szCs w:val="16"/>
          <w:lang w:val="en-AU"/>
        </w:rPr>
        <w:t xml:space="preserve"> in which the Minister for Transport is not a ‘shareholder’ and in most cases needs shareholder permission (!) to provide public interest directions.</w:t>
      </w:r>
      <w:r w:rsidR="0050784A" w:rsidRPr="003C69F6">
        <w:rPr>
          <w:rFonts w:cstheme="minorHAnsi"/>
          <w:sz w:val="16"/>
          <w:szCs w:val="16"/>
          <w:lang w:val="en-AU"/>
        </w:rPr>
        <w:t xml:space="preserve">    </w:t>
      </w:r>
    </w:p>
    <w:p w14:paraId="4DC16D81" w14:textId="77777777" w:rsidR="00DE0350" w:rsidRPr="003C69F6" w:rsidRDefault="00DE0350">
      <w:pPr>
        <w:pStyle w:val="FootnoteText"/>
        <w:rPr>
          <w:rFonts w:cstheme="minorHAnsi"/>
          <w:sz w:val="16"/>
          <w:szCs w:val="16"/>
          <w:lang w:val="en-AU"/>
        </w:rPr>
      </w:pPr>
    </w:p>
  </w:footnote>
  <w:footnote w:id="30">
    <w:p w14:paraId="09E61C59"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38" w:anchor="/docid/HANSARD-1323879322-12843" w:history="1">
        <w:r w:rsidRPr="003C69F6">
          <w:rPr>
            <w:rStyle w:val="Hyperlink"/>
            <w:rFonts w:cstheme="minorHAnsi"/>
            <w:sz w:val="16"/>
            <w:szCs w:val="16"/>
          </w:rPr>
          <w:t>https://www.parliament.nsw.gov.au/Hansard/Pages/HansardResult.aspx#/docid/HANSARD-1323879322-12843</w:t>
        </w:r>
      </w:hyperlink>
    </w:p>
    <w:p w14:paraId="5BDA40E5" w14:textId="77777777" w:rsidR="005C2248" w:rsidRPr="003C69F6" w:rsidRDefault="005C2248" w:rsidP="005C2248">
      <w:pPr>
        <w:pStyle w:val="FootnoteText"/>
        <w:rPr>
          <w:rFonts w:cstheme="minorHAnsi"/>
          <w:sz w:val="16"/>
          <w:szCs w:val="16"/>
          <w:lang w:val="en-AU"/>
        </w:rPr>
      </w:pPr>
    </w:p>
  </w:footnote>
  <w:footnote w:id="31">
    <w:p w14:paraId="5EF884BB"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39" w:anchor="/docid/HANSARD-1323879322-12146" w:history="1">
        <w:r w:rsidRPr="003C69F6">
          <w:rPr>
            <w:rStyle w:val="Hyperlink"/>
            <w:rFonts w:cstheme="minorHAnsi"/>
            <w:sz w:val="16"/>
            <w:szCs w:val="16"/>
          </w:rPr>
          <w:t>https://www.parliament.nsw.gov.au/Hansard/Pages/HansardResult.aspx#/docid/HANSARD-1323879322-12146</w:t>
        </w:r>
      </w:hyperlink>
    </w:p>
    <w:p w14:paraId="7F08D737" w14:textId="77777777" w:rsidR="005C2248" w:rsidRPr="003C69F6" w:rsidRDefault="005C2248" w:rsidP="005C2248">
      <w:pPr>
        <w:pStyle w:val="FootnoteText"/>
        <w:rPr>
          <w:rFonts w:cstheme="minorHAnsi"/>
          <w:sz w:val="16"/>
          <w:szCs w:val="16"/>
          <w:lang w:val="en-AU"/>
        </w:rPr>
      </w:pPr>
    </w:p>
  </w:footnote>
  <w:footnote w:id="32">
    <w:p w14:paraId="11355EA8" w14:textId="77777777" w:rsidR="005C2248" w:rsidRPr="003C69F6" w:rsidRDefault="005C2248" w:rsidP="005C2248">
      <w:pPr>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hyperlink r:id="rId40" w:history="1">
        <w:r w:rsidRPr="003C69F6">
          <w:rPr>
            <w:rStyle w:val="Hyperlink"/>
            <w:rFonts w:cstheme="minorHAnsi"/>
            <w:sz w:val="16"/>
            <w:szCs w:val="16"/>
            <w:shd w:val="clear" w:color="auto" w:fill="FFFFFF"/>
          </w:rPr>
          <w:t>https://www.pc.gov.au/__data/assets/pdf_file/0020/34526/rail.pdf</w:t>
        </w:r>
      </w:hyperlink>
    </w:p>
  </w:footnote>
  <w:footnote w:id="33">
    <w:p w14:paraId="477D084E"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41" w:history="1">
        <w:r w:rsidRPr="003C69F6">
          <w:rPr>
            <w:rStyle w:val="Hyperlink"/>
            <w:rFonts w:cstheme="minorHAnsi"/>
            <w:sz w:val="16"/>
            <w:szCs w:val="16"/>
          </w:rPr>
          <w:t>https://www.nber.org/system/files/chapters/c10194/c10194.pdf</w:t>
        </w:r>
      </w:hyperlink>
    </w:p>
    <w:p w14:paraId="22B477CC" w14:textId="77777777" w:rsidR="005C2248" w:rsidRPr="003C69F6" w:rsidRDefault="005C2248" w:rsidP="005C2248">
      <w:pPr>
        <w:pStyle w:val="FootnoteText"/>
        <w:rPr>
          <w:rFonts w:cstheme="minorHAnsi"/>
          <w:sz w:val="16"/>
          <w:szCs w:val="16"/>
          <w:lang w:val="en-AU"/>
        </w:rPr>
      </w:pPr>
    </w:p>
  </w:footnote>
  <w:footnote w:id="34">
    <w:p w14:paraId="4847451C" w14:textId="78384C3A" w:rsidR="00B50A5D" w:rsidRPr="003C69F6" w:rsidRDefault="00B50A5D" w:rsidP="00B50A5D">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The Commission claimed: </w:t>
      </w:r>
      <w:r w:rsidRPr="003C69F6">
        <w:rPr>
          <w:rFonts w:cstheme="minorHAnsi"/>
          <w:i/>
          <w:iCs/>
          <w:sz w:val="16"/>
          <w:szCs w:val="16"/>
        </w:rPr>
        <w:t>‘Franchising can generate further gains because franchisees usually bear revenue risk, so strengthening their incentives to improve service quality and expand the size of the market’</w:t>
      </w:r>
      <w:r w:rsidR="0066649C">
        <w:rPr>
          <w:rFonts w:cstheme="minorHAnsi"/>
          <w:i/>
          <w:iCs/>
          <w:sz w:val="16"/>
          <w:szCs w:val="16"/>
        </w:rPr>
        <w:t>.</w:t>
      </w:r>
      <w:r w:rsidRPr="003C69F6">
        <w:rPr>
          <w:rFonts w:cstheme="minorHAnsi"/>
          <w:sz w:val="16"/>
          <w:szCs w:val="16"/>
        </w:rPr>
        <w:t xml:space="preserve"> </w:t>
      </w:r>
      <w:hyperlink r:id="rId42" w:history="1">
        <w:r w:rsidRPr="003C69F6">
          <w:rPr>
            <w:rStyle w:val="Hyperlink"/>
            <w:rFonts w:cstheme="minorHAnsi"/>
            <w:sz w:val="16"/>
            <w:szCs w:val="16"/>
          </w:rPr>
          <w:t>https://www.pc.gov.au/__data/assets/pdf_file/0020/34526/rail.pdf</w:t>
        </w:r>
        <w:r w:rsidRPr="0066649C">
          <w:rPr>
            <w:rStyle w:val="Hyperlink"/>
            <w:rFonts w:cstheme="minorHAnsi"/>
            <w:color w:val="auto"/>
            <w:sz w:val="16"/>
            <w:szCs w:val="16"/>
            <w:u w:val="none"/>
          </w:rPr>
          <w:t xml:space="preserve"> at p.xxviii</w:t>
        </w:r>
      </w:hyperlink>
      <w:r w:rsidRPr="003C69F6">
        <w:rPr>
          <w:rFonts w:cstheme="minorHAnsi"/>
          <w:sz w:val="16"/>
          <w:szCs w:val="16"/>
        </w:rPr>
        <w:t>.</w:t>
      </w:r>
    </w:p>
    <w:p w14:paraId="71331BBC" w14:textId="77777777" w:rsidR="00B50A5D" w:rsidRPr="003C69F6" w:rsidRDefault="00B50A5D" w:rsidP="00B50A5D">
      <w:pPr>
        <w:pStyle w:val="FootnoteText"/>
        <w:rPr>
          <w:rFonts w:cstheme="minorHAnsi"/>
          <w:sz w:val="16"/>
          <w:szCs w:val="16"/>
          <w:lang w:val="en-AU"/>
        </w:rPr>
      </w:pPr>
    </w:p>
  </w:footnote>
  <w:footnote w:id="35">
    <w:p w14:paraId="7231D2F1" w14:textId="77777777" w:rsidR="00B50A5D" w:rsidRPr="003C69F6" w:rsidRDefault="00B50A5D" w:rsidP="00B50A5D">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43" w:history="1">
        <w:r w:rsidRPr="003C69F6">
          <w:rPr>
            <w:rStyle w:val="Hyperlink"/>
            <w:rFonts w:cstheme="minorHAnsi"/>
            <w:sz w:val="16"/>
            <w:szCs w:val="16"/>
          </w:rPr>
          <w:t>https://ppp.worldbank.org/public-private-partnership/sites/ppp.worldbank.org/files/documents/A%20Review%20of%20Melbourne's%20Rail%20Franchising%20reform</w:t>
        </w:r>
      </w:hyperlink>
      <w:r w:rsidRPr="003C69F6">
        <w:rPr>
          <w:rFonts w:cstheme="minorHAnsi"/>
          <w:sz w:val="16"/>
          <w:szCs w:val="16"/>
        </w:rPr>
        <w:t xml:space="preserve">; </w:t>
      </w:r>
      <w:hyperlink r:id="rId44" w:history="1">
        <w:r w:rsidRPr="003C69F6">
          <w:rPr>
            <w:rStyle w:val="Hyperlink"/>
            <w:rFonts w:cstheme="minorHAnsi"/>
            <w:sz w:val="16"/>
            <w:szCs w:val="16"/>
          </w:rPr>
          <w:t>https://www.ncbi.nlm.nih.gov/pmc/articles/PMC7166032/</w:t>
        </w:r>
      </w:hyperlink>
    </w:p>
    <w:p w14:paraId="7C7652B2" w14:textId="77777777" w:rsidR="00B50A5D" w:rsidRPr="003C69F6" w:rsidRDefault="00B50A5D" w:rsidP="00B50A5D">
      <w:pPr>
        <w:pStyle w:val="FootnoteText"/>
        <w:rPr>
          <w:rFonts w:cstheme="minorHAnsi"/>
          <w:sz w:val="16"/>
          <w:szCs w:val="16"/>
          <w:lang w:val="en-AU"/>
        </w:rPr>
      </w:pPr>
    </w:p>
  </w:footnote>
  <w:footnote w:id="36">
    <w:p w14:paraId="2B591DB1"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45" w:history="1">
        <w:r w:rsidRPr="003C69F6">
          <w:rPr>
            <w:rStyle w:val="Hyperlink"/>
            <w:rFonts w:cstheme="minorHAnsi"/>
            <w:sz w:val="16"/>
            <w:szCs w:val="16"/>
          </w:rPr>
          <w:t>https://www.thejadebeagle.com/policy-spad.html section 4.2</w:t>
        </w:r>
      </w:hyperlink>
    </w:p>
    <w:p w14:paraId="14D4C780" w14:textId="77777777" w:rsidR="005C2248" w:rsidRPr="003C69F6" w:rsidRDefault="005C2248" w:rsidP="005C2248">
      <w:pPr>
        <w:pStyle w:val="FootnoteText"/>
        <w:rPr>
          <w:rFonts w:cstheme="minorHAnsi"/>
          <w:sz w:val="16"/>
          <w:szCs w:val="16"/>
          <w:lang w:val="en-AU"/>
        </w:rPr>
      </w:pPr>
    </w:p>
  </w:footnote>
  <w:footnote w:id="37">
    <w:p w14:paraId="7C0D3942" w14:textId="79418DD8" w:rsidR="002125F3" w:rsidRPr="003C69F6" w:rsidRDefault="002125F3">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r w:rsidR="00F20D9C" w:rsidRPr="003C69F6">
        <w:rPr>
          <w:rFonts w:cstheme="minorHAnsi"/>
          <w:sz w:val="16"/>
          <w:szCs w:val="16"/>
        </w:rPr>
        <w:t xml:space="preserve">Southall, Ladbroke Grove, Hatfield, Potters Bar discussed in </w:t>
      </w:r>
      <w:hyperlink r:id="rId46" w:history="1">
        <w:r w:rsidR="00F20D9C" w:rsidRPr="003C69F6">
          <w:rPr>
            <w:rStyle w:val="Hyperlink"/>
            <w:rFonts w:cstheme="minorHAnsi"/>
            <w:sz w:val="16"/>
            <w:szCs w:val="16"/>
          </w:rPr>
          <w:t>https://www.thejadebeagle.com/policy-spad.html</w:t>
        </w:r>
      </w:hyperlink>
    </w:p>
    <w:p w14:paraId="38B6C745" w14:textId="77777777" w:rsidR="002125F3" w:rsidRPr="003C69F6" w:rsidRDefault="002125F3">
      <w:pPr>
        <w:pStyle w:val="FootnoteText"/>
        <w:rPr>
          <w:rFonts w:cstheme="minorHAnsi"/>
          <w:sz w:val="16"/>
          <w:szCs w:val="16"/>
          <w:lang w:val="en-AU"/>
        </w:rPr>
      </w:pPr>
    </w:p>
  </w:footnote>
  <w:footnote w:id="38">
    <w:p w14:paraId="41F635D1" w14:textId="3AA74384" w:rsidR="005C2248" w:rsidRPr="003C69F6" w:rsidRDefault="005C2248" w:rsidP="005C2248">
      <w:pPr>
        <w:spacing w:after="0"/>
        <w:rPr>
          <w:rFonts w:cstheme="minorHAnsi"/>
          <w:sz w:val="16"/>
          <w:szCs w:val="16"/>
          <w:shd w:val="clear" w:color="auto" w:fill="FFFFFF"/>
        </w:rPr>
      </w:pPr>
      <w:r w:rsidRPr="003C69F6">
        <w:rPr>
          <w:rStyle w:val="FootnoteReference"/>
          <w:rFonts w:cstheme="minorHAnsi"/>
          <w:sz w:val="16"/>
          <w:szCs w:val="16"/>
        </w:rPr>
        <w:footnoteRef/>
      </w:r>
      <w:r w:rsidRPr="003C69F6">
        <w:rPr>
          <w:rFonts w:cstheme="minorHAnsi"/>
          <w:sz w:val="16"/>
          <w:szCs w:val="16"/>
        </w:rPr>
        <w:t xml:space="preserve"> </w:t>
      </w:r>
      <w:r w:rsidRPr="003C69F6">
        <w:rPr>
          <w:rFonts w:cstheme="minorHAnsi"/>
          <w:sz w:val="16"/>
          <w:szCs w:val="16"/>
          <w:shd w:val="clear" w:color="auto" w:fill="FFFFFF"/>
        </w:rPr>
        <w:t xml:space="preserve">The </w:t>
      </w:r>
      <w:r w:rsidR="00B14745">
        <w:rPr>
          <w:rFonts w:cstheme="minorHAnsi"/>
          <w:sz w:val="16"/>
          <w:szCs w:val="16"/>
          <w:shd w:val="clear" w:color="auto" w:fill="FFFFFF"/>
        </w:rPr>
        <w:t xml:space="preserve">Productivity </w:t>
      </w:r>
      <w:r w:rsidRPr="003C69F6">
        <w:rPr>
          <w:rFonts w:cstheme="minorHAnsi"/>
          <w:sz w:val="16"/>
          <w:szCs w:val="16"/>
          <w:shd w:val="clear" w:color="auto" w:fill="FFFFFF"/>
        </w:rPr>
        <w:t>Commission’s comments on Rail Access’ contracting out:</w:t>
      </w:r>
    </w:p>
    <w:p w14:paraId="55A20AD0" w14:textId="77777777" w:rsidR="0066649C" w:rsidRDefault="005C2248" w:rsidP="005C2248">
      <w:pPr>
        <w:spacing w:after="0"/>
        <w:ind w:left="720"/>
        <w:rPr>
          <w:rFonts w:cstheme="minorHAnsi"/>
          <w:i/>
          <w:iCs/>
          <w:sz w:val="16"/>
          <w:szCs w:val="16"/>
        </w:rPr>
      </w:pPr>
      <w:r w:rsidRPr="003C69F6">
        <w:rPr>
          <w:rFonts w:cstheme="minorHAnsi"/>
          <w:i/>
          <w:iCs/>
          <w:sz w:val="16"/>
          <w:szCs w:val="16"/>
        </w:rPr>
        <w:t>‘In New South Wales, a strategic review of RAC revealed that ‘substantial cost reductions could be achieved from productivity gains and other efficiencies in the Infrastructure Works and Maintenance Program’ (RAC 1997, p. 9).’</w:t>
      </w:r>
    </w:p>
    <w:p w14:paraId="1D7B753C" w14:textId="49FB35B6" w:rsidR="005C2248" w:rsidRPr="003C69F6" w:rsidRDefault="0066649C" w:rsidP="0066649C">
      <w:pPr>
        <w:spacing w:after="0"/>
        <w:rPr>
          <w:rFonts w:cstheme="minorHAnsi"/>
          <w:i/>
          <w:iCs/>
          <w:sz w:val="16"/>
          <w:szCs w:val="16"/>
          <w:shd w:val="clear" w:color="auto" w:fill="FFFFFF"/>
        </w:rPr>
      </w:pPr>
      <w:r>
        <w:rPr>
          <w:rFonts w:cstheme="minorHAnsi"/>
          <w:sz w:val="16"/>
          <w:szCs w:val="16"/>
          <w:shd w:val="clear" w:color="auto" w:fill="FFFFFF"/>
        </w:rPr>
        <w:t>That was</w:t>
      </w:r>
      <w:r w:rsidRPr="003C69F6">
        <w:rPr>
          <w:rFonts w:cstheme="minorHAnsi"/>
          <w:sz w:val="16"/>
          <w:szCs w:val="16"/>
          <w:shd w:val="clear" w:color="auto" w:fill="FFFFFF"/>
        </w:rPr>
        <w:t xml:space="preserve"> particularly unfortunate, given the damning findings and recommendations of the Glenbrook Commission</w:t>
      </w:r>
      <w:r w:rsidR="005C2248" w:rsidRPr="003C69F6">
        <w:rPr>
          <w:rFonts w:cstheme="minorHAnsi"/>
          <w:i/>
          <w:iCs/>
          <w:sz w:val="16"/>
          <w:szCs w:val="16"/>
        </w:rPr>
        <w:t xml:space="preserve"> </w:t>
      </w:r>
    </w:p>
    <w:p w14:paraId="244D3E43" w14:textId="77777777" w:rsidR="005C2248" w:rsidRPr="003C69F6" w:rsidRDefault="005C2248" w:rsidP="005C2248">
      <w:pPr>
        <w:pStyle w:val="FootnoteText"/>
        <w:rPr>
          <w:rFonts w:cstheme="minorHAnsi"/>
          <w:sz w:val="16"/>
          <w:szCs w:val="16"/>
          <w:lang w:val="en-AU"/>
        </w:rPr>
      </w:pPr>
    </w:p>
  </w:footnote>
  <w:footnote w:id="39">
    <w:p w14:paraId="6EB4F48C" w14:textId="2CCF2818" w:rsidR="00FF1C2A" w:rsidRPr="003C69F6" w:rsidRDefault="00FF1C2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47" w:history="1">
        <w:r w:rsidR="00BC0D59" w:rsidRPr="003C69F6">
          <w:rPr>
            <w:rStyle w:val="Hyperlink"/>
            <w:rFonts w:cstheme="minorHAnsi"/>
            <w:sz w:val="16"/>
            <w:szCs w:val="16"/>
          </w:rPr>
          <w:t>https://en-academic.com/dic.nsf/enwiki/4556735</w:t>
        </w:r>
      </w:hyperlink>
    </w:p>
    <w:p w14:paraId="7374B770" w14:textId="77777777" w:rsidR="00FF1C2A" w:rsidRPr="003C69F6" w:rsidRDefault="00FF1C2A">
      <w:pPr>
        <w:pStyle w:val="FootnoteText"/>
        <w:rPr>
          <w:rFonts w:cstheme="minorHAnsi"/>
          <w:sz w:val="16"/>
          <w:szCs w:val="16"/>
          <w:lang w:val="en-AU"/>
        </w:rPr>
      </w:pPr>
    </w:p>
  </w:footnote>
  <w:footnote w:id="40">
    <w:p w14:paraId="425A6469"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48" w:history="1">
        <w:r w:rsidRPr="003C69F6">
          <w:rPr>
            <w:rStyle w:val="Hyperlink"/>
            <w:rFonts w:cstheme="minorHAnsi"/>
            <w:sz w:val="16"/>
            <w:szCs w:val="16"/>
          </w:rPr>
          <w:t>https://www.theage.com.au/national/victoria/exclusive-the-six-problems-ruining-melbournes-rail-network-20150722-gii8ps.html</w:t>
        </w:r>
      </w:hyperlink>
    </w:p>
    <w:p w14:paraId="20CAE258" w14:textId="77777777" w:rsidR="005C2248" w:rsidRPr="003C69F6" w:rsidRDefault="005C2248" w:rsidP="005C2248">
      <w:pPr>
        <w:pStyle w:val="FootnoteText"/>
        <w:rPr>
          <w:rFonts w:cstheme="minorHAnsi"/>
          <w:sz w:val="16"/>
          <w:szCs w:val="16"/>
          <w:lang w:val="en-AU"/>
        </w:rPr>
      </w:pPr>
    </w:p>
  </w:footnote>
  <w:footnote w:id="41">
    <w:p w14:paraId="42FAA9B0" w14:textId="20E9A984" w:rsidR="00EA7ECF" w:rsidRPr="003C69F6" w:rsidRDefault="00EA7ECF">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Prior to changes in 2009-10 </w:t>
      </w:r>
      <w:hyperlink r:id="rId49" w:history="1">
        <w:r w:rsidRPr="003C69F6">
          <w:rPr>
            <w:rStyle w:val="Hyperlink"/>
            <w:rFonts w:cstheme="minorHAnsi"/>
            <w:sz w:val="16"/>
            <w:szCs w:val="16"/>
          </w:rPr>
          <w:t>https://parlinfo.aph.gov.au/parlInfo/search/display/display.w3p;query=Id:%22media/pressrel/GT8T6%22</w:t>
        </w:r>
      </w:hyperlink>
      <w:r w:rsidRPr="003C69F6">
        <w:rPr>
          <w:rFonts w:cstheme="minorHAnsi"/>
          <w:sz w:val="16"/>
          <w:szCs w:val="16"/>
        </w:rPr>
        <w:t xml:space="preserve">; </w:t>
      </w:r>
      <w:hyperlink r:id="rId50" w:history="1">
        <w:r w:rsidRPr="003C69F6">
          <w:rPr>
            <w:rStyle w:val="Hyperlink"/>
            <w:rFonts w:cstheme="minorHAnsi"/>
            <w:sz w:val="16"/>
            <w:szCs w:val="16"/>
          </w:rPr>
          <w:t>https://www.legislation.gov.au/Details/C2018C00437</w:t>
        </w:r>
      </w:hyperlink>
    </w:p>
    <w:p w14:paraId="3A206BAF" w14:textId="77777777" w:rsidR="00EA7ECF" w:rsidRPr="003C69F6" w:rsidRDefault="00EA7ECF">
      <w:pPr>
        <w:pStyle w:val="FootnoteText"/>
        <w:rPr>
          <w:rFonts w:cstheme="minorHAnsi"/>
          <w:sz w:val="16"/>
          <w:szCs w:val="16"/>
          <w:lang w:val="en-AU"/>
        </w:rPr>
      </w:pPr>
    </w:p>
  </w:footnote>
  <w:footnote w:id="42">
    <w:p w14:paraId="57B1FA6D" w14:textId="7DBBE5A6" w:rsidR="00F20D9C" w:rsidRPr="003C69F6" w:rsidRDefault="00FD4A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r w:rsidR="00DF5228" w:rsidRPr="003C69F6">
        <w:rPr>
          <w:rFonts w:cstheme="minorHAnsi"/>
          <w:sz w:val="16"/>
          <w:szCs w:val="16"/>
        </w:rPr>
        <w:t>E.g.,</w:t>
      </w:r>
      <w:r w:rsidR="00F20D9C" w:rsidRPr="003C69F6">
        <w:rPr>
          <w:rFonts w:cstheme="minorHAnsi"/>
          <w:sz w:val="16"/>
          <w:szCs w:val="16"/>
        </w:rPr>
        <w:t xml:space="preserve"> </w:t>
      </w:r>
      <w:hyperlink r:id="rId51" w:history="1">
        <w:r w:rsidR="00F20D9C" w:rsidRPr="003C69F6">
          <w:rPr>
            <w:rStyle w:val="Hyperlink"/>
            <w:rFonts w:cstheme="minorHAnsi"/>
            <w:sz w:val="16"/>
            <w:szCs w:val="16"/>
          </w:rPr>
          <w:t>http://ncp.ncc.gov.au/docs/CISp00-007.pdf</w:t>
        </w:r>
      </w:hyperlink>
      <w:r w:rsidR="00BC5CDD" w:rsidRPr="003C69F6">
        <w:rPr>
          <w:rFonts w:cstheme="minorHAnsi"/>
          <w:sz w:val="16"/>
          <w:szCs w:val="16"/>
        </w:rPr>
        <w:t xml:space="preserve">; </w:t>
      </w:r>
      <w:hyperlink r:id="rId52" w:history="1">
        <w:r w:rsidR="00BC5CDD" w:rsidRPr="003C69F6">
          <w:rPr>
            <w:rStyle w:val="Hyperlink"/>
            <w:rFonts w:cstheme="minorHAnsi"/>
            <w:sz w:val="16"/>
            <w:szCs w:val="16"/>
          </w:rPr>
          <w:t>https://www.tmr.qld.gov.au/-/media/busind/Transport-sectors/Rail/Pdf_rpf_review_of_rail_safety_legislation.pdf?la=en</w:t>
        </w:r>
      </w:hyperlink>
    </w:p>
    <w:p w14:paraId="17059C8C" w14:textId="1C6035BD" w:rsidR="00A25356" w:rsidRPr="003C69F6" w:rsidRDefault="00EB522D">
      <w:pPr>
        <w:pStyle w:val="FootnoteText"/>
        <w:rPr>
          <w:rFonts w:cstheme="minorHAnsi"/>
          <w:sz w:val="16"/>
          <w:szCs w:val="16"/>
        </w:rPr>
      </w:pPr>
      <w:r w:rsidRPr="003C69F6">
        <w:rPr>
          <w:rFonts w:cstheme="minorHAnsi"/>
          <w:sz w:val="16"/>
          <w:szCs w:val="16"/>
        </w:rPr>
        <w:t>Another argument against State-based rail safety regulation and accident investigation was the industry was national.  However</w:t>
      </w:r>
      <w:r w:rsidR="00A25356" w:rsidRPr="003C69F6">
        <w:rPr>
          <w:rFonts w:cstheme="minorHAnsi"/>
          <w:sz w:val="16"/>
          <w:szCs w:val="16"/>
        </w:rPr>
        <w:t>,</w:t>
      </w:r>
      <w:r w:rsidRPr="003C69F6">
        <w:rPr>
          <w:rFonts w:cstheme="minorHAnsi"/>
          <w:sz w:val="16"/>
          <w:szCs w:val="16"/>
        </w:rPr>
        <w:t xml:space="preserve"> this related to </w:t>
      </w:r>
      <w:r w:rsidR="00A25356" w:rsidRPr="003C69F6">
        <w:rPr>
          <w:rFonts w:cstheme="minorHAnsi"/>
          <w:sz w:val="16"/>
          <w:szCs w:val="16"/>
        </w:rPr>
        <w:t xml:space="preserve">(interstate) </w:t>
      </w:r>
      <w:r w:rsidRPr="003C69F6">
        <w:rPr>
          <w:rFonts w:cstheme="minorHAnsi"/>
          <w:sz w:val="16"/>
          <w:szCs w:val="16"/>
        </w:rPr>
        <w:t>freight and ignored commuter railways which are specific to each major city.</w:t>
      </w:r>
      <w:r w:rsidR="00A25356" w:rsidRPr="003C69F6">
        <w:rPr>
          <w:rFonts w:cstheme="minorHAnsi"/>
          <w:sz w:val="16"/>
          <w:szCs w:val="16"/>
        </w:rPr>
        <w:t xml:space="preserve">  The issue was most vexed in NSW</w:t>
      </w:r>
      <w:r w:rsidRPr="003C69F6">
        <w:rPr>
          <w:rFonts w:cstheme="minorHAnsi"/>
          <w:sz w:val="16"/>
          <w:szCs w:val="16"/>
        </w:rPr>
        <w:t xml:space="preserve"> </w:t>
      </w:r>
      <w:r w:rsidR="00A25356" w:rsidRPr="003C69F6">
        <w:rPr>
          <w:rFonts w:cstheme="minorHAnsi"/>
          <w:sz w:val="16"/>
          <w:szCs w:val="16"/>
        </w:rPr>
        <w:t xml:space="preserve">which, uniquely, has interstate and commuter trains sharing the same standard gauge tracks – other States had a local break-of gauge.  The way the argument was put had overtones of opposing regulation, not simply State regulation.  </w:t>
      </w:r>
    </w:p>
    <w:p w14:paraId="2EE1156A" w14:textId="4A5DCDC8" w:rsidR="00EB522D" w:rsidRPr="003C69F6" w:rsidRDefault="00A25356">
      <w:pPr>
        <w:pStyle w:val="FootnoteText"/>
        <w:rPr>
          <w:rFonts w:cstheme="minorHAnsi"/>
          <w:sz w:val="16"/>
          <w:szCs w:val="16"/>
        </w:rPr>
      </w:pPr>
      <w:r w:rsidRPr="003C69F6">
        <w:rPr>
          <w:rFonts w:cstheme="minorHAnsi"/>
          <w:sz w:val="16"/>
          <w:szCs w:val="16"/>
        </w:rPr>
        <w:t>The strongest argument against State-based regulation – and investigation - was the potential for local political interference</w:t>
      </w:r>
      <w:r w:rsidR="005F7CE0">
        <w:rPr>
          <w:rFonts w:cstheme="minorHAnsi"/>
          <w:sz w:val="16"/>
          <w:szCs w:val="16"/>
        </w:rPr>
        <w:t>.</w:t>
      </w:r>
      <w:r w:rsidR="00EB522D" w:rsidRPr="003C69F6">
        <w:rPr>
          <w:rFonts w:cstheme="minorHAnsi"/>
          <w:sz w:val="16"/>
          <w:szCs w:val="16"/>
        </w:rPr>
        <w:t xml:space="preserve"> </w:t>
      </w:r>
    </w:p>
    <w:p w14:paraId="032679DC" w14:textId="41E8D7DE" w:rsidR="00FD4AEA" w:rsidRPr="003C69F6" w:rsidRDefault="00FD4AEA">
      <w:pPr>
        <w:pStyle w:val="FootnoteText"/>
        <w:rPr>
          <w:rFonts w:cstheme="minorHAnsi"/>
          <w:sz w:val="16"/>
          <w:szCs w:val="16"/>
          <w:lang w:val="en-AU"/>
        </w:rPr>
      </w:pPr>
    </w:p>
  </w:footnote>
  <w:footnote w:id="43">
    <w:p w14:paraId="0AAD2F15" w14:textId="77777777" w:rsidR="00BC5CDD" w:rsidRPr="003C69F6" w:rsidRDefault="005C2248" w:rsidP="00BC5CDD">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53" w:history="1">
        <w:r w:rsidR="00BC5CDD" w:rsidRPr="003C69F6">
          <w:rPr>
            <w:rStyle w:val="Hyperlink"/>
            <w:rFonts w:cstheme="minorHAnsi"/>
            <w:sz w:val="16"/>
            <w:szCs w:val="16"/>
          </w:rPr>
          <w:t>https://www.dpc.nsw.gov.au/assets/dpc-nsw-gov-au/publications/Sydney-Ferries-listing-440/440477d422/Report-of-the-Special-Commission-of-Inquiry-into-Sydney-Ferries.pdf</w:t>
        </w:r>
      </w:hyperlink>
    </w:p>
    <w:p w14:paraId="72DB1EE2" w14:textId="77777777" w:rsidR="005C2248" w:rsidRPr="003C69F6" w:rsidRDefault="005C2248" w:rsidP="005C2248">
      <w:pPr>
        <w:pStyle w:val="FootnoteText"/>
        <w:rPr>
          <w:rFonts w:cstheme="minorHAnsi"/>
          <w:sz w:val="16"/>
          <w:szCs w:val="16"/>
          <w:lang w:val="en-AU"/>
        </w:rPr>
      </w:pPr>
    </w:p>
  </w:footnote>
  <w:footnote w:id="44">
    <w:p w14:paraId="7E092827" w14:textId="73C842B8" w:rsidR="00257237" w:rsidRPr="003C69F6" w:rsidRDefault="00257237">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‘Grossing-up’.  Return of capital is addressed in section </w:t>
      </w:r>
      <w:r w:rsidR="00DF5228">
        <w:rPr>
          <w:rFonts w:cstheme="minorHAnsi"/>
          <w:sz w:val="16"/>
          <w:szCs w:val="16"/>
        </w:rPr>
        <w:t>6</w:t>
      </w:r>
      <w:r w:rsidRPr="003C69F6">
        <w:rPr>
          <w:rFonts w:cstheme="minorHAnsi"/>
          <w:sz w:val="16"/>
          <w:szCs w:val="16"/>
        </w:rPr>
        <w:t>.</w:t>
      </w:r>
    </w:p>
  </w:footnote>
  <w:footnote w:id="45">
    <w:p w14:paraId="1FD3B205" w14:textId="77777777" w:rsidR="00257237" w:rsidRPr="003C69F6" w:rsidRDefault="00257237">
      <w:pPr>
        <w:pStyle w:val="FootnoteText"/>
        <w:rPr>
          <w:rFonts w:cstheme="minorHAnsi"/>
          <w:sz w:val="16"/>
          <w:szCs w:val="16"/>
        </w:rPr>
      </w:pPr>
    </w:p>
    <w:p w14:paraId="3E1FDFF4" w14:textId="7A4F5CA9" w:rsidR="00257237" w:rsidRPr="003C69F6" w:rsidRDefault="00257237">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r w:rsidRPr="003C69F6">
        <w:rPr>
          <w:rFonts w:cstheme="minorHAnsi"/>
          <w:sz w:val="16"/>
          <w:szCs w:val="16"/>
          <w:lang w:val="en-AU"/>
        </w:rPr>
        <w:t xml:space="preserve">See section </w:t>
      </w:r>
      <w:r w:rsidR="00DF5228">
        <w:rPr>
          <w:rFonts w:cstheme="minorHAnsi"/>
          <w:sz w:val="16"/>
          <w:szCs w:val="16"/>
          <w:lang w:val="en-AU"/>
        </w:rPr>
        <w:t>6</w:t>
      </w:r>
      <w:r w:rsidRPr="003C69F6">
        <w:rPr>
          <w:rFonts w:cstheme="minorHAnsi"/>
          <w:sz w:val="16"/>
          <w:szCs w:val="16"/>
          <w:lang w:val="en-AU"/>
        </w:rPr>
        <w:t>.</w:t>
      </w:r>
    </w:p>
    <w:p w14:paraId="1A26E056" w14:textId="77777777" w:rsidR="00257237" w:rsidRPr="003C69F6" w:rsidRDefault="00257237">
      <w:pPr>
        <w:pStyle w:val="FootnoteText"/>
        <w:rPr>
          <w:rFonts w:cstheme="minorHAnsi"/>
          <w:sz w:val="16"/>
          <w:szCs w:val="16"/>
          <w:lang w:val="en-AU"/>
        </w:rPr>
      </w:pPr>
    </w:p>
  </w:footnote>
  <w:footnote w:id="46">
    <w:p w14:paraId="68874FDC" w14:textId="6222227B" w:rsidR="008F4934" w:rsidRPr="003C69F6" w:rsidRDefault="008F4934" w:rsidP="00B53AB5">
      <w:pPr>
        <w:rPr>
          <w:rFonts w:cstheme="minorHAnsi"/>
          <w:sz w:val="16"/>
          <w:szCs w:val="16"/>
          <w:lang w:val="en-AU"/>
        </w:rPr>
      </w:pPr>
      <w:r w:rsidRPr="003C69F6">
        <w:rPr>
          <w:rStyle w:val="FootnoteReference"/>
          <w:rFonts w:cstheme="minorHAnsi"/>
          <w:sz w:val="16"/>
          <w:szCs w:val="16"/>
        </w:rPr>
        <w:footnoteRef/>
      </w:r>
      <w:r w:rsidRPr="003C69F6">
        <w:t xml:space="preserve"> </w:t>
      </w:r>
      <w:hyperlink r:id="rId54" w:history="1">
        <w:r w:rsidRPr="003C69F6">
          <w:rPr>
            <w:rStyle w:val="Hyperlink"/>
            <w:rFonts w:cstheme="minorHAnsi"/>
            <w:sz w:val="16"/>
            <w:szCs w:val="16"/>
          </w:rPr>
          <w:t>http://news.bbc.co.uk/2/hi/business/1348473.stm</w:t>
        </w:r>
      </w:hyperlink>
      <w:r w:rsidR="00C073C4">
        <w:rPr>
          <w:rStyle w:val="Hyperlink"/>
          <w:rFonts w:cstheme="minorHAnsi"/>
          <w:sz w:val="16"/>
          <w:szCs w:val="16"/>
        </w:rPr>
        <w:t>;</w:t>
      </w:r>
      <w:r w:rsidR="00C073C4" w:rsidRPr="00C073C4">
        <w:rPr>
          <w:sz w:val="16"/>
          <w:szCs w:val="16"/>
        </w:rPr>
        <w:t xml:space="preserve"> ferries</w:t>
      </w:r>
      <w:r w:rsidR="00C073C4">
        <w:rPr>
          <w:sz w:val="16"/>
          <w:szCs w:val="16"/>
        </w:rPr>
        <w:t>:</w:t>
      </w:r>
      <w:r w:rsidR="00C073C4" w:rsidRPr="00C073C4">
        <w:rPr>
          <w:sz w:val="16"/>
          <w:szCs w:val="16"/>
        </w:rPr>
        <w:t xml:space="preserve"> section 4.5.6.</w:t>
      </w:r>
    </w:p>
  </w:footnote>
  <w:footnote w:id="47">
    <w:p w14:paraId="699ABA95" w14:textId="0BAC4EB9" w:rsidR="005C2248" w:rsidRPr="003C69F6" w:rsidRDefault="005C2248" w:rsidP="005C2248">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r w:rsidR="00DB32EB" w:rsidRPr="003C69F6">
        <w:rPr>
          <w:rFonts w:cstheme="minorHAnsi"/>
          <w:sz w:val="16"/>
          <w:szCs w:val="16"/>
        </w:rPr>
        <w:t xml:space="preserve">: </w:t>
      </w:r>
      <w:hyperlink r:id="rId55" w:history="1">
        <w:r w:rsidR="00DB32EB" w:rsidRPr="003C69F6">
          <w:rPr>
            <w:rStyle w:val="Hyperlink"/>
            <w:rFonts w:cstheme="minorHAnsi"/>
            <w:sz w:val="16"/>
            <w:szCs w:val="16"/>
          </w:rPr>
          <w:t>https://www.thejadebeagle.com/policy-spad.html</w:t>
        </w:r>
      </w:hyperlink>
      <w:r w:rsidR="00DB32EB" w:rsidRPr="003C69F6">
        <w:rPr>
          <w:rFonts w:cstheme="minorHAnsi"/>
          <w:sz w:val="16"/>
          <w:szCs w:val="16"/>
        </w:rPr>
        <w:t xml:space="preserve"> section 4.5.  After the Olympic Games</w:t>
      </w:r>
      <w:r w:rsidR="005F7CE0">
        <w:rPr>
          <w:rFonts w:cstheme="minorHAnsi"/>
          <w:sz w:val="16"/>
          <w:szCs w:val="16"/>
        </w:rPr>
        <w:t>,</w:t>
      </w:r>
      <w:r w:rsidR="00DB32EB" w:rsidRPr="003C69F6">
        <w:rPr>
          <w:rFonts w:cstheme="minorHAnsi"/>
          <w:sz w:val="16"/>
          <w:szCs w:val="16"/>
        </w:rPr>
        <w:t xml:space="preserve"> the Government provided additional funds – over several years - for restoration of the metropolitan and regional rail networks.  </w:t>
      </w:r>
      <w:r w:rsidR="00BC5CDD" w:rsidRPr="003C69F6">
        <w:rPr>
          <w:rFonts w:cstheme="minorHAnsi"/>
          <w:sz w:val="16"/>
          <w:szCs w:val="16"/>
        </w:rPr>
        <w:t>There was a concern the proceed</w:t>
      </w:r>
      <w:r w:rsidR="009F4688" w:rsidRPr="003C69F6">
        <w:rPr>
          <w:rFonts w:cstheme="minorHAnsi"/>
          <w:sz w:val="16"/>
          <w:szCs w:val="16"/>
        </w:rPr>
        <w:t>s</w:t>
      </w:r>
      <w:r w:rsidR="00BC5CDD" w:rsidRPr="003C69F6">
        <w:rPr>
          <w:rFonts w:cstheme="minorHAnsi"/>
          <w:sz w:val="16"/>
          <w:szCs w:val="16"/>
        </w:rPr>
        <w:t xml:space="preserve"> from the s</w:t>
      </w:r>
      <w:r w:rsidRPr="003C69F6">
        <w:rPr>
          <w:rFonts w:cstheme="minorHAnsi"/>
          <w:sz w:val="16"/>
          <w:szCs w:val="16"/>
          <w:lang w:val="en-AU"/>
        </w:rPr>
        <w:t xml:space="preserve">ale of FreightCorp </w:t>
      </w:r>
      <w:r w:rsidR="009F4688" w:rsidRPr="003C69F6">
        <w:rPr>
          <w:rFonts w:cstheme="minorHAnsi"/>
          <w:sz w:val="16"/>
          <w:szCs w:val="16"/>
          <w:lang w:val="en-AU"/>
        </w:rPr>
        <w:t xml:space="preserve">(2000-01) </w:t>
      </w:r>
      <w:r w:rsidR="00BC5CDD" w:rsidRPr="003C69F6">
        <w:rPr>
          <w:rFonts w:cstheme="minorHAnsi"/>
          <w:sz w:val="16"/>
          <w:szCs w:val="16"/>
          <w:lang w:val="en-AU"/>
        </w:rPr>
        <w:t xml:space="preserve">would be jeopardised by Rail Infrastructure being unable to agree an access contract with appropriate </w:t>
      </w:r>
      <w:r w:rsidR="009F4688" w:rsidRPr="003C69F6">
        <w:rPr>
          <w:rFonts w:cstheme="minorHAnsi"/>
          <w:sz w:val="16"/>
          <w:szCs w:val="16"/>
          <w:lang w:val="en-AU"/>
        </w:rPr>
        <w:t>guarantees as to infrastructure quality and availability.</w:t>
      </w:r>
      <w:r w:rsidR="00DB32EB" w:rsidRPr="003C69F6">
        <w:rPr>
          <w:rFonts w:cstheme="minorHAnsi"/>
          <w:sz w:val="16"/>
          <w:szCs w:val="16"/>
          <w:lang w:val="en-AU"/>
        </w:rPr>
        <w:t xml:space="preserve">  </w:t>
      </w:r>
    </w:p>
    <w:p w14:paraId="6FF4E5E1" w14:textId="77777777" w:rsidR="005C2248" w:rsidRPr="003C69F6" w:rsidRDefault="005C2248" w:rsidP="005C2248">
      <w:pPr>
        <w:pStyle w:val="FootnoteText"/>
        <w:rPr>
          <w:rFonts w:cstheme="minorHAnsi"/>
          <w:sz w:val="16"/>
          <w:szCs w:val="16"/>
          <w:lang w:val="en-AU"/>
        </w:rPr>
      </w:pPr>
    </w:p>
  </w:footnote>
  <w:footnote w:id="48">
    <w:p w14:paraId="2123DD54" w14:textId="6C54B33F"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56" w:history="1">
        <w:r w:rsidRPr="003C69F6">
          <w:rPr>
            <w:rStyle w:val="Hyperlink"/>
            <w:rFonts w:cstheme="minorHAnsi"/>
            <w:sz w:val="16"/>
            <w:szCs w:val="16"/>
          </w:rPr>
          <w:t>https://www.parliament.nsw.gov.au/tp/files/42517/GlenbrookInterim2[1].pdf</w:t>
        </w:r>
      </w:hyperlink>
      <w:r w:rsidRPr="003C69F6">
        <w:rPr>
          <w:rFonts w:cstheme="minorHAnsi"/>
          <w:sz w:val="16"/>
          <w:szCs w:val="16"/>
        </w:rPr>
        <w:t xml:space="preserve"> p.42-43</w:t>
      </w:r>
      <w:r w:rsidR="005F7CE0">
        <w:rPr>
          <w:rFonts w:cstheme="minorHAnsi"/>
          <w:sz w:val="16"/>
          <w:szCs w:val="16"/>
        </w:rPr>
        <w:t>.</w:t>
      </w:r>
    </w:p>
    <w:p w14:paraId="77EEAB44" w14:textId="77777777" w:rsidR="005C2248" w:rsidRPr="003C69F6" w:rsidRDefault="005C2248" w:rsidP="005C2248">
      <w:pPr>
        <w:pStyle w:val="FootnoteText"/>
        <w:rPr>
          <w:rFonts w:cstheme="minorHAnsi"/>
          <w:sz w:val="16"/>
          <w:szCs w:val="16"/>
          <w:lang w:val="en-AU"/>
        </w:rPr>
      </w:pPr>
    </w:p>
  </w:footnote>
  <w:footnote w:id="49">
    <w:p w14:paraId="61AD2B78" w14:textId="77777777" w:rsidR="00334E75" w:rsidRPr="003C69F6" w:rsidRDefault="00334E75" w:rsidP="00334E75">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57" w:history="1">
        <w:r w:rsidRPr="003C69F6">
          <w:rPr>
            <w:rStyle w:val="Hyperlink"/>
            <w:rFonts w:cstheme="minorHAnsi"/>
            <w:sz w:val="16"/>
            <w:szCs w:val="16"/>
          </w:rPr>
          <w:t>https://www.pc.gov.au/inquiries/completed/national-competition-policy/report/ncp.pdf</w:t>
        </w:r>
      </w:hyperlink>
    </w:p>
    <w:p w14:paraId="4B698943" w14:textId="77777777" w:rsidR="00334E75" w:rsidRPr="003C69F6" w:rsidRDefault="00334E75" w:rsidP="00334E75">
      <w:pPr>
        <w:pStyle w:val="FootnoteText"/>
        <w:rPr>
          <w:rFonts w:cstheme="minorHAnsi"/>
          <w:sz w:val="16"/>
          <w:szCs w:val="16"/>
          <w:lang w:val="en-AU"/>
        </w:rPr>
      </w:pPr>
    </w:p>
  </w:footnote>
  <w:footnote w:id="50">
    <w:p w14:paraId="554B8107" w14:textId="086D5FE4" w:rsidR="005C2248" w:rsidRPr="003C69F6" w:rsidRDefault="005C2248" w:rsidP="005C2248">
      <w:pPr>
        <w:pStyle w:val="FootnoteText"/>
        <w:rPr>
          <w:rFonts w:cstheme="minorHAnsi"/>
          <w:sz w:val="16"/>
          <w:szCs w:val="16"/>
          <w:lang w:val="en-AU"/>
        </w:rPr>
      </w:pPr>
      <w:r w:rsidRPr="003C69F6">
        <w:rPr>
          <w:rStyle w:val="FootnoteReference"/>
          <w:rFonts w:cstheme="minorHAnsi"/>
          <w:sz w:val="16"/>
          <w:szCs w:val="16"/>
        </w:rPr>
        <w:footnoteRef/>
      </w:r>
      <w:hyperlink r:id="rId58" w:history="1">
        <w:r w:rsidR="009F4688" w:rsidRPr="003C69F6">
          <w:rPr>
            <w:rStyle w:val="Hyperlink"/>
            <w:rFonts w:cstheme="minorHAnsi"/>
            <w:sz w:val="16"/>
            <w:szCs w:val="16"/>
          </w:rPr>
          <w:t>https://www.pc.gov.au/inquiries/completed/national-competition-policy/report/ncp.pdf</w:t>
        </w:r>
      </w:hyperlink>
      <w:r w:rsidR="009F4688" w:rsidRPr="003C69F6">
        <w:rPr>
          <w:rFonts w:cstheme="minorHAnsi"/>
          <w:sz w:val="16"/>
          <w:szCs w:val="16"/>
        </w:rPr>
        <w:t xml:space="preserve">, </w:t>
      </w:r>
      <w:r w:rsidRPr="003C69F6">
        <w:rPr>
          <w:rFonts w:cstheme="minorHAnsi"/>
          <w:sz w:val="16"/>
          <w:szCs w:val="16"/>
          <w:lang w:val="en-AU"/>
        </w:rPr>
        <w:t>Box 2.3</w:t>
      </w:r>
      <w:r w:rsidR="005F7CE0">
        <w:rPr>
          <w:rFonts w:cstheme="minorHAnsi"/>
          <w:sz w:val="16"/>
          <w:szCs w:val="16"/>
          <w:lang w:val="en-AU"/>
        </w:rPr>
        <w:t>.</w:t>
      </w:r>
    </w:p>
    <w:p w14:paraId="4CA1CC00" w14:textId="77777777" w:rsidR="005C2248" w:rsidRPr="003C69F6" w:rsidRDefault="005C2248" w:rsidP="005C2248">
      <w:pPr>
        <w:pStyle w:val="FootnoteText"/>
        <w:rPr>
          <w:rFonts w:cstheme="minorHAnsi"/>
          <w:sz w:val="16"/>
          <w:szCs w:val="16"/>
          <w:lang w:val="en-AU"/>
        </w:rPr>
      </w:pPr>
    </w:p>
  </w:footnote>
  <w:footnote w:id="51">
    <w:p w14:paraId="19FF670C" w14:textId="6BCE5A8E" w:rsidR="00F41EF4" w:rsidRPr="003C69F6" w:rsidRDefault="00F41EF4">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r w:rsidRPr="003C69F6">
        <w:rPr>
          <w:rFonts w:cstheme="minorHAnsi"/>
          <w:sz w:val="16"/>
          <w:szCs w:val="16"/>
          <w:lang w:val="en-AU"/>
        </w:rPr>
        <w:t xml:space="preserve">In addition to the </w:t>
      </w:r>
      <w:r w:rsidR="001E43B2" w:rsidRPr="003C69F6">
        <w:rPr>
          <w:rFonts w:cstheme="minorHAnsi"/>
          <w:sz w:val="16"/>
          <w:szCs w:val="16"/>
          <w:lang w:val="en-AU"/>
        </w:rPr>
        <w:t xml:space="preserve">NSW </w:t>
      </w:r>
      <w:r w:rsidRPr="003C69F6">
        <w:rPr>
          <w:rFonts w:cstheme="minorHAnsi"/>
          <w:sz w:val="16"/>
          <w:szCs w:val="16"/>
          <w:lang w:val="en-AU"/>
        </w:rPr>
        <w:t>Special Commissions of Inquiry into the rail crashes at Glenbrook and Waterfall, there was a Special Commission into Sydney Ferries</w:t>
      </w:r>
      <w:r w:rsidR="001E43B2" w:rsidRPr="003C69F6">
        <w:rPr>
          <w:rFonts w:cstheme="minorHAnsi"/>
          <w:sz w:val="16"/>
          <w:szCs w:val="16"/>
          <w:lang w:val="en-AU"/>
        </w:rPr>
        <w:t xml:space="preserve"> – see note 1</w:t>
      </w:r>
      <w:r w:rsidR="005F7CE0">
        <w:rPr>
          <w:rFonts w:cstheme="minorHAnsi"/>
          <w:sz w:val="16"/>
          <w:szCs w:val="16"/>
          <w:lang w:val="en-AU"/>
        </w:rPr>
        <w:t>1</w:t>
      </w:r>
      <w:r w:rsidR="001E43B2" w:rsidRPr="003C69F6">
        <w:rPr>
          <w:rFonts w:cstheme="minorHAnsi"/>
          <w:sz w:val="16"/>
          <w:szCs w:val="16"/>
          <w:lang w:val="en-AU"/>
        </w:rPr>
        <w:t>1.</w:t>
      </w:r>
    </w:p>
    <w:p w14:paraId="51C8AE8D" w14:textId="77777777" w:rsidR="00F41EF4" w:rsidRPr="003C69F6" w:rsidRDefault="00F41EF4">
      <w:pPr>
        <w:pStyle w:val="FootnoteText"/>
        <w:rPr>
          <w:rFonts w:cstheme="minorHAnsi"/>
          <w:sz w:val="16"/>
          <w:szCs w:val="16"/>
          <w:lang w:val="en-AU"/>
        </w:rPr>
      </w:pPr>
    </w:p>
  </w:footnote>
  <w:footnote w:id="52">
    <w:p w14:paraId="761BE966"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By</w:t>
      </w:r>
      <w:r w:rsidRPr="003C69F6">
        <w:rPr>
          <w:rFonts w:cstheme="minorHAnsi"/>
          <w:sz w:val="16"/>
          <w:szCs w:val="16"/>
          <w:shd w:val="clear" w:color="auto" w:fill="FFFFFF"/>
        </w:rPr>
        <w:t xml:space="preserve"> the competition club.  It was most noteworthy for not having an index/directory of its 66 pages: </w:t>
      </w:r>
      <w:hyperlink r:id="rId59" w:history="1">
        <w:r w:rsidRPr="003C69F6">
          <w:rPr>
            <w:rStyle w:val="Hyperlink"/>
            <w:rFonts w:cstheme="minorHAnsi"/>
            <w:sz w:val="16"/>
            <w:szCs w:val="16"/>
          </w:rPr>
          <w:t>http://ncp.ncc.gov.au/docs/COAG%20background%20paper%20-%20COAG%20NCP%20review%2C%20Feb%202006.pdf</w:t>
        </w:r>
      </w:hyperlink>
    </w:p>
    <w:p w14:paraId="27D5E03F" w14:textId="77777777" w:rsidR="005C2248" w:rsidRPr="003C69F6" w:rsidRDefault="005C2248" w:rsidP="005C2248">
      <w:pPr>
        <w:pStyle w:val="FootnoteText"/>
        <w:rPr>
          <w:rFonts w:cstheme="minorHAnsi"/>
          <w:sz w:val="16"/>
          <w:szCs w:val="16"/>
          <w:lang w:val="en-AU"/>
        </w:rPr>
      </w:pPr>
      <w:r w:rsidRPr="003C69F6">
        <w:rPr>
          <w:rFonts w:cstheme="minorHAnsi"/>
          <w:sz w:val="16"/>
          <w:szCs w:val="16"/>
        </w:rPr>
        <w:t xml:space="preserve"> </w:t>
      </w:r>
    </w:p>
  </w:footnote>
  <w:footnote w:id="53">
    <w:p w14:paraId="5308A3D5" w14:textId="2656786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Ignorant and stupid because, among other things, pubic road infrastructure is used as of right, with all aspects dealt with by regulation, and subject to immunities (</w:t>
      </w:r>
      <w:r w:rsidR="003F7A35" w:rsidRPr="003C69F6">
        <w:rPr>
          <w:rFonts w:cstheme="minorHAnsi"/>
          <w:sz w:val="16"/>
          <w:szCs w:val="16"/>
        </w:rPr>
        <w:t xml:space="preserve">the </w:t>
      </w:r>
      <w:r w:rsidRPr="003C69F6">
        <w:rPr>
          <w:rFonts w:cstheme="minorHAnsi"/>
          <w:sz w:val="16"/>
          <w:szCs w:val="16"/>
        </w:rPr>
        <w:t>highway rule).  Rail infrastructure is used under contract, with virtually no aspects dealt with by regulation.  De-regulation of railways would have little if any effect.</w:t>
      </w:r>
    </w:p>
    <w:p w14:paraId="0D81FF25" w14:textId="77777777" w:rsidR="005C2248" w:rsidRPr="003C69F6" w:rsidRDefault="005C2248" w:rsidP="005C2248">
      <w:pPr>
        <w:pStyle w:val="FootnoteText"/>
        <w:rPr>
          <w:rFonts w:cstheme="minorHAnsi"/>
          <w:sz w:val="16"/>
          <w:szCs w:val="16"/>
          <w:lang w:val="en-AU"/>
        </w:rPr>
      </w:pPr>
      <w:r w:rsidRPr="003C69F6">
        <w:rPr>
          <w:rFonts w:cstheme="minorHAnsi"/>
          <w:sz w:val="16"/>
          <w:szCs w:val="16"/>
        </w:rPr>
        <w:t xml:space="preserve"> </w:t>
      </w:r>
    </w:p>
  </w:footnote>
  <w:footnote w:id="54">
    <w:p w14:paraId="4F25DCF9"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60" w:history="1">
        <w:r w:rsidRPr="003C69F6">
          <w:rPr>
            <w:rStyle w:val="Hyperlink"/>
            <w:rFonts w:cstheme="minorHAnsi"/>
            <w:sz w:val="16"/>
            <w:szCs w:val="16"/>
          </w:rPr>
          <w:t>http://ncp.ncc.gov.au/docs/COAG%20background%20paper%20-%20COAG%20NCP%20review,%20Feb%202006.pdf</w:t>
        </w:r>
      </w:hyperlink>
    </w:p>
    <w:p w14:paraId="7A9B0E93" w14:textId="77777777" w:rsidR="005C2248" w:rsidRPr="003C69F6" w:rsidRDefault="005C2248" w:rsidP="005C2248">
      <w:pPr>
        <w:pStyle w:val="FootnoteText"/>
        <w:rPr>
          <w:rFonts w:cstheme="minorHAnsi"/>
          <w:sz w:val="16"/>
          <w:szCs w:val="16"/>
          <w:lang w:val="en-AU"/>
        </w:rPr>
      </w:pPr>
    </w:p>
  </w:footnote>
  <w:footnote w:id="55">
    <w:p w14:paraId="298B209A"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61" w:history="1">
        <w:r w:rsidRPr="003C69F6">
          <w:rPr>
            <w:rStyle w:val="Hyperlink"/>
            <w:rFonts w:cstheme="minorHAnsi"/>
            <w:sz w:val="16"/>
            <w:szCs w:val="16"/>
          </w:rPr>
          <w:t>https://www.pc.gov.au/inquiries/completed/freight</w:t>
        </w:r>
      </w:hyperlink>
    </w:p>
    <w:p w14:paraId="596E8FE2" w14:textId="77777777" w:rsidR="005C2248" w:rsidRPr="003C69F6" w:rsidRDefault="005C2248" w:rsidP="005C2248">
      <w:pPr>
        <w:pStyle w:val="FootnoteText"/>
        <w:rPr>
          <w:rFonts w:cstheme="minorHAnsi"/>
          <w:sz w:val="16"/>
          <w:szCs w:val="16"/>
          <w:lang w:val="en-AU"/>
        </w:rPr>
      </w:pPr>
    </w:p>
  </w:footnote>
  <w:footnote w:id="56">
    <w:p w14:paraId="46A89292" w14:textId="5B8F08A4" w:rsidR="001A4933" w:rsidRPr="003C69F6" w:rsidRDefault="005C2248" w:rsidP="005C2248">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hyperlink r:id="rId62" w:history="1">
        <w:r w:rsidR="001A4933" w:rsidRPr="003C69F6">
          <w:rPr>
            <w:rStyle w:val="Hyperlink"/>
            <w:rFonts w:cstheme="minorHAnsi"/>
            <w:sz w:val="16"/>
            <w:szCs w:val="16"/>
          </w:rPr>
          <w:t>https://www.thejadebeagle.com/roads.html</w:t>
        </w:r>
      </w:hyperlink>
    </w:p>
    <w:p w14:paraId="71F9D9A0" w14:textId="77777777" w:rsidR="005C2248" w:rsidRPr="003C69F6" w:rsidRDefault="005C2248" w:rsidP="005C2248">
      <w:pPr>
        <w:pStyle w:val="FootnoteText"/>
        <w:rPr>
          <w:rFonts w:cstheme="minorHAnsi"/>
          <w:sz w:val="16"/>
          <w:szCs w:val="16"/>
          <w:lang w:val="en-AU"/>
        </w:rPr>
      </w:pPr>
    </w:p>
  </w:footnote>
  <w:footnote w:id="57">
    <w:p w14:paraId="3F1DB0C0" w14:textId="46EB368F" w:rsidR="001A4933" w:rsidRPr="003C69F6" w:rsidRDefault="001A4933">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63" w:history="1">
        <w:r w:rsidRPr="003C69F6">
          <w:rPr>
            <w:rStyle w:val="Hyperlink"/>
            <w:rFonts w:cstheme="minorHAnsi"/>
            <w:sz w:val="16"/>
            <w:szCs w:val="16"/>
          </w:rPr>
          <w:t>https://www.ipart.nsw.gov.au/Home/Industries/Transport/Reviews/CityRail/Review-of-CityRail-fares-from-2009-and-regulatory-framework/06-Jun-2008-Discussion-Paper/Determining-CityRails-revenue-requirement-and-how-it-should-be-funded-Discussion-Paper-6-June-2008</w:t>
        </w:r>
      </w:hyperlink>
    </w:p>
    <w:p w14:paraId="0ABD4D70" w14:textId="77777777" w:rsidR="001A4933" w:rsidRPr="003C69F6" w:rsidRDefault="001A4933">
      <w:pPr>
        <w:pStyle w:val="FootnoteText"/>
        <w:rPr>
          <w:rFonts w:cstheme="minorHAnsi"/>
          <w:sz w:val="16"/>
          <w:szCs w:val="16"/>
          <w:lang w:val="en-AU"/>
        </w:rPr>
      </w:pPr>
    </w:p>
  </w:footnote>
  <w:footnote w:id="58">
    <w:p w14:paraId="175D6E70" w14:textId="03F45B25" w:rsidR="009B124A" w:rsidRPr="003C69F6" w:rsidRDefault="009B124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64" w:history="1">
        <w:r w:rsidRPr="003C69F6">
          <w:rPr>
            <w:rStyle w:val="Hyperlink"/>
            <w:rFonts w:cstheme="minorHAnsi"/>
            <w:sz w:val="16"/>
            <w:szCs w:val="16"/>
          </w:rPr>
          <w:t>https://www.ipart.nsw.gov.au/sites/default/files/documents/final_report_-_improving_cityrails_accountability_and_incentives_though_an_effective_service_contract_-_december_2008_-_website_document.pdf</w:t>
        </w:r>
      </w:hyperlink>
    </w:p>
    <w:p w14:paraId="1FC6F907" w14:textId="77777777" w:rsidR="009B124A" w:rsidRPr="003C69F6" w:rsidRDefault="009B124A">
      <w:pPr>
        <w:pStyle w:val="FootnoteText"/>
        <w:rPr>
          <w:rFonts w:cstheme="minorHAnsi"/>
          <w:sz w:val="16"/>
          <w:szCs w:val="16"/>
          <w:lang w:val="en-AU"/>
        </w:rPr>
      </w:pPr>
    </w:p>
  </w:footnote>
  <w:footnote w:id="59">
    <w:p w14:paraId="37141D92" w14:textId="77777777" w:rsidR="00152933" w:rsidRPr="003C69F6" w:rsidRDefault="00152933">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In full:</w:t>
      </w:r>
    </w:p>
    <w:p w14:paraId="341DDC9A" w14:textId="1F5C1CD8" w:rsidR="00152933" w:rsidRPr="003C69F6" w:rsidRDefault="00152933" w:rsidP="00152933">
      <w:pPr>
        <w:pStyle w:val="FootnoteText"/>
        <w:ind w:left="720"/>
        <w:rPr>
          <w:rFonts w:cstheme="minorHAnsi"/>
          <w:i/>
          <w:iCs/>
          <w:sz w:val="16"/>
          <w:szCs w:val="16"/>
        </w:rPr>
      </w:pPr>
      <w:r w:rsidRPr="003C69F6">
        <w:rPr>
          <w:rFonts w:cstheme="minorHAnsi"/>
          <w:i/>
          <w:iCs/>
          <w:sz w:val="16"/>
          <w:szCs w:val="16"/>
        </w:rPr>
        <w:t>‘…..As part of the Government’s package of governance reforms the amendments also require RailCorp to enter into a service contract with the Government (via the Director General of the Ministry of Transport) for the provision of passenger rail services IPART considers that the service contract model has the potential to strengthen the economic regulatory framework for CityRail, and provide effective incentives to improve CityRail’s financial performance without decreasing its service performance. IPART notes the Minister’s comments that its decision to introduce the service contracting model for RailCorp is consistent with IPART’s draft recommendations. In addition, the Government’s submission in response to the draft report noted that the changes introduced to Parliament “will allow Government to move towards a governance arrangement along the lines of the … model proposed by IPART</w:t>
      </w:r>
      <w:r w:rsidR="000543A5" w:rsidRPr="003C69F6">
        <w:rPr>
          <w:rFonts w:cstheme="minorHAnsi"/>
          <w:i/>
          <w:iCs/>
          <w:sz w:val="16"/>
          <w:szCs w:val="16"/>
        </w:rPr>
        <w:t>’</w:t>
      </w:r>
    </w:p>
    <w:p w14:paraId="4BFB2AA6" w14:textId="132C431D" w:rsidR="000543A5" w:rsidRPr="003C69F6" w:rsidRDefault="00CC3DB7" w:rsidP="000543A5">
      <w:pPr>
        <w:pStyle w:val="FootnoteText"/>
        <w:rPr>
          <w:rFonts w:cstheme="minorHAnsi"/>
          <w:sz w:val="16"/>
          <w:szCs w:val="16"/>
          <w:lang w:val="en-AU"/>
        </w:rPr>
      </w:pPr>
      <w:hyperlink r:id="rId65" w:history="1">
        <w:r w:rsidR="000543A5" w:rsidRPr="003C69F6">
          <w:rPr>
            <w:rStyle w:val="Hyperlink"/>
            <w:rFonts w:cstheme="minorHAnsi"/>
            <w:sz w:val="16"/>
            <w:szCs w:val="16"/>
            <w:lang w:val="en-AU"/>
          </w:rPr>
          <w:t>https://www.ipart.nsw.gov.au/sites/default/files/documents/final_report_-_improving_cityrails_accountability_and_incentives_though_an_effective_service_contract_-_december_2008_-_website_document.pdf</w:t>
        </w:r>
      </w:hyperlink>
    </w:p>
    <w:p w14:paraId="2BCB6090" w14:textId="670465CC" w:rsidR="000543A5" w:rsidRPr="003C69F6" w:rsidRDefault="000543A5" w:rsidP="000543A5">
      <w:pPr>
        <w:pStyle w:val="FootnoteText"/>
        <w:rPr>
          <w:rFonts w:cstheme="minorHAnsi"/>
          <w:sz w:val="16"/>
          <w:szCs w:val="16"/>
          <w:lang w:val="en-AU"/>
        </w:rPr>
      </w:pPr>
      <w:r w:rsidRPr="003C69F6">
        <w:rPr>
          <w:rFonts w:cstheme="minorHAnsi"/>
          <w:sz w:val="16"/>
          <w:szCs w:val="16"/>
          <w:lang w:val="en-AU"/>
        </w:rPr>
        <w:t>at p.2</w:t>
      </w:r>
      <w:r w:rsidR="005F7CE0">
        <w:rPr>
          <w:rFonts w:cstheme="minorHAnsi"/>
          <w:sz w:val="16"/>
          <w:szCs w:val="16"/>
          <w:lang w:val="en-AU"/>
        </w:rPr>
        <w:t>.</w:t>
      </w:r>
    </w:p>
    <w:p w14:paraId="3396D539" w14:textId="77777777" w:rsidR="000543A5" w:rsidRPr="003C69F6" w:rsidRDefault="000543A5" w:rsidP="000543A5">
      <w:pPr>
        <w:pStyle w:val="FootnoteText"/>
        <w:rPr>
          <w:rFonts w:cstheme="minorHAnsi"/>
          <w:sz w:val="16"/>
          <w:szCs w:val="16"/>
          <w:lang w:val="en-AU"/>
        </w:rPr>
      </w:pPr>
    </w:p>
  </w:footnote>
  <w:footnote w:id="60">
    <w:p w14:paraId="4609B279" w14:textId="65E52D10" w:rsidR="004B15CB" w:rsidRDefault="004B15CB">
      <w:pPr>
        <w:pStyle w:val="FootnoteText"/>
        <w:rPr>
          <w:rStyle w:val="Hyperlink"/>
          <w:rFonts w:cstheme="minorHAnsi"/>
          <w:sz w:val="16"/>
          <w:szCs w:val="16"/>
        </w:rPr>
      </w:pPr>
      <w:r>
        <w:rPr>
          <w:rStyle w:val="FootnoteReference"/>
        </w:rPr>
        <w:footnoteRef/>
      </w:r>
      <w:r>
        <w:t xml:space="preserve"> </w:t>
      </w:r>
      <w:hyperlink r:id="rId66" w:history="1">
        <w:r w:rsidRPr="003C69F6">
          <w:rPr>
            <w:rStyle w:val="Hyperlink"/>
            <w:rFonts w:cstheme="minorHAnsi"/>
            <w:sz w:val="16"/>
            <w:szCs w:val="16"/>
          </w:rPr>
          <w:t>https://www.dpc.nsw.gov.au/assets/dpc-nsw-gov-au/publications/Sydney-Ferries-listing-440/440477d422/Report-of-the-Special-Commission-of-Inquiry-into-Sydney-Ferries.pdf</w:t>
        </w:r>
      </w:hyperlink>
    </w:p>
    <w:p w14:paraId="23FEA5B1" w14:textId="77777777" w:rsidR="00913214" w:rsidRPr="004B15CB" w:rsidRDefault="00913214">
      <w:pPr>
        <w:pStyle w:val="FootnoteText"/>
        <w:rPr>
          <w:lang w:val="en-AU"/>
        </w:rPr>
      </w:pPr>
    </w:p>
  </w:footnote>
  <w:footnote w:id="61">
    <w:p w14:paraId="7F5F4A3C" w14:textId="5CE8FAC6" w:rsidR="004B15CB" w:rsidRDefault="004B15CB">
      <w:pPr>
        <w:pStyle w:val="FootnoteText"/>
        <w:rPr>
          <w:sz w:val="16"/>
          <w:szCs w:val="16"/>
          <w:lang w:val="en-AU"/>
        </w:rPr>
      </w:pPr>
      <w:r w:rsidRPr="00913214">
        <w:rPr>
          <w:rStyle w:val="FootnoteReference"/>
          <w:sz w:val="16"/>
          <w:szCs w:val="16"/>
        </w:rPr>
        <w:footnoteRef/>
      </w:r>
      <w:r w:rsidRPr="00913214">
        <w:rPr>
          <w:sz w:val="16"/>
          <w:szCs w:val="16"/>
        </w:rPr>
        <w:t xml:space="preserve"> </w:t>
      </w:r>
      <w:r w:rsidR="00913214" w:rsidRPr="00913214">
        <w:rPr>
          <w:sz w:val="16"/>
          <w:szCs w:val="16"/>
          <w:lang w:val="en-AU"/>
        </w:rPr>
        <w:t xml:space="preserve">See: </w:t>
      </w:r>
      <w:hyperlink r:id="rId67" w:history="1">
        <w:r w:rsidR="00913214" w:rsidRPr="00B1597F">
          <w:rPr>
            <w:rStyle w:val="Hyperlink"/>
            <w:sz w:val="16"/>
            <w:szCs w:val="16"/>
            <w:lang w:val="en-AU"/>
          </w:rPr>
          <w:t>https://www.ipart.nsw.gov.au/Home/Industries/Transport/Reviews/Public-Transport-Fares/Review-of-CityRail-fares-from-2009-and-regulatory-framework</w:t>
        </w:r>
      </w:hyperlink>
    </w:p>
    <w:p w14:paraId="048F212F" w14:textId="77777777" w:rsidR="00913214" w:rsidRPr="00913214" w:rsidRDefault="00913214">
      <w:pPr>
        <w:pStyle w:val="FootnoteText"/>
        <w:rPr>
          <w:sz w:val="16"/>
          <w:szCs w:val="16"/>
          <w:lang w:val="en-AU"/>
        </w:rPr>
      </w:pPr>
    </w:p>
  </w:footnote>
  <w:footnote w:id="62">
    <w:p w14:paraId="191ECE35"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Review other than by members of the competition club: </w:t>
      </w:r>
      <w:hyperlink r:id="rId68" w:anchor=":~:text=The%20Harper%20Review%20provided%20a,and%20simplifying%20Australia's%20competition%20laws" w:history="1">
        <w:r w:rsidRPr="003C69F6">
          <w:rPr>
            <w:rStyle w:val="Hyperlink"/>
            <w:rFonts w:cstheme="minorHAnsi"/>
            <w:sz w:val="16"/>
            <w:szCs w:val="16"/>
          </w:rPr>
          <w:t>https://www.aph.gov.au/About_Parliament/Parliamentary_Departments/Parliamentary_Library/pubs/BriefingBook46p/CompetitionPolicy#:~:text=The%20Harper%20Review%20provided%20a,and%20simplifying%20Australia's%20competition%20laws</w:t>
        </w:r>
      </w:hyperlink>
      <w:r w:rsidRPr="003C69F6">
        <w:rPr>
          <w:rFonts w:cstheme="minorHAnsi"/>
          <w:sz w:val="16"/>
          <w:szCs w:val="16"/>
        </w:rPr>
        <w:t>.</w:t>
      </w:r>
    </w:p>
    <w:p w14:paraId="4DD988AA" w14:textId="77777777" w:rsidR="005C2248" w:rsidRPr="003C69F6" w:rsidRDefault="005C2248" w:rsidP="005C2248">
      <w:pPr>
        <w:pStyle w:val="FootnoteText"/>
        <w:rPr>
          <w:rFonts w:cstheme="minorHAnsi"/>
          <w:sz w:val="16"/>
          <w:szCs w:val="16"/>
          <w:lang w:val="en-AU"/>
        </w:rPr>
      </w:pPr>
    </w:p>
  </w:footnote>
  <w:footnote w:id="63">
    <w:p w14:paraId="7913896B" w14:textId="6674DE4A" w:rsidR="00627B19" w:rsidRPr="00334E75" w:rsidRDefault="00627B19">
      <w:pPr>
        <w:pStyle w:val="FootnoteText"/>
        <w:rPr>
          <w:sz w:val="16"/>
          <w:szCs w:val="16"/>
          <w:lang w:val="en-AU"/>
        </w:rPr>
      </w:pPr>
      <w:r w:rsidRPr="00334E75">
        <w:rPr>
          <w:rStyle w:val="FootnoteReference"/>
          <w:sz w:val="16"/>
          <w:szCs w:val="16"/>
        </w:rPr>
        <w:footnoteRef/>
      </w:r>
      <w:r w:rsidRPr="00334E75">
        <w:rPr>
          <w:sz w:val="16"/>
          <w:szCs w:val="16"/>
        </w:rPr>
        <w:t xml:space="preserve"> </w:t>
      </w:r>
      <w:hyperlink r:id="rId69" w:history="1">
        <w:r w:rsidRPr="00334E75">
          <w:rPr>
            <w:rStyle w:val="Hyperlink"/>
            <w:sz w:val="16"/>
            <w:szCs w:val="16"/>
          </w:rPr>
          <w:t>https://treasury.gov.au/sites/default/files/2019-03/Competition-policy-review-report_online.pdf</w:t>
        </w:r>
      </w:hyperlink>
      <w:r w:rsidRPr="00334E75">
        <w:rPr>
          <w:sz w:val="16"/>
          <w:szCs w:val="16"/>
        </w:rPr>
        <w:t xml:space="preserve"> at p.73</w:t>
      </w:r>
      <w:r w:rsidR="005F7CE0">
        <w:rPr>
          <w:sz w:val="16"/>
          <w:szCs w:val="16"/>
        </w:rPr>
        <w:t>.</w:t>
      </w:r>
    </w:p>
  </w:footnote>
  <w:footnote w:id="64">
    <w:p w14:paraId="2D5CD18D" w14:textId="77777777" w:rsidR="005C2248" w:rsidRPr="003C69F6" w:rsidRDefault="005C2248" w:rsidP="005C2248">
      <w:pPr>
        <w:pStyle w:val="FootnoteText"/>
        <w:rPr>
          <w:rFonts w:cstheme="minorHAnsi"/>
          <w:sz w:val="16"/>
          <w:szCs w:val="16"/>
        </w:rPr>
      </w:pPr>
      <w:r w:rsidRPr="003C69F6">
        <w:rPr>
          <w:rStyle w:val="FootnoteReference"/>
          <w:rFonts w:cstheme="minorHAnsi"/>
          <w:sz w:val="16"/>
          <w:szCs w:val="16"/>
        </w:rPr>
        <w:footnoteRef/>
      </w:r>
      <w:hyperlink r:id="rId70" w:history="1">
        <w:r w:rsidRPr="003C69F6">
          <w:rPr>
            <w:rStyle w:val="Hyperlink"/>
            <w:rFonts w:cstheme="minorHAnsi"/>
            <w:sz w:val="16"/>
            <w:szCs w:val="16"/>
          </w:rPr>
          <w:t>https://www.parliament.nsw.gov.au/lcdocs/submissions/76629/0009%20NSW%20Treasury%20and%20Transport%20for%20NSW.pdf</w:t>
        </w:r>
      </w:hyperlink>
    </w:p>
    <w:p w14:paraId="5CDFE85C" w14:textId="77777777" w:rsidR="005C2248" w:rsidRPr="003C69F6" w:rsidRDefault="00CC3DB7" w:rsidP="005C2248">
      <w:pPr>
        <w:pStyle w:val="FootnoteText"/>
        <w:rPr>
          <w:rFonts w:cstheme="minorHAnsi"/>
          <w:sz w:val="16"/>
          <w:szCs w:val="16"/>
        </w:rPr>
      </w:pPr>
      <w:hyperlink r:id="rId71" w:history="1">
        <w:r w:rsidR="005C2248" w:rsidRPr="003C69F6">
          <w:rPr>
            <w:rStyle w:val="Hyperlink"/>
            <w:rFonts w:cstheme="minorHAnsi"/>
            <w:sz w:val="16"/>
            <w:szCs w:val="16"/>
          </w:rPr>
          <w:t>http://ncp.ncc.gov.au/docs/National%20Competition%20Policy%20Review%20report,%20The%20Hilmer%20Report,%20August%201993.pdf</w:t>
        </w:r>
      </w:hyperlink>
    </w:p>
    <w:p w14:paraId="14E1FEF8" w14:textId="77777777" w:rsidR="005C2248" w:rsidRPr="003C69F6" w:rsidRDefault="00CC3DB7" w:rsidP="005C2248">
      <w:pPr>
        <w:pStyle w:val="FootnoteText"/>
        <w:rPr>
          <w:rFonts w:cstheme="minorHAnsi"/>
          <w:sz w:val="16"/>
          <w:szCs w:val="16"/>
        </w:rPr>
      </w:pPr>
      <w:hyperlink r:id="rId72" w:history="1">
        <w:r w:rsidR="005C2248" w:rsidRPr="003C69F6">
          <w:rPr>
            <w:rStyle w:val="Hyperlink"/>
            <w:rFonts w:cstheme="minorHAnsi"/>
            <w:sz w:val="16"/>
            <w:szCs w:val="16"/>
          </w:rPr>
          <w:t>https://www.pc.gov.au/inquiries/completed/access/files/ncpagreement.pdf</w:t>
        </w:r>
      </w:hyperlink>
    </w:p>
    <w:p w14:paraId="3CFF3900" w14:textId="77777777" w:rsidR="005C2248" w:rsidRPr="003C69F6" w:rsidRDefault="00CC3DB7" w:rsidP="005C2248">
      <w:pPr>
        <w:pStyle w:val="FootnoteText"/>
        <w:rPr>
          <w:rFonts w:cstheme="minorHAnsi"/>
          <w:sz w:val="16"/>
          <w:szCs w:val="16"/>
        </w:rPr>
      </w:pPr>
      <w:hyperlink r:id="rId73" w:history="1">
        <w:r w:rsidR="005C2248" w:rsidRPr="003C69F6">
          <w:rPr>
            <w:rStyle w:val="Hyperlink"/>
            <w:rFonts w:cstheme="minorHAnsi"/>
            <w:sz w:val="16"/>
            <w:szCs w:val="16"/>
          </w:rPr>
          <w:t>https://www.treasury.nsw.gov.au/sites/default/files/2017-03/IGA-productivity-reforms.pdf</w:t>
        </w:r>
      </w:hyperlink>
    </w:p>
    <w:p w14:paraId="263A84BA" w14:textId="77777777" w:rsidR="005C2248" w:rsidRPr="003C69F6" w:rsidRDefault="005C2248" w:rsidP="005C2248">
      <w:pPr>
        <w:pStyle w:val="FootnoteText"/>
        <w:rPr>
          <w:rFonts w:cstheme="minorHAnsi"/>
          <w:sz w:val="16"/>
          <w:szCs w:val="16"/>
          <w:lang w:val="en-AU"/>
        </w:rPr>
      </w:pPr>
    </w:p>
  </w:footnote>
  <w:footnote w:id="65">
    <w:p w14:paraId="0BE5DE7E" w14:textId="32EDEF9B" w:rsidR="00AC00F4" w:rsidRPr="003C69F6" w:rsidRDefault="00AC00F4" w:rsidP="00FC1FED">
      <w:pPr>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r w:rsidR="00DF5228" w:rsidRPr="003C69F6">
        <w:rPr>
          <w:rFonts w:cstheme="minorHAnsi"/>
          <w:sz w:val="16"/>
          <w:szCs w:val="16"/>
        </w:rPr>
        <w:t>E.g.</w:t>
      </w:r>
      <w:r w:rsidR="00FC1FED" w:rsidRPr="003C69F6">
        <w:rPr>
          <w:rFonts w:cstheme="minorHAnsi"/>
          <w:sz w:val="16"/>
          <w:szCs w:val="16"/>
        </w:rPr>
        <w:t xml:space="preserve">: </w:t>
      </w:r>
      <w:hyperlink r:id="rId74" w:history="1">
        <w:r w:rsidR="00FC1FED" w:rsidRPr="003C69F6">
          <w:rPr>
            <w:rStyle w:val="Hyperlink"/>
            <w:rFonts w:cstheme="minorHAnsi"/>
            <w:sz w:val="16"/>
            <w:szCs w:val="16"/>
            <w:shd w:val="clear" w:color="auto" w:fill="FFFFFF"/>
          </w:rPr>
          <w:t>https://www.pc.gov.au/__data/assets/pdf_file/0020/34526/rail.pdf</w:t>
        </w:r>
      </w:hyperlink>
    </w:p>
  </w:footnote>
  <w:footnote w:id="66">
    <w:p w14:paraId="711D388F" w14:textId="588DCB80" w:rsidR="00424303" w:rsidRPr="003C69F6" w:rsidRDefault="00424303" w:rsidP="00A469EA">
      <w:pPr>
        <w:pStyle w:val="FootnoteText"/>
        <w:rPr>
          <w:rFonts w:cstheme="minorHAnsi"/>
          <w:i/>
          <w:iCs/>
          <w:sz w:val="16"/>
          <w:szCs w:val="16"/>
        </w:rPr>
      </w:pPr>
      <w:r w:rsidRPr="003C69F6">
        <w:rPr>
          <w:rStyle w:val="FootnoteReference"/>
          <w:rFonts w:cstheme="minorHAnsi"/>
          <w:sz w:val="16"/>
          <w:szCs w:val="16"/>
        </w:rPr>
        <w:footnoteRef/>
      </w:r>
      <w:r w:rsidRPr="003C69F6">
        <w:rPr>
          <w:rFonts w:cstheme="minorHAnsi"/>
          <w:sz w:val="16"/>
          <w:szCs w:val="16"/>
        </w:rPr>
        <w:t xml:space="preserve"> </w:t>
      </w:r>
      <w:r w:rsidR="004D602B" w:rsidRPr="003C69F6">
        <w:rPr>
          <w:rFonts w:cstheme="minorHAnsi"/>
          <w:sz w:val="16"/>
          <w:szCs w:val="16"/>
        </w:rPr>
        <w:t>‘</w:t>
      </w:r>
      <w:r w:rsidRPr="003C69F6">
        <w:rPr>
          <w:rFonts w:cstheme="minorHAnsi"/>
          <w:i/>
          <w:iCs/>
          <w:sz w:val="16"/>
          <w:szCs w:val="16"/>
        </w:rPr>
        <w:t xml:space="preserve">Ms ABIGAIL BOYD: Thank you. Just before you leave that last document that we were looking at, which also contains a comparison of the Victorian and Queensland models….. are you able to tell the Committee the major structural difference between the Queensland Rail structure and what has been set up for TAHE? </w:t>
      </w:r>
    </w:p>
    <w:p w14:paraId="1A8C95E1" w14:textId="7C0D0B1D" w:rsidR="00424303" w:rsidRPr="003C69F6" w:rsidRDefault="00424303" w:rsidP="00A469EA">
      <w:pPr>
        <w:pStyle w:val="FootnoteText"/>
        <w:rPr>
          <w:rFonts w:cstheme="minorHAnsi"/>
          <w:i/>
          <w:iCs/>
          <w:sz w:val="16"/>
          <w:szCs w:val="16"/>
        </w:rPr>
      </w:pPr>
      <w:r w:rsidRPr="003C69F6">
        <w:rPr>
          <w:rFonts w:cstheme="minorHAnsi"/>
          <w:i/>
          <w:iCs/>
          <w:sz w:val="16"/>
          <w:szCs w:val="16"/>
        </w:rPr>
        <w:t>Mr LONGLAND: ….. Queensland Rail managed rail assets as commercial assets. They do that through two separate companies, both Government owned. Queensland Rail is a not-for-profit government-owned company that is the deliverer of rail services. In my previous role in Transport, I was effectively the contract manager and that part of Queensland Rail was charged with delivering rail services under contract to the department. Then Queensland Rail Limited was the commercial arm that held the assets and drove a return on those assets back to government. So part of my payment to Queensland Rail included an element for return on assets to ensure that those assets were treated in the commercial way.</w:t>
      </w:r>
      <w:r w:rsidR="004D602B" w:rsidRPr="003C69F6">
        <w:rPr>
          <w:rFonts w:cstheme="minorHAnsi"/>
          <w:i/>
          <w:iCs/>
          <w:sz w:val="16"/>
          <w:szCs w:val="16"/>
        </w:rPr>
        <w:t>’</w:t>
      </w:r>
    </w:p>
    <w:p w14:paraId="448F50F6" w14:textId="7474266F" w:rsidR="00424303" w:rsidRPr="003C69F6" w:rsidRDefault="00CC3DB7" w:rsidP="00A469EA">
      <w:pPr>
        <w:pStyle w:val="FootnoteText"/>
        <w:rPr>
          <w:rFonts w:cstheme="minorHAnsi"/>
          <w:sz w:val="16"/>
          <w:szCs w:val="16"/>
          <w:lang w:val="en-AU"/>
        </w:rPr>
      </w:pPr>
      <w:hyperlink r:id="rId75" w:history="1">
        <w:r w:rsidR="004D602B" w:rsidRPr="003C69F6">
          <w:rPr>
            <w:rStyle w:val="Hyperlink"/>
            <w:rFonts w:cstheme="minorHAnsi"/>
            <w:sz w:val="16"/>
            <w:szCs w:val="16"/>
            <w:lang w:val="en-AU"/>
          </w:rPr>
          <w:t>https://www.parliament.nsw.gov.au/lcdocs/transcripts/2714/Transcript%20-%20Corrected%20-%201%20October%202021(2).pdf</w:t>
        </w:r>
      </w:hyperlink>
    </w:p>
    <w:p w14:paraId="4B83E81E" w14:textId="77777777" w:rsidR="004D602B" w:rsidRPr="003C69F6" w:rsidRDefault="004D602B" w:rsidP="00A469EA">
      <w:pPr>
        <w:pStyle w:val="FootnoteText"/>
        <w:rPr>
          <w:rFonts w:cstheme="minorHAnsi"/>
          <w:sz w:val="16"/>
          <w:szCs w:val="16"/>
          <w:lang w:val="en-AU"/>
        </w:rPr>
      </w:pPr>
    </w:p>
  </w:footnote>
  <w:footnote w:id="67">
    <w:p w14:paraId="296E0A81" w14:textId="77777777" w:rsidR="008930DD" w:rsidRPr="003C69F6" w:rsidRDefault="008930DD"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76" w:history="1">
        <w:r w:rsidRPr="003C69F6">
          <w:rPr>
            <w:rStyle w:val="Hyperlink"/>
            <w:rFonts w:cstheme="minorHAnsi"/>
            <w:sz w:val="16"/>
            <w:szCs w:val="16"/>
          </w:rPr>
          <w:t>https://www.parliament.nsw.gov.au/lcdocs/other/16111/TRANSPORT_TENDER_002.pdf</w:t>
        </w:r>
      </w:hyperlink>
      <w:r w:rsidRPr="003C69F6">
        <w:rPr>
          <w:rFonts w:cstheme="minorHAnsi"/>
          <w:sz w:val="16"/>
          <w:szCs w:val="16"/>
        </w:rPr>
        <w:t xml:space="preserve">  para 5.14.</w:t>
      </w:r>
    </w:p>
    <w:p w14:paraId="7D95BD71" w14:textId="77777777" w:rsidR="008930DD" w:rsidRPr="003C69F6" w:rsidRDefault="008930DD" w:rsidP="00A469EA">
      <w:pPr>
        <w:pStyle w:val="FootnoteText"/>
        <w:rPr>
          <w:rFonts w:cstheme="minorHAnsi"/>
          <w:sz w:val="16"/>
          <w:szCs w:val="16"/>
          <w:lang w:val="en-AU"/>
        </w:rPr>
      </w:pPr>
    </w:p>
  </w:footnote>
  <w:footnote w:id="68">
    <w:p w14:paraId="0B4ACA0E" w14:textId="77777777" w:rsidR="004D602B" w:rsidRPr="003C69F6" w:rsidRDefault="004D602B"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77" w:history="1">
        <w:r w:rsidRPr="003C69F6">
          <w:rPr>
            <w:rStyle w:val="Hyperlink"/>
            <w:rFonts w:cstheme="minorHAnsi"/>
            <w:sz w:val="16"/>
            <w:szCs w:val="16"/>
          </w:rPr>
          <w:t>https://www.queenslandrail.com.au/ourhistory/the-queensland-rail-journey</w:t>
        </w:r>
      </w:hyperlink>
    </w:p>
    <w:p w14:paraId="4F36365B" w14:textId="77777777" w:rsidR="004D602B" w:rsidRPr="003C69F6" w:rsidRDefault="00CC3DB7" w:rsidP="00A469EA">
      <w:pPr>
        <w:pStyle w:val="FootnoteText"/>
        <w:rPr>
          <w:rFonts w:cstheme="minorHAnsi"/>
          <w:sz w:val="16"/>
          <w:szCs w:val="16"/>
        </w:rPr>
      </w:pPr>
      <w:hyperlink r:id="rId78" w:history="1">
        <w:r w:rsidR="004D602B" w:rsidRPr="003C69F6">
          <w:rPr>
            <w:rStyle w:val="Hyperlink"/>
            <w:rFonts w:cstheme="minorHAnsi"/>
            <w:sz w:val="16"/>
            <w:szCs w:val="16"/>
          </w:rPr>
          <w:t>https://www.queenslandrail.com.au/forbusiness/the-regional-network</w:t>
        </w:r>
      </w:hyperlink>
    </w:p>
    <w:p w14:paraId="6DD00E88" w14:textId="77777777" w:rsidR="004D602B" w:rsidRPr="003C69F6" w:rsidRDefault="004D602B" w:rsidP="00A469EA">
      <w:pPr>
        <w:pStyle w:val="FootnoteText"/>
        <w:rPr>
          <w:rFonts w:cstheme="minorHAnsi"/>
          <w:sz w:val="16"/>
          <w:szCs w:val="16"/>
          <w:lang w:val="en-AU"/>
        </w:rPr>
      </w:pPr>
    </w:p>
  </w:footnote>
  <w:footnote w:id="69">
    <w:p w14:paraId="7296140F" w14:textId="4D656CC8" w:rsidR="000211BB" w:rsidRPr="003C69F6" w:rsidRDefault="000211BB" w:rsidP="00A469EA">
      <w:pPr>
        <w:spacing w:after="0"/>
        <w:rPr>
          <w:rFonts w:cstheme="minorHAnsi"/>
          <w:sz w:val="16"/>
          <w:szCs w:val="16"/>
          <w:shd w:val="clear" w:color="auto" w:fill="FFFFFF"/>
        </w:rPr>
      </w:pPr>
      <w:r w:rsidRPr="003C69F6">
        <w:rPr>
          <w:rStyle w:val="FootnoteReference"/>
          <w:rFonts w:cstheme="minorHAnsi"/>
          <w:sz w:val="16"/>
          <w:szCs w:val="16"/>
        </w:rPr>
        <w:footnoteRef/>
      </w:r>
      <w:r w:rsidRPr="003C69F6">
        <w:rPr>
          <w:rFonts w:cstheme="minorHAnsi"/>
          <w:sz w:val="16"/>
          <w:szCs w:val="16"/>
        </w:rPr>
        <w:t xml:space="preserve"> </w:t>
      </w:r>
      <w:r w:rsidR="004D602B" w:rsidRPr="003C69F6">
        <w:rPr>
          <w:rFonts w:cstheme="minorHAnsi"/>
          <w:i/>
          <w:sz w:val="16"/>
          <w:szCs w:val="16"/>
          <w:shd w:val="clear" w:color="auto" w:fill="FFFFFF"/>
        </w:rPr>
        <w:t>‘Queensland Rail is a statutory authority established under the </w:t>
      </w:r>
      <w:r w:rsidR="004D602B" w:rsidRPr="003C69F6">
        <w:rPr>
          <w:rStyle w:val="Emphasis"/>
          <w:rFonts w:cstheme="minorHAnsi"/>
          <w:i w:val="0"/>
          <w:sz w:val="16"/>
          <w:szCs w:val="16"/>
          <w:shd w:val="clear" w:color="auto" w:fill="FFFFFF"/>
        </w:rPr>
        <w:t>Queensland Rail Transit Authority Act 2013 (Qld) (QRTA Act)</w:t>
      </w:r>
      <w:r w:rsidR="004D602B" w:rsidRPr="003C69F6">
        <w:rPr>
          <w:rFonts w:cstheme="minorHAnsi"/>
          <w:i/>
          <w:sz w:val="16"/>
          <w:szCs w:val="16"/>
          <w:shd w:val="clear" w:color="auto" w:fill="FFFFFF"/>
        </w:rPr>
        <w:t> and is a statutory body for the purposes of the </w:t>
      </w:r>
      <w:r w:rsidR="004D602B" w:rsidRPr="003C69F6">
        <w:rPr>
          <w:rStyle w:val="Emphasis"/>
          <w:rFonts w:cstheme="minorHAnsi"/>
          <w:i w:val="0"/>
          <w:sz w:val="16"/>
          <w:szCs w:val="16"/>
          <w:shd w:val="clear" w:color="auto" w:fill="FFFFFF"/>
        </w:rPr>
        <w:t>Financial Accountability Act 2009 (Qld) </w:t>
      </w:r>
      <w:r w:rsidR="004D602B" w:rsidRPr="003C69F6">
        <w:rPr>
          <w:rFonts w:cstheme="minorHAnsi"/>
          <w:i/>
          <w:sz w:val="16"/>
          <w:szCs w:val="16"/>
          <w:shd w:val="clear" w:color="auto" w:fill="FFFFFF"/>
        </w:rPr>
        <w:t>and the </w:t>
      </w:r>
      <w:r w:rsidR="004D602B" w:rsidRPr="003C69F6">
        <w:rPr>
          <w:rStyle w:val="Emphasis"/>
          <w:rFonts w:cstheme="minorHAnsi"/>
          <w:i w:val="0"/>
          <w:sz w:val="16"/>
          <w:szCs w:val="16"/>
          <w:shd w:val="clear" w:color="auto" w:fill="FFFFFF"/>
        </w:rPr>
        <w:t>Statutory Bodies Financial Arrangements Act 1982 (Qld)</w:t>
      </w:r>
      <w:r w:rsidR="004D602B" w:rsidRPr="003C69F6">
        <w:rPr>
          <w:rFonts w:cstheme="minorHAnsi"/>
          <w:i/>
          <w:sz w:val="16"/>
          <w:szCs w:val="16"/>
          <w:shd w:val="clear" w:color="auto" w:fill="FFFFFF"/>
        </w:rPr>
        <w:t>. Queensland Rail discharges its statutory functions through its wholly-owned subsidiary Queensland Rail Limited (QRL). QRL does not employ any personnel, but owns all non-employee related assets and contracts. It performs the role of rail transport operator under the </w:t>
      </w:r>
      <w:r w:rsidR="004D602B" w:rsidRPr="003C69F6">
        <w:rPr>
          <w:rStyle w:val="Emphasis"/>
          <w:rFonts w:cstheme="minorHAnsi"/>
          <w:i w:val="0"/>
          <w:sz w:val="16"/>
          <w:szCs w:val="16"/>
          <w:shd w:val="clear" w:color="auto" w:fill="FFFFFF"/>
        </w:rPr>
        <w:t>Rail Safety National Law (Queensland) Act 2017</w:t>
      </w:r>
      <w:r w:rsidR="004D602B" w:rsidRPr="003C69F6">
        <w:rPr>
          <w:rFonts w:cstheme="minorHAnsi"/>
          <w:i/>
          <w:sz w:val="16"/>
          <w:szCs w:val="16"/>
          <w:shd w:val="clear" w:color="auto" w:fill="FFFFFF"/>
        </w:rPr>
        <w:t>. The Board Members of Queensland Rail are also appointed as Directors of QRL.’</w:t>
      </w:r>
      <w:hyperlink r:id="rId79" w:history="1">
        <w:r w:rsidRPr="003C69F6">
          <w:rPr>
            <w:rStyle w:val="Hyperlink"/>
            <w:rFonts w:cstheme="minorHAnsi"/>
            <w:color w:val="auto"/>
            <w:sz w:val="16"/>
            <w:szCs w:val="16"/>
            <w:shd w:val="clear" w:color="auto" w:fill="FFFFFF"/>
          </w:rPr>
          <w:t>https://www.queenslandrail.com.au/aboutus/governance</w:t>
        </w:r>
      </w:hyperlink>
    </w:p>
    <w:p w14:paraId="028C7A97" w14:textId="77777777" w:rsidR="000211BB" w:rsidRPr="003C69F6" w:rsidRDefault="000211BB" w:rsidP="00A469EA">
      <w:pPr>
        <w:pStyle w:val="FootnoteText"/>
        <w:rPr>
          <w:rFonts w:cstheme="minorHAnsi"/>
          <w:sz w:val="16"/>
          <w:szCs w:val="16"/>
          <w:lang w:val="en-AU"/>
        </w:rPr>
      </w:pPr>
    </w:p>
  </w:footnote>
  <w:footnote w:id="70">
    <w:p w14:paraId="62479F23" w14:textId="77777777" w:rsidR="000211BB" w:rsidRPr="003C69F6" w:rsidRDefault="000211BB" w:rsidP="00A469EA">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If only part of a vertically separated railway is to be ‘commercialised’, it should be the ‘above-rail’ – fleet and operations – part.  It should not be only the ‘below-rail’ – infrastructure - part.  This is the approach taken in the leading vertically separated railway – United Kingdom national rail.  Theory and UK practice at: </w:t>
      </w:r>
      <w:hyperlink r:id="rId80" w:history="1">
        <w:r w:rsidRPr="003C69F6">
          <w:rPr>
            <w:rStyle w:val="Hyperlink"/>
            <w:rFonts w:cstheme="minorHAnsi"/>
            <w:sz w:val="16"/>
            <w:szCs w:val="16"/>
          </w:rPr>
          <w:t>https://www.thejadebeagle.com/policy-spad.html</w:t>
        </w:r>
      </w:hyperlink>
      <w:r w:rsidRPr="003C69F6">
        <w:rPr>
          <w:rFonts w:cstheme="minorHAnsi"/>
          <w:sz w:val="16"/>
          <w:szCs w:val="16"/>
        </w:rPr>
        <w:t xml:space="preserve"> </w:t>
      </w:r>
    </w:p>
    <w:p w14:paraId="70B0E8F7" w14:textId="77777777" w:rsidR="000211BB" w:rsidRPr="003C69F6" w:rsidRDefault="000211BB" w:rsidP="00A469EA">
      <w:pPr>
        <w:pStyle w:val="FootnoteText"/>
        <w:rPr>
          <w:rFonts w:cstheme="minorHAnsi"/>
          <w:sz w:val="16"/>
          <w:szCs w:val="16"/>
          <w:lang w:val="en-AU"/>
        </w:rPr>
      </w:pPr>
    </w:p>
  </w:footnote>
  <w:footnote w:id="71">
    <w:p w14:paraId="183FFFFC" w14:textId="6C1E87A9" w:rsidR="00B64422" w:rsidRPr="003C69F6" w:rsidRDefault="002A4ED5" w:rsidP="00B64422">
      <w:pPr>
        <w:pStyle w:val="EndnoteText"/>
        <w:rPr>
          <w:rStyle w:val="Hyperlink"/>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81" w:history="1">
        <w:r w:rsidR="00B64422" w:rsidRPr="003C69F6">
          <w:rPr>
            <w:rStyle w:val="Hyperlink"/>
            <w:rFonts w:cstheme="minorHAnsi"/>
            <w:sz w:val="16"/>
            <w:szCs w:val="16"/>
          </w:rPr>
          <w:t>https://www.pc.gov.au/inquiries/completed/rail-reform</w:t>
        </w:r>
      </w:hyperlink>
      <w:r w:rsidR="008D0573" w:rsidRPr="003C69F6">
        <w:rPr>
          <w:rStyle w:val="Hyperlink"/>
          <w:rFonts w:cstheme="minorHAnsi"/>
          <w:sz w:val="16"/>
          <w:szCs w:val="16"/>
        </w:rPr>
        <w:t xml:space="preserve">; </w:t>
      </w:r>
      <w:hyperlink r:id="rId82" w:history="1">
        <w:r w:rsidR="00B64422" w:rsidRPr="003C69F6">
          <w:rPr>
            <w:rStyle w:val="Hyperlink"/>
            <w:rFonts w:cstheme="minorHAnsi"/>
            <w:sz w:val="16"/>
            <w:szCs w:val="16"/>
          </w:rPr>
          <w:t>https://en.wikipedia.org/wiki/Rail_transport_in_Victoria</w:t>
        </w:r>
      </w:hyperlink>
      <w:r w:rsidR="008D0573" w:rsidRPr="003C69F6">
        <w:rPr>
          <w:rStyle w:val="Hyperlink"/>
          <w:rFonts w:cstheme="minorHAnsi"/>
          <w:sz w:val="16"/>
          <w:szCs w:val="16"/>
        </w:rPr>
        <w:t>;</w:t>
      </w:r>
    </w:p>
    <w:p w14:paraId="6CCF0A53" w14:textId="6A4742DF" w:rsidR="002A4ED5" w:rsidRPr="003C69F6" w:rsidRDefault="00B64422">
      <w:pPr>
        <w:pStyle w:val="FootnoteText"/>
        <w:rPr>
          <w:rFonts w:cstheme="minorHAnsi"/>
          <w:sz w:val="16"/>
          <w:szCs w:val="16"/>
          <w:lang w:val="en-AU"/>
        </w:rPr>
      </w:pPr>
      <w:hyperlink r:id="rId83" w:history="1">
        <w:r w:rsidRPr="003C69F6">
          <w:rPr>
            <w:rStyle w:val="Hyperlink"/>
            <w:rFonts w:cstheme="minorHAnsi"/>
            <w:sz w:val="16"/>
            <w:szCs w:val="16"/>
          </w:rPr>
          <w:t>https://www.econstor.eu/bitstream/10419/173919/1/868642231.pdf</w:t>
        </w:r>
      </w:hyperlink>
    </w:p>
  </w:footnote>
  <w:footnote w:id="72">
    <w:p w14:paraId="3556D2D3" w14:textId="77777777" w:rsidR="00007A31" w:rsidRPr="003C69F6" w:rsidRDefault="00007A31">
      <w:pPr>
        <w:pStyle w:val="FootnoteText"/>
        <w:rPr>
          <w:rFonts w:cstheme="minorHAnsi"/>
          <w:sz w:val="16"/>
          <w:szCs w:val="16"/>
        </w:rPr>
      </w:pPr>
    </w:p>
    <w:p w14:paraId="15915526" w14:textId="4ADD552E" w:rsidR="002A4ED5" w:rsidRPr="003C69F6" w:rsidRDefault="002A4ED5">
      <w:pPr>
        <w:pStyle w:val="FootnoteText"/>
        <w:rPr>
          <w:rStyle w:val="Hyperlink"/>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84" w:history="1">
        <w:r w:rsidR="008D0573" w:rsidRPr="003C69F6">
          <w:rPr>
            <w:rStyle w:val="Hyperlink"/>
            <w:rFonts w:cstheme="minorHAnsi"/>
            <w:sz w:val="16"/>
            <w:szCs w:val="16"/>
          </w:rPr>
          <w:t>https://www.legislation.vic.gov.au/in-force/acts/transport-integration-act-2010/078</w:t>
        </w:r>
      </w:hyperlink>
    </w:p>
    <w:p w14:paraId="28199C54" w14:textId="77777777" w:rsidR="008D0573" w:rsidRPr="003C69F6" w:rsidRDefault="008D0573">
      <w:pPr>
        <w:pStyle w:val="FootnoteText"/>
        <w:rPr>
          <w:rFonts w:cstheme="minorHAnsi"/>
          <w:sz w:val="16"/>
          <w:szCs w:val="16"/>
          <w:lang w:val="en-AU"/>
        </w:rPr>
      </w:pPr>
    </w:p>
  </w:footnote>
  <w:footnote w:id="73">
    <w:p w14:paraId="79C78415" w14:textId="04F1CCD4" w:rsidR="00654DAC" w:rsidRPr="003C69F6" w:rsidRDefault="00EB3FD8"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85" w:history="1">
        <w:r w:rsidR="00654DAC" w:rsidRPr="003C69F6">
          <w:rPr>
            <w:rStyle w:val="Hyperlink"/>
            <w:rFonts w:cstheme="minorHAnsi"/>
            <w:sz w:val="16"/>
            <w:szCs w:val="16"/>
          </w:rPr>
          <w:t>https://johnmenadue.com/policy-wreck-were-being-told-two-contradictory-stories-about-nsw-trains/</w:t>
        </w:r>
      </w:hyperlink>
    </w:p>
    <w:p w14:paraId="698EE208" w14:textId="2EF7F6E5" w:rsidR="00EB3FD8" w:rsidRPr="003C69F6" w:rsidRDefault="00D73D81" w:rsidP="00A469EA">
      <w:pPr>
        <w:pStyle w:val="FootnoteText"/>
        <w:rPr>
          <w:rFonts w:cstheme="minorHAnsi"/>
          <w:sz w:val="16"/>
          <w:szCs w:val="16"/>
        </w:rPr>
      </w:pPr>
      <w:hyperlink r:id="rId86" w:history="1">
        <w:r w:rsidRPr="003C69F6">
          <w:rPr>
            <w:rStyle w:val="Hyperlink"/>
            <w:rFonts w:cstheme="minorHAnsi"/>
            <w:sz w:val="16"/>
            <w:szCs w:val="16"/>
          </w:rPr>
          <w:t>https://www.artc.com.au/about/</w:t>
        </w:r>
      </w:hyperlink>
    </w:p>
    <w:p w14:paraId="40E2F591" w14:textId="77777777" w:rsidR="00EB3FD8" w:rsidRPr="003C69F6" w:rsidRDefault="00EB3FD8" w:rsidP="00A469EA">
      <w:pPr>
        <w:pStyle w:val="FootnoteText"/>
        <w:rPr>
          <w:rFonts w:cstheme="minorHAnsi"/>
          <w:sz w:val="16"/>
          <w:szCs w:val="16"/>
          <w:lang w:val="en-AU"/>
        </w:rPr>
      </w:pPr>
    </w:p>
  </w:footnote>
  <w:footnote w:id="74">
    <w:p w14:paraId="048DFAA4" w14:textId="34134B7B" w:rsidR="00AA3627" w:rsidRPr="003C69F6" w:rsidRDefault="00AA3627"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87" w:history="1">
        <w:r w:rsidRPr="003C69F6">
          <w:rPr>
            <w:rStyle w:val="Hyperlink"/>
            <w:rFonts w:cstheme="minorHAnsi"/>
            <w:sz w:val="16"/>
            <w:szCs w:val="16"/>
          </w:rPr>
          <w:t>https://www.parliament.nsw.gov.au/lcdocs/transcripts/2768/Transcript%20-%20TAHE%20-%20Uncorrected%20-%208%20November%202021.pdf</w:t>
        </w:r>
      </w:hyperlink>
      <w:r w:rsidRPr="003C69F6">
        <w:rPr>
          <w:rFonts w:cstheme="minorHAnsi"/>
          <w:sz w:val="16"/>
          <w:szCs w:val="16"/>
        </w:rPr>
        <w:t xml:space="preserve"> at p.54</w:t>
      </w:r>
      <w:r w:rsidR="005F7CE0">
        <w:rPr>
          <w:rFonts w:cstheme="minorHAnsi"/>
          <w:sz w:val="16"/>
          <w:szCs w:val="16"/>
        </w:rPr>
        <w:t>.</w:t>
      </w:r>
    </w:p>
    <w:p w14:paraId="55C3DA36" w14:textId="77777777" w:rsidR="00AA3627" w:rsidRPr="003C69F6" w:rsidRDefault="00AA3627" w:rsidP="00A469EA">
      <w:pPr>
        <w:pStyle w:val="FootnoteText"/>
        <w:rPr>
          <w:rFonts w:cstheme="minorHAnsi"/>
          <w:sz w:val="16"/>
          <w:szCs w:val="16"/>
          <w:lang w:val="en-AU"/>
        </w:rPr>
      </w:pPr>
    </w:p>
  </w:footnote>
  <w:footnote w:id="75">
    <w:p w14:paraId="427C662B" w14:textId="63438905" w:rsidR="002175EB" w:rsidRPr="003C69F6" w:rsidRDefault="002175EB" w:rsidP="00A469EA">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hyperlink r:id="rId88" w:history="1">
        <w:r w:rsidR="009849A5" w:rsidRPr="003C69F6">
          <w:rPr>
            <w:rStyle w:val="Hyperlink"/>
            <w:rFonts w:cstheme="minorHAnsi"/>
            <w:sz w:val="16"/>
            <w:szCs w:val="16"/>
          </w:rPr>
          <w:t>https://www.parliament.nsw.gov.au/lcdocs/other/16118/KPMG.pdf</w:t>
        </w:r>
      </w:hyperlink>
      <w:r w:rsidR="009849A5" w:rsidRPr="003C69F6">
        <w:rPr>
          <w:rFonts w:cstheme="minorHAnsi"/>
          <w:sz w:val="16"/>
          <w:szCs w:val="16"/>
        </w:rPr>
        <w:t xml:space="preserve"> </w:t>
      </w:r>
      <w:r w:rsidR="009406DC" w:rsidRPr="003C69F6">
        <w:rPr>
          <w:rFonts w:cstheme="minorHAnsi"/>
          <w:sz w:val="16"/>
          <w:szCs w:val="16"/>
        </w:rPr>
        <w:t>e.g.,</w:t>
      </w:r>
      <w:r w:rsidR="009849A5" w:rsidRPr="003C69F6">
        <w:rPr>
          <w:rFonts w:cstheme="minorHAnsi"/>
          <w:sz w:val="16"/>
          <w:szCs w:val="16"/>
        </w:rPr>
        <w:t xml:space="preserve"> p.vi</w:t>
      </w:r>
      <w:r w:rsidR="00EF6561" w:rsidRPr="003C69F6">
        <w:rPr>
          <w:rFonts w:cstheme="minorHAnsi"/>
          <w:sz w:val="16"/>
          <w:szCs w:val="16"/>
        </w:rPr>
        <w:t>, p42</w:t>
      </w:r>
      <w:r w:rsidR="005F7CE0">
        <w:rPr>
          <w:rFonts w:cstheme="minorHAnsi"/>
          <w:sz w:val="16"/>
          <w:szCs w:val="16"/>
        </w:rPr>
        <w:t>.</w:t>
      </w:r>
    </w:p>
    <w:p w14:paraId="71EA5D93" w14:textId="77777777" w:rsidR="00AF6D8A" w:rsidRPr="003C69F6" w:rsidRDefault="00AF6D8A" w:rsidP="00A469EA">
      <w:pPr>
        <w:pStyle w:val="FootnoteText"/>
        <w:rPr>
          <w:rFonts w:cstheme="minorHAnsi"/>
          <w:sz w:val="16"/>
          <w:szCs w:val="16"/>
          <w:lang w:val="en-AU"/>
        </w:rPr>
      </w:pPr>
    </w:p>
  </w:footnote>
  <w:footnote w:id="76">
    <w:p w14:paraId="3C2C1F62" w14:textId="0708C1B5" w:rsidR="007709C5" w:rsidRDefault="002175EB"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r w:rsidR="00242E45" w:rsidRPr="003C69F6">
        <w:rPr>
          <w:rFonts w:cstheme="minorHAnsi"/>
          <w:sz w:val="16"/>
          <w:szCs w:val="16"/>
        </w:rPr>
        <w:t>See n</w:t>
      </w:r>
      <w:r w:rsidR="00EF6561" w:rsidRPr="003C69F6">
        <w:rPr>
          <w:rFonts w:cstheme="minorHAnsi"/>
          <w:sz w:val="16"/>
          <w:szCs w:val="16"/>
        </w:rPr>
        <w:t xml:space="preserve">ote 20, </w:t>
      </w:r>
      <w:r w:rsidR="007709C5">
        <w:rPr>
          <w:rFonts w:cstheme="minorHAnsi"/>
          <w:sz w:val="16"/>
          <w:szCs w:val="16"/>
        </w:rPr>
        <w:t xml:space="preserve">and </w:t>
      </w:r>
      <w:hyperlink r:id="rId89" w:history="1">
        <w:r w:rsidR="007709C5" w:rsidRPr="00B1597F">
          <w:rPr>
            <w:rStyle w:val="Hyperlink"/>
            <w:rFonts w:cstheme="minorHAnsi"/>
            <w:sz w:val="16"/>
            <w:szCs w:val="16"/>
          </w:rPr>
          <w:t>https://www.thejadebeagle.com/policy-spad.html</w:t>
        </w:r>
        <w:r w:rsidR="007709C5" w:rsidRPr="00B1597F">
          <w:rPr>
            <w:rStyle w:val="Hyperlink"/>
            <w:rFonts w:cstheme="minorHAnsi"/>
            <w:sz w:val="16"/>
            <w:szCs w:val="16"/>
          </w:rPr>
          <w:t xml:space="preserve"> </w:t>
        </w:r>
        <w:r w:rsidR="007709C5" w:rsidRPr="007709C5">
          <w:rPr>
            <w:rStyle w:val="Hyperlink"/>
            <w:rFonts w:cstheme="minorHAnsi"/>
            <w:color w:val="auto"/>
            <w:sz w:val="16"/>
            <w:szCs w:val="16"/>
            <w:u w:val="none"/>
          </w:rPr>
          <w:t>section 3</w:t>
        </w:r>
      </w:hyperlink>
      <w:r w:rsidR="007709C5">
        <w:rPr>
          <w:rFonts w:cstheme="minorHAnsi"/>
          <w:sz w:val="16"/>
          <w:szCs w:val="16"/>
        </w:rPr>
        <w:t>.</w:t>
      </w:r>
    </w:p>
    <w:p w14:paraId="7AEE9631" w14:textId="77777777" w:rsidR="00AF6D8A" w:rsidRPr="003C69F6" w:rsidRDefault="00AF6D8A" w:rsidP="00A469EA">
      <w:pPr>
        <w:pStyle w:val="FootnoteText"/>
        <w:rPr>
          <w:rFonts w:cstheme="minorHAnsi"/>
          <w:sz w:val="16"/>
          <w:szCs w:val="16"/>
          <w:lang w:val="en-AU"/>
        </w:rPr>
      </w:pPr>
    </w:p>
  </w:footnote>
  <w:footnote w:id="77">
    <w:p w14:paraId="14A79850" w14:textId="7A1DDED6" w:rsidR="008F5968" w:rsidRDefault="002175EB"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r w:rsidR="00242E45" w:rsidRPr="003C69F6">
        <w:rPr>
          <w:rFonts w:cstheme="minorHAnsi"/>
          <w:sz w:val="16"/>
          <w:szCs w:val="16"/>
        </w:rPr>
        <w:t xml:space="preserve">See </w:t>
      </w:r>
      <w:hyperlink r:id="rId90" w:history="1">
        <w:r w:rsidR="008F5968" w:rsidRPr="00B1597F">
          <w:rPr>
            <w:rStyle w:val="Hyperlink"/>
            <w:rFonts w:cstheme="minorHAnsi"/>
            <w:sz w:val="16"/>
            <w:szCs w:val="16"/>
          </w:rPr>
          <w:t>https://www.thejadebeagle.com/policy-spad.html</w:t>
        </w:r>
      </w:hyperlink>
      <w:r w:rsidR="008F5968">
        <w:rPr>
          <w:rFonts w:cstheme="minorHAnsi"/>
          <w:sz w:val="16"/>
          <w:szCs w:val="16"/>
        </w:rPr>
        <w:t>.</w:t>
      </w:r>
    </w:p>
    <w:p w14:paraId="1B2C77C8" w14:textId="50C0EF42" w:rsidR="00F32139" w:rsidRPr="003C69F6" w:rsidRDefault="008F5968" w:rsidP="00A469EA">
      <w:pPr>
        <w:pStyle w:val="FootnoteText"/>
        <w:rPr>
          <w:rFonts w:cstheme="minorHAnsi"/>
          <w:sz w:val="16"/>
          <w:szCs w:val="16"/>
          <w:lang w:val="en-AU"/>
        </w:rPr>
      </w:pPr>
      <w:r w:rsidRPr="008F5968">
        <w:rPr>
          <w:rFonts w:cstheme="minorHAnsi"/>
          <w:sz w:val="16"/>
          <w:szCs w:val="16"/>
        </w:rPr>
        <w:t xml:space="preserve"> </w:t>
      </w:r>
    </w:p>
  </w:footnote>
  <w:footnote w:id="78">
    <w:p w14:paraId="00A9300C" w14:textId="0EC8D44C" w:rsidR="0069317A" w:rsidRPr="003C69F6" w:rsidRDefault="0069317A"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r w:rsidR="00DF5228" w:rsidRPr="003C69F6">
        <w:rPr>
          <w:rFonts w:cstheme="minorHAnsi"/>
          <w:sz w:val="16"/>
          <w:szCs w:val="16"/>
        </w:rPr>
        <w:t>E.g.,</w:t>
      </w:r>
      <w:r w:rsidRPr="003C69F6">
        <w:rPr>
          <w:rFonts w:cstheme="minorHAnsi"/>
          <w:sz w:val="16"/>
          <w:szCs w:val="16"/>
        </w:rPr>
        <w:t xml:space="preserve"> ‘</w:t>
      </w:r>
      <w:r w:rsidRPr="003C69F6">
        <w:rPr>
          <w:rFonts w:cstheme="minorHAnsi"/>
          <w:i/>
          <w:sz w:val="16"/>
          <w:szCs w:val="16"/>
        </w:rPr>
        <w:t>The establishment of TAHE has added another level or governance and a third line of assurance to critically assess that risk exposures are appropriately controlled and that TfNSW, Sydney Trains, NSW Trains and private operators are complying with their legislative safety obligations, technical asset standards and contractual requirements to operate a safe and reliable rail network.’</w:t>
      </w:r>
    </w:p>
    <w:p w14:paraId="01D21DFE" w14:textId="16209DC3" w:rsidR="0069317A" w:rsidRPr="003C69F6" w:rsidRDefault="00CC3DB7" w:rsidP="00A469EA">
      <w:pPr>
        <w:pStyle w:val="FootnoteText"/>
        <w:rPr>
          <w:rFonts w:cstheme="minorHAnsi"/>
          <w:sz w:val="16"/>
          <w:szCs w:val="16"/>
        </w:rPr>
      </w:pPr>
      <w:hyperlink r:id="rId91" w:history="1">
        <w:r w:rsidR="0069317A" w:rsidRPr="003C69F6">
          <w:rPr>
            <w:rStyle w:val="Hyperlink"/>
            <w:rFonts w:cstheme="minorHAnsi"/>
            <w:sz w:val="16"/>
            <w:szCs w:val="16"/>
          </w:rPr>
          <w:t>https://www.parliament.nsw.gov.au/lcdocs/submissions/76410/0005%20Transport%20Asset%20Holding%20Entity%20of%20New%20 outh%20Wales.pdf</w:t>
        </w:r>
      </w:hyperlink>
    </w:p>
    <w:p w14:paraId="7C50ECC5" w14:textId="77777777" w:rsidR="0069317A" w:rsidRPr="003C69F6" w:rsidRDefault="0069317A" w:rsidP="00A469EA">
      <w:pPr>
        <w:pStyle w:val="FootnoteText"/>
        <w:rPr>
          <w:rFonts w:cstheme="minorHAnsi"/>
          <w:sz w:val="16"/>
          <w:szCs w:val="16"/>
          <w:lang w:val="en-AU"/>
        </w:rPr>
      </w:pPr>
    </w:p>
  </w:footnote>
  <w:footnote w:id="79">
    <w:p w14:paraId="4207849C" w14:textId="4351BB63" w:rsidR="00022ED5" w:rsidRPr="003C69F6" w:rsidRDefault="00B208FE" w:rsidP="00A469EA">
      <w:pPr>
        <w:pStyle w:val="FootnoteText"/>
        <w:rPr>
          <w:rFonts w:cstheme="minorHAnsi"/>
          <w:sz w:val="16"/>
          <w:szCs w:val="16"/>
        </w:rPr>
      </w:pPr>
      <w:r w:rsidRPr="003C69F6">
        <w:rPr>
          <w:rStyle w:val="FootnoteReference"/>
          <w:rFonts w:cstheme="minorHAnsi"/>
          <w:sz w:val="16"/>
          <w:szCs w:val="16"/>
        </w:rPr>
        <w:footnoteRef/>
      </w:r>
      <w:r w:rsidR="00022ED5" w:rsidRPr="003C69F6">
        <w:rPr>
          <w:rFonts w:cstheme="minorHAnsi"/>
          <w:sz w:val="16"/>
          <w:szCs w:val="16"/>
        </w:rPr>
        <w:t xml:space="preserve"> Actions and publications from the Entity could be interpreted as implying it is a level above the national rail safety regulator.  The actions include it not be accredited under national rail safety law, and therefore not subject to the regulator.  Publications include:</w:t>
      </w:r>
    </w:p>
    <w:p w14:paraId="45CCA4F5" w14:textId="72690591" w:rsidR="00022ED5" w:rsidRPr="003C69F6" w:rsidRDefault="00022ED5" w:rsidP="00A469EA">
      <w:pPr>
        <w:pStyle w:val="FootnoteText"/>
        <w:rPr>
          <w:rFonts w:cstheme="minorHAnsi"/>
          <w:sz w:val="16"/>
          <w:szCs w:val="16"/>
        </w:rPr>
      </w:pPr>
      <w:r w:rsidRPr="003C69F6">
        <w:rPr>
          <w:rFonts w:cstheme="minorHAnsi"/>
          <w:i/>
          <w:iCs/>
          <w:sz w:val="16"/>
          <w:szCs w:val="16"/>
        </w:rPr>
        <w:t>‘All rail safety and maintenance decisions are subject to the same rigorous safety standards as before, including oversight from the Office of the National Rail Safety Regulator. The establishment of TAHE has further strengthened NSW’s transport safety arrangements by providing another layer of governance with legislated obligations to assure that NSW rail assets and infrastructure are safe,’</w:t>
      </w:r>
      <w:r w:rsidR="00B208FE" w:rsidRPr="003C69F6">
        <w:rPr>
          <w:rFonts w:cstheme="minorHAnsi"/>
          <w:sz w:val="16"/>
          <w:szCs w:val="16"/>
        </w:rPr>
        <w:t xml:space="preserve"> </w:t>
      </w:r>
    </w:p>
    <w:p w14:paraId="59108BC7" w14:textId="63C2DE07" w:rsidR="00B208FE" w:rsidRPr="003C69F6" w:rsidRDefault="00CC3DB7" w:rsidP="00A469EA">
      <w:pPr>
        <w:pStyle w:val="FootnoteText"/>
        <w:rPr>
          <w:rFonts w:cstheme="minorHAnsi"/>
          <w:sz w:val="16"/>
          <w:szCs w:val="16"/>
        </w:rPr>
      </w:pPr>
      <w:hyperlink r:id="rId92" w:anchor="about-us" w:history="1">
        <w:r w:rsidR="00B208FE" w:rsidRPr="003C69F6">
          <w:rPr>
            <w:rStyle w:val="Hyperlink"/>
            <w:rFonts w:cstheme="minorHAnsi"/>
            <w:sz w:val="16"/>
            <w:szCs w:val="16"/>
          </w:rPr>
          <w:t>https://tahensw.com.au/#about-us</w:t>
        </w:r>
      </w:hyperlink>
    </w:p>
    <w:p w14:paraId="0A1A07F6" w14:textId="77777777" w:rsidR="00B208FE" w:rsidRPr="003C69F6" w:rsidRDefault="00B208FE" w:rsidP="00A469EA">
      <w:pPr>
        <w:pStyle w:val="FootnoteText"/>
        <w:rPr>
          <w:rFonts w:cstheme="minorHAnsi"/>
          <w:sz w:val="16"/>
          <w:szCs w:val="16"/>
          <w:lang w:val="en-AU"/>
        </w:rPr>
      </w:pPr>
    </w:p>
  </w:footnote>
  <w:footnote w:id="80">
    <w:p w14:paraId="4B7E3C7C" w14:textId="3EEAC629" w:rsidR="00512384" w:rsidRPr="003C69F6" w:rsidRDefault="00A752BF" w:rsidP="00A469EA">
      <w:pPr>
        <w:pStyle w:val="FootnoteText"/>
        <w:rPr>
          <w:rFonts w:cstheme="minorHAnsi"/>
          <w:sz w:val="16"/>
          <w:szCs w:val="16"/>
        </w:rPr>
      </w:pPr>
      <w:r w:rsidRPr="003C69F6">
        <w:rPr>
          <w:rStyle w:val="FootnoteReference"/>
          <w:rFonts w:cstheme="minorHAnsi"/>
          <w:sz w:val="16"/>
          <w:szCs w:val="16"/>
        </w:rPr>
        <w:footnoteRef/>
      </w:r>
      <w:r w:rsidR="00DC59CF" w:rsidRPr="003C69F6">
        <w:rPr>
          <w:rFonts w:cstheme="minorHAnsi"/>
          <w:sz w:val="16"/>
          <w:szCs w:val="16"/>
        </w:rPr>
        <w:t xml:space="preserve">Board at </w:t>
      </w:r>
      <w:hyperlink r:id="rId93" w:history="1">
        <w:r w:rsidR="00512384" w:rsidRPr="003C69F6">
          <w:rPr>
            <w:rStyle w:val="Hyperlink"/>
            <w:rFonts w:cstheme="minorHAnsi"/>
            <w:sz w:val="16"/>
            <w:szCs w:val="16"/>
          </w:rPr>
          <w:t>https://tahensw.com.au/</w:t>
        </w:r>
      </w:hyperlink>
      <w:r w:rsidR="00512384" w:rsidRPr="003C69F6">
        <w:rPr>
          <w:rFonts w:cstheme="minorHAnsi"/>
          <w:sz w:val="16"/>
          <w:szCs w:val="16"/>
        </w:rPr>
        <w:t>.  The three independent directors also are directors of State water corporations.  Another director – a statutory requirement - is the Secretary of Transport for NSW whose background includes senior experience in aviation.  He took up the position in March 2021.  The Chief Executive, also a director, was previously chief executive of Keolis Downer which operated trams in Melbourne and on the Gold Coast.</w:t>
      </w:r>
    </w:p>
    <w:p w14:paraId="6687AC10" w14:textId="77777777" w:rsidR="00B40CFF" w:rsidRPr="003C69F6" w:rsidRDefault="006C644F" w:rsidP="00A469EA">
      <w:pPr>
        <w:pStyle w:val="FootnoteText"/>
        <w:rPr>
          <w:rFonts w:cstheme="minorHAnsi"/>
          <w:sz w:val="16"/>
          <w:szCs w:val="16"/>
        </w:rPr>
      </w:pPr>
      <w:r w:rsidRPr="003C69F6">
        <w:rPr>
          <w:rFonts w:cstheme="minorHAnsi"/>
          <w:i/>
          <w:iCs/>
          <w:sz w:val="16"/>
          <w:szCs w:val="16"/>
        </w:rPr>
        <w:t>‘The CHAIR: You would be aware, would you not, Mr Hardwick, of the Cabinet submission that says the intent of the Government is to not have people with infrastructure and railway skills on the board but indeed to have low-profile persons—lawyers and the like—who therefore will not be able to assert the kind of independence and quality assurance you are putting forward as a benefit</w:t>
      </w:r>
      <w:r w:rsidRPr="003C69F6">
        <w:rPr>
          <w:rFonts w:cstheme="minorHAnsi"/>
          <w:sz w:val="16"/>
          <w:szCs w:val="16"/>
        </w:rPr>
        <w:t xml:space="preserve">,’ </w:t>
      </w:r>
    </w:p>
    <w:p w14:paraId="169233E0" w14:textId="39A0BD37" w:rsidR="00A752BF" w:rsidRPr="003C69F6" w:rsidRDefault="006C644F" w:rsidP="00A469EA">
      <w:pPr>
        <w:pStyle w:val="FootnoteText"/>
        <w:rPr>
          <w:rFonts w:cstheme="minorHAnsi"/>
          <w:sz w:val="16"/>
          <w:szCs w:val="16"/>
        </w:rPr>
      </w:pPr>
      <w:r w:rsidRPr="003C69F6">
        <w:rPr>
          <w:rFonts w:cstheme="minorHAnsi"/>
          <w:sz w:val="16"/>
          <w:szCs w:val="16"/>
        </w:rPr>
        <w:t xml:space="preserve"> </w:t>
      </w:r>
      <w:hyperlink r:id="rId94" w:history="1">
        <w:r w:rsidRPr="003C69F6">
          <w:rPr>
            <w:rStyle w:val="Hyperlink"/>
            <w:rFonts w:cstheme="minorHAnsi"/>
            <w:sz w:val="16"/>
            <w:szCs w:val="16"/>
          </w:rPr>
          <w:t>https://www.parliament.nsw.gov.au/lcdocs/transcripts/2714/Transcript%20-%20TAHE%20-%20Uncorrected.pdf</w:t>
        </w:r>
      </w:hyperlink>
    </w:p>
    <w:p w14:paraId="44EE516B" w14:textId="77777777" w:rsidR="006C644F" w:rsidRPr="003C69F6" w:rsidRDefault="006C644F" w:rsidP="00A469EA">
      <w:pPr>
        <w:pStyle w:val="FootnoteText"/>
        <w:rPr>
          <w:rFonts w:cstheme="minorHAnsi"/>
          <w:sz w:val="16"/>
          <w:szCs w:val="16"/>
          <w:lang w:val="en-AU"/>
        </w:rPr>
      </w:pPr>
    </w:p>
  </w:footnote>
  <w:footnote w:id="81">
    <w:p w14:paraId="0D6B431F" w14:textId="0EF34066" w:rsidR="00F32139" w:rsidRPr="003C69F6" w:rsidRDefault="00F32139"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r w:rsidR="00BD3802" w:rsidRPr="003C69F6">
        <w:rPr>
          <w:rFonts w:cstheme="minorHAnsi"/>
          <w:sz w:val="16"/>
          <w:szCs w:val="16"/>
        </w:rPr>
        <w:t xml:space="preserve">See </w:t>
      </w:r>
      <w:hyperlink r:id="rId95" w:history="1">
        <w:r w:rsidR="002529C1" w:rsidRPr="00B1597F">
          <w:rPr>
            <w:rStyle w:val="Hyperlink"/>
            <w:rFonts w:cstheme="minorHAnsi"/>
            <w:sz w:val="16"/>
            <w:szCs w:val="16"/>
          </w:rPr>
          <w:t>https://www.thejadebeagle.com/policy-spad.htm</w:t>
        </w:r>
        <w:r w:rsidR="002529C1" w:rsidRPr="00B1597F">
          <w:rPr>
            <w:rStyle w:val="Hyperlink"/>
            <w:rFonts w:cstheme="minorHAnsi"/>
            <w:sz w:val="16"/>
            <w:szCs w:val="16"/>
          </w:rPr>
          <w:t>l</w:t>
        </w:r>
      </w:hyperlink>
      <w:r w:rsidR="00BD3802" w:rsidRPr="003C69F6">
        <w:rPr>
          <w:rFonts w:cstheme="minorHAnsi"/>
          <w:sz w:val="16"/>
          <w:szCs w:val="16"/>
        </w:rPr>
        <w:t>.</w:t>
      </w:r>
      <w:r w:rsidR="00795E64" w:rsidRPr="003C69F6">
        <w:rPr>
          <w:rFonts w:cstheme="minorHAnsi"/>
          <w:sz w:val="16"/>
          <w:szCs w:val="16"/>
        </w:rPr>
        <w:t xml:space="preserve"> Re</w:t>
      </w:r>
      <w:r w:rsidR="00BD3802" w:rsidRPr="003C69F6">
        <w:rPr>
          <w:rFonts w:cstheme="minorHAnsi"/>
          <w:sz w:val="16"/>
          <w:szCs w:val="16"/>
        </w:rPr>
        <w:t xml:space="preserve">sponsibility </w:t>
      </w:r>
      <w:r w:rsidR="00795E64" w:rsidRPr="003C69F6">
        <w:rPr>
          <w:rFonts w:cstheme="minorHAnsi"/>
          <w:sz w:val="16"/>
          <w:szCs w:val="16"/>
        </w:rPr>
        <w:t>is determined by law</w:t>
      </w:r>
      <w:r w:rsidR="00BD3802" w:rsidRPr="003C69F6">
        <w:rPr>
          <w:rFonts w:cstheme="minorHAnsi"/>
          <w:sz w:val="16"/>
          <w:szCs w:val="16"/>
        </w:rPr>
        <w:t>.</w:t>
      </w:r>
    </w:p>
    <w:p w14:paraId="0F027D0C" w14:textId="77777777" w:rsidR="00BD3802" w:rsidRPr="003C69F6" w:rsidRDefault="00BD3802" w:rsidP="00A469EA">
      <w:pPr>
        <w:pStyle w:val="FootnoteText"/>
        <w:rPr>
          <w:rFonts w:cstheme="minorHAnsi"/>
          <w:sz w:val="16"/>
          <w:szCs w:val="16"/>
          <w:lang w:val="en-AU"/>
        </w:rPr>
      </w:pPr>
    </w:p>
  </w:footnote>
  <w:footnote w:id="82">
    <w:p w14:paraId="34F172AA" w14:textId="77777777" w:rsidR="00795E64" w:rsidRPr="003C69F6" w:rsidRDefault="009D6A34" w:rsidP="00A469EA">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r w:rsidRPr="003C69F6">
        <w:rPr>
          <w:rFonts w:cstheme="minorHAnsi"/>
          <w:sz w:val="16"/>
          <w:szCs w:val="16"/>
          <w:lang w:val="en-AU"/>
        </w:rPr>
        <w:t>Typically</w:t>
      </w:r>
      <w:r w:rsidR="00492A8B" w:rsidRPr="003C69F6">
        <w:rPr>
          <w:rFonts w:cstheme="minorHAnsi"/>
          <w:sz w:val="16"/>
          <w:szCs w:val="16"/>
          <w:lang w:val="en-AU"/>
        </w:rPr>
        <w:t>,</w:t>
      </w:r>
      <w:r w:rsidRPr="003C69F6">
        <w:rPr>
          <w:rFonts w:cstheme="minorHAnsi"/>
          <w:sz w:val="16"/>
          <w:szCs w:val="16"/>
          <w:lang w:val="en-AU"/>
        </w:rPr>
        <w:t xml:space="preserve"> committees are used when there are large boards or organisations.  Committee members are drawn from the board.  The work of the committee goes to the full board.  </w:t>
      </w:r>
      <w:hyperlink r:id="rId96" w:history="1">
        <w:r w:rsidRPr="003C69F6">
          <w:rPr>
            <w:rStyle w:val="Hyperlink"/>
            <w:rFonts w:cstheme="minorHAnsi"/>
            <w:sz w:val="16"/>
            <w:szCs w:val="16"/>
            <w:lang w:val="en-AU"/>
          </w:rPr>
          <w:t>http://aicd.companydirectors.com.au/resources/all-sectors/roles-duties-and-responsibilities/role-of-board-committees?no_redirect=true</w:t>
        </w:r>
      </w:hyperlink>
      <w:r w:rsidRPr="003C69F6">
        <w:rPr>
          <w:rFonts w:cstheme="minorHAnsi"/>
          <w:sz w:val="16"/>
          <w:szCs w:val="16"/>
          <w:lang w:val="en-AU"/>
        </w:rPr>
        <w:t xml:space="preserve">  </w:t>
      </w:r>
    </w:p>
    <w:p w14:paraId="523189F6" w14:textId="28E3599C" w:rsidR="009D6A34" w:rsidRPr="003C69F6" w:rsidRDefault="009D6A34" w:rsidP="00A469EA">
      <w:pPr>
        <w:pStyle w:val="FootnoteText"/>
        <w:rPr>
          <w:rFonts w:cstheme="minorHAnsi"/>
          <w:sz w:val="16"/>
          <w:szCs w:val="16"/>
          <w:lang w:val="en-AU"/>
        </w:rPr>
      </w:pPr>
      <w:r w:rsidRPr="003C69F6">
        <w:rPr>
          <w:rFonts w:cstheme="minorHAnsi"/>
          <w:sz w:val="16"/>
          <w:szCs w:val="16"/>
          <w:lang w:val="en-AU"/>
        </w:rPr>
        <w:t>In relation to the last of these, the board member Secretary of Transport for NSW should be recused from any deliberations du</w:t>
      </w:r>
      <w:r w:rsidR="00E80B48" w:rsidRPr="003C69F6">
        <w:rPr>
          <w:rFonts w:cstheme="minorHAnsi"/>
          <w:sz w:val="16"/>
          <w:szCs w:val="16"/>
          <w:lang w:val="en-AU"/>
        </w:rPr>
        <w:t>e to the conflict of duty and interest.</w:t>
      </w:r>
    </w:p>
    <w:p w14:paraId="17F59D25" w14:textId="77777777" w:rsidR="009D6A34" w:rsidRPr="003C69F6" w:rsidRDefault="009D6A34" w:rsidP="00A469EA">
      <w:pPr>
        <w:pStyle w:val="FootnoteText"/>
        <w:rPr>
          <w:rFonts w:cstheme="minorHAnsi"/>
          <w:sz w:val="16"/>
          <w:szCs w:val="16"/>
          <w:lang w:val="en-AU"/>
        </w:rPr>
      </w:pPr>
    </w:p>
  </w:footnote>
  <w:footnote w:id="83">
    <w:p w14:paraId="60908166" w14:textId="672A7397" w:rsidR="00492A8B" w:rsidRPr="003C69F6" w:rsidRDefault="00492A8B"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r w:rsidR="009406DC" w:rsidRPr="003C69F6">
        <w:rPr>
          <w:rFonts w:cstheme="minorHAnsi"/>
          <w:sz w:val="16"/>
          <w:szCs w:val="16"/>
        </w:rPr>
        <w:t>E.g.</w:t>
      </w:r>
      <w:r w:rsidR="00A174DD" w:rsidRPr="003C69F6">
        <w:rPr>
          <w:rFonts w:cstheme="minorHAnsi"/>
          <w:sz w:val="16"/>
          <w:szCs w:val="16"/>
        </w:rPr>
        <w:t xml:space="preserve">: </w:t>
      </w:r>
      <w:r w:rsidRPr="003C69F6">
        <w:rPr>
          <w:rFonts w:cstheme="minorHAnsi"/>
          <w:i/>
          <w:iCs/>
          <w:sz w:val="16"/>
          <w:szCs w:val="16"/>
        </w:rPr>
        <w:t xml:space="preserve">‘I have no hesitation in saying to this Committee that TAHE's approach to safety is robust and builds on the pre-existing governance arrangements. All decisions around the maintenance and safety of TAHE's assets are subject to the same rigorous asset and safety standards that existed prior to July 2020. In addition to this baseline, TAHE has legislated obligations to oversee and assure itself that New South Wales rail assets and infrastructure are safe, reliable and fit for purpose to deliver safe passenger and freight services. From my experience TAHE's approach to safety is best practice and comprehensive. It includes the board's subcommittee which I chair. The subcommittee has an independent member with deep technical expertise and experience in overseeing the safe operation, maintenance and management of heavy rail assets and infrastructure. We have a program of independent safety and asset audits underway.’ </w:t>
      </w:r>
      <w:hyperlink r:id="rId97" w:history="1">
        <w:r w:rsidRPr="003C69F6">
          <w:rPr>
            <w:rStyle w:val="Hyperlink"/>
            <w:rFonts w:cstheme="minorHAnsi"/>
            <w:sz w:val="16"/>
            <w:szCs w:val="16"/>
          </w:rPr>
          <w:t>https://www.parliament.nsw.gov.au/lcdocs/transcripts/2768/Transcript%20-%20TAHE%20-%20Uncorrected%20-%208%20November%202021.pdf</w:t>
        </w:r>
      </w:hyperlink>
    </w:p>
    <w:p w14:paraId="0B32CFFF" w14:textId="77777777" w:rsidR="00492A8B" w:rsidRPr="003C69F6" w:rsidRDefault="00492A8B" w:rsidP="00A469EA">
      <w:pPr>
        <w:pStyle w:val="FootnoteText"/>
        <w:rPr>
          <w:rFonts w:cstheme="minorHAnsi"/>
          <w:sz w:val="16"/>
          <w:szCs w:val="16"/>
          <w:lang w:val="en-AU"/>
        </w:rPr>
      </w:pPr>
    </w:p>
  </w:footnote>
  <w:footnote w:id="84">
    <w:p w14:paraId="45107001" w14:textId="55C36138" w:rsidR="009D6A34" w:rsidRPr="003C69F6" w:rsidRDefault="009D6A34"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r w:rsidR="009406DC" w:rsidRPr="003C69F6">
        <w:rPr>
          <w:rFonts w:cstheme="minorHAnsi"/>
          <w:sz w:val="16"/>
          <w:szCs w:val="16"/>
        </w:rPr>
        <w:t>E.g.,</w:t>
      </w:r>
      <w:r w:rsidRPr="003C69F6">
        <w:rPr>
          <w:rFonts w:cstheme="minorHAnsi"/>
          <w:sz w:val="16"/>
          <w:szCs w:val="16"/>
        </w:rPr>
        <w:t xml:space="preserve"> by not showing functions or mechanisms of control, and omit</w:t>
      </w:r>
      <w:r w:rsidR="00A174DD" w:rsidRPr="003C69F6">
        <w:rPr>
          <w:rFonts w:cstheme="minorHAnsi"/>
          <w:sz w:val="16"/>
          <w:szCs w:val="16"/>
        </w:rPr>
        <w:t>ting</w:t>
      </w:r>
      <w:r w:rsidRPr="003C69F6">
        <w:rPr>
          <w:rFonts w:cstheme="minorHAnsi"/>
          <w:sz w:val="16"/>
          <w:szCs w:val="16"/>
        </w:rPr>
        <w:t xml:space="preserve"> the only relevant matters: the content and duration of ‘agreements’ </w:t>
      </w:r>
      <w:hyperlink r:id="rId98" w:history="1">
        <w:r w:rsidRPr="003C69F6">
          <w:rPr>
            <w:rStyle w:val="Hyperlink"/>
            <w:rFonts w:cstheme="minorHAnsi"/>
            <w:sz w:val="16"/>
            <w:szCs w:val="16"/>
          </w:rPr>
          <w:t>https://tahensw.com.au/assets/TAHEoperatingmodel.pdf</w:t>
        </w:r>
      </w:hyperlink>
    </w:p>
    <w:p w14:paraId="67CF2F44" w14:textId="77777777" w:rsidR="009D6A34" w:rsidRPr="003C69F6" w:rsidRDefault="009D6A34" w:rsidP="00A469EA">
      <w:pPr>
        <w:pStyle w:val="FootnoteText"/>
        <w:rPr>
          <w:rFonts w:cstheme="minorHAnsi"/>
          <w:sz w:val="16"/>
          <w:szCs w:val="16"/>
          <w:lang w:val="en-AU"/>
        </w:rPr>
      </w:pPr>
    </w:p>
  </w:footnote>
  <w:footnote w:id="85">
    <w:p w14:paraId="13FCB521" w14:textId="0C893703" w:rsidR="007E1B02" w:rsidRPr="003C69F6" w:rsidRDefault="007E1B02"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The Entity ‘endorses’ the level of maintenance, and thus decided at least maintenance levels.  </w:t>
      </w:r>
      <w:hyperlink r:id="rId99" w:anchor="about-us" w:history="1">
        <w:r w:rsidRPr="003C69F6">
          <w:rPr>
            <w:rStyle w:val="Hyperlink"/>
            <w:rFonts w:cstheme="minorHAnsi"/>
            <w:sz w:val="16"/>
            <w:szCs w:val="16"/>
          </w:rPr>
          <w:t>https://tahensw.com.au/#about-us</w:t>
        </w:r>
      </w:hyperlink>
    </w:p>
    <w:p w14:paraId="60BD5F92" w14:textId="77777777" w:rsidR="007E1B02" w:rsidRPr="003C69F6" w:rsidRDefault="007E1B02" w:rsidP="00A469EA">
      <w:pPr>
        <w:pStyle w:val="FootnoteText"/>
        <w:rPr>
          <w:rFonts w:cstheme="minorHAnsi"/>
          <w:sz w:val="16"/>
          <w:szCs w:val="16"/>
          <w:lang w:val="en-AU"/>
        </w:rPr>
      </w:pPr>
    </w:p>
  </w:footnote>
  <w:footnote w:id="86">
    <w:p w14:paraId="5C1CAFD8" w14:textId="0D407394" w:rsidR="00785BD1" w:rsidRPr="003C69F6" w:rsidRDefault="00D658F4" w:rsidP="00A469EA">
      <w:pPr>
        <w:pStyle w:val="xmsonormal"/>
        <w:shd w:val="clear" w:color="auto" w:fill="FFFFFF"/>
        <w:spacing w:before="0" w:beforeAutospacing="0" w:after="0" w:afterAutospacing="0"/>
        <w:rPr>
          <w:rFonts w:asciiTheme="minorHAnsi" w:hAnsiTheme="minorHAnsi" w:cstheme="minorHAnsi"/>
          <w:sz w:val="16"/>
          <w:szCs w:val="16"/>
        </w:rPr>
      </w:pPr>
      <w:r w:rsidRPr="003C69F6">
        <w:rPr>
          <w:rStyle w:val="FootnoteReference"/>
          <w:rFonts w:asciiTheme="minorHAnsi" w:hAnsiTheme="minorHAnsi" w:cstheme="minorHAnsi"/>
          <w:sz w:val="16"/>
          <w:szCs w:val="16"/>
        </w:rPr>
        <w:footnoteRef/>
      </w:r>
      <w:r w:rsidRPr="003C69F6">
        <w:rPr>
          <w:rFonts w:asciiTheme="minorHAnsi" w:hAnsiTheme="minorHAnsi" w:cstheme="minorHAnsi"/>
          <w:sz w:val="16"/>
          <w:szCs w:val="16"/>
        </w:rPr>
        <w:t xml:space="preserve"> </w:t>
      </w:r>
      <w:r w:rsidR="00785BD1" w:rsidRPr="003C69F6">
        <w:rPr>
          <w:rFonts w:asciiTheme="minorHAnsi" w:hAnsiTheme="minorHAnsi" w:cstheme="minorHAnsi"/>
          <w:sz w:val="16"/>
          <w:szCs w:val="16"/>
        </w:rPr>
        <w:t xml:space="preserve">The Waterfall accident Commission heard evidence that the </w:t>
      </w:r>
      <w:r w:rsidR="00FE6E00" w:rsidRPr="003C69F6">
        <w:rPr>
          <w:rFonts w:asciiTheme="minorHAnsi" w:hAnsiTheme="minorHAnsi" w:cstheme="minorHAnsi"/>
          <w:sz w:val="16"/>
          <w:szCs w:val="16"/>
        </w:rPr>
        <w:t xml:space="preserve">timetable in the area of the accident could not be achieved due to geography and operating restrictions – indicating that the timetable had been developed somewhat independently from operational reality.  </w:t>
      </w:r>
    </w:p>
    <w:p w14:paraId="024815AC" w14:textId="75C04895" w:rsidR="00D658F4" w:rsidRPr="003C69F6" w:rsidRDefault="00D658F4" w:rsidP="00A469EA">
      <w:pPr>
        <w:pStyle w:val="xmsonormal"/>
        <w:shd w:val="clear" w:color="auto" w:fill="FFFFFF"/>
        <w:spacing w:before="0" w:beforeAutospacing="0" w:after="0" w:afterAutospacing="0"/>
        <w:rPr>
          <w:rFonts w:asciiTheme="minorHAnsi" w:hAnsiTheme="minorHAnsi" w:cstheme="minorHAnsi"/>
          <w:color w:val="000000"/>
          <w:sz w:val="16"/>
          <w:szCs w:val="16"/>
        </w:rPr>
      </w:pPr>
      <w:r w:rsidRPr="003C69F6">
        <w:rPr>
          <w:rFonts w:asciiTheme="minorHAnsi" w:hAnsiTheme="minorHAnsi" w:cstheme="minorHAnsi"/>
          <w:color w:val="000000"/>
          <w:sz w:val="16"/>
          <w:szCs w:val="16"/>
          <w:bdr w:val="none" w:sz="0" w:space="0" w:color="auto" w:frame="1"/>
          <w:lang w:val="en-GB"/>
        </w:rPr>
        <w:t>Similar comments could be made in relation to signalling.  Although infrastructure 'fails to safe’ – red (stop) signal – a preponderance of signal failures</w:t>
      </w:r>
      <w:r w:rsidR="0027254C" w:rsidRPr="003C69F6">
        <w:rPr>
          <w:rFonts w:asciiTheme="minorHAnsi" w:hAnsiTheme="minorHAnsi" w:cstheme="minorHAnsi"/>
          <w:color w:val="000000"/>
          <w:sz w:val="16"/>
          <w:szCs w:val="16"/>
          <w:bdr w:val="none" w:sz="0" w:space="0" w:color="auto" w:frame="1"/>
          <w:lang w:val="en-GB"/>
        </w:rPr>
        <w:t>,</w:t>
      </w:r>
      <w:r w:rsidRPr="003C69F6">
        <w:rPr>
          <w:rFonts w:asciiTheme="minorHAnsi" w:hAnsiTheme="minorHAnsi" w:cstheme="minorHAnsi"/>
          <w:color w:val="000000"/>
          <w:sz w:val="16"/>
          <w:szCs w:val="16"/>
          <w:bdr w:val="none" w:sz="0" w:space="0" w:color="auto" w:frame="1"/>
          <w:lang w:val="en-GB"/>
        </w:rPr>
        <w:t xml:space="preserve"> say due to short circuits or lightning strikes</w:t>
      </w:r>
      <w:r w:rsidR="0027254C" w:rsidRPr="003C69F6">
        <w:rPr>
          <w:rFonts w:asciiTheme="minorHAnsi" w:hAnsiTheme="minorHAnsi" w:cstheme="minorHAnsi"/>
          <w:color w:val="000000"/>
          <w:sz w:val="16"/>
          <w:szCs w:val="16"/>
          <w:bdr w:val="none" w:sz="0" w:space="0" w:color="auto" w:frame="1"/>
          <w:lang w:val="en-GB"/>
        </w:rPr>
        <w:t>,</w:t>
      </w:r>
      <w:r w:rsidRPr="003C69F6">
        <w:rPr>
          <w:rFonts w:asciiTheme="minorHAnsi" w:hAnsiTheme="minorHAnsi" w:cstheme="minorHAnsi"/>
          <w:color w:val="000000"/>
          <w:sz w:val="16"/>
          <w:szCs w:val="16"/>
          <w:bdr w:val="none" w:sz="0" w:space="0" w:color="auto" w:frame="1"/>
          <w:lang w:val="en-GB"/>
        </w:rPr>
        <w:t xml:space="preserve"> may lead to trains mistakenly believing a particular red signal indicates a non-critical infrastructure failure when it is due to a train occupying a section of track.  </w:t>
      </w:r>
      <w:r w:rsidR="00FE6E00" w:rsidRPr="003C69F6">
        <w:rPr>
          <w:rFonts w:asciiTheme="minorHAnsi" w:hAnsiTheme="minorHAnsi" w:cstheme="minorHAnsi"/>
          <w:color w:val="000000"/>
          <w:sz w:val="16"/>
          <w:szCs w:val="16"/>
          <w:bdr w:val="none" w:sz="0" w:space="0" w:color="auto" w:frame="1"/>
          <w:lang w:val="en-GB"/>
        </w:rPr>
        <w:t>That was a cause of the Glenbrook accident.</w:t>
      </w:r>
    </w:p>
    <w:p w14:paraId="69B16EB1" w14:textId="22742381" w:rsidR="00D658F4" w:rsidRPr="003C69F6" w:rsidRDefault="00D658F4" w:rsidP="00A469EA">
      <w:pPr>
        <w:pStyle w:val="FootnoteText"/>
        <w:rPr>
          <w:rFonts w:cstheme="minorHAnsi"/>
          <w:sz w:val="16"/>
          <w:szCs w:val="16"/>
          <w:lang w:val="en-AU"/>
        </w:rPr>
      </w:pPr>
    </w:p>
  </w:footnote>
  <w:footnote w:id="87">
    <w:p w14:paraId="2E12F0DC" w14:textId="64B6AB33" w:rsidR="009316F9" w:rsidRPr="003C69F6" w:rsidRDefault="009316F9" w:rsidP="00A469EA">
      <w:pPr>
        <w:pStyle w:val="FootnoteText"/>
        <w:rPr>
          <w:rStyle w:val="Hyperlink"/>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r w:rsidR="002129A1" w:rsidRPr="003C69F6">
        <w:rPr>
          <w:rFonts w:cstheme="minorHAnsi"/>
          <w:sz w:val="16"/>
          <w:szCs w:val="16"/>
        </w:rPr>
        <w:t>E.g.,</w:t>
      </w:r>
      <w:r w:rsidRPr="003C69F6">
        <w:rPr>
          <w:rFonts w:cstheme="minorHAnsi"/>
          <w:sz w:val="16"/>
          <w:szCs w:val="16"/>
        </w:rPr>
        <w:t xml:space="preserve"> </w:t>
      </w:r>
      <w:hyperlink r:id="rId100" w:history="1">
        <w:r w:rsidRPr="003C69F6">
          <w:rPr>
            <w:rStyle w:val="Hyperlink"/>
            <w:rFonts w:cstheme="minorHAnsi"/>
            <w:sz w:val="16"/>
            <w:szCs w:val="16"/>
          </w:rPr>
          <w:t>https://www.onrsr.com.au/operator-essentials/the-onrsr-way</w:t>
        </w:r>
      </w:hyperlink>
    </w:p>
    <w:p w14:paraId="4ED2AC34" w14:textId="77777777" w:rsidR="007D1122" w:rsidRPr="003C69F6" w:rsidRDefault="007D1122" w:rsidP="00A469EA">
      <w:pPr>
        <w:pStyle w:val="FootnoteText"/>
        <w:rPr>
          <w:rFonts w:cstheme="minorHAnsi"/>
          <w:sz w:val="16"/>
          <w:szCs w:val="16"/>
          <w:lang w:val="en-AU"/>
        </w:rPr>
      </w:pPr>
    </w:p>
  </w:footnote>
  <w:footnote w:id="88">
    <w:p w14:paraId="2BADF167" w14:textId="1ADB0073" w:rsidR="007D1122" w:rsidRPr="003C69F6" w:rsidRDefault="007D1122" w:rsidP="00A469EA">
      <w:pPr>
        <w:pStyle w:val="FootnoteText"/>
        <w:rPr>
          <w:rFonts w:cstheme="minorHAnsi"/>
          <w:sz w:val="16"/>
          <w:szCs w:val="16"/>
        </w:rPr>
      </w:pPr>
      <w:r w:rsidRPr="003C69F6">
        <w:rPr>
          <w:rStyle w:val="FootnoteReference"/>
          <w:rFonts w:cstheme="minorHAnsi"/>
          <w:sz w:val="16"/>
          <w:szCs w:val="16"/>
        </w:rPr>
        <w:footnoteRef/>
      </w:r>
      <w:hyperlink r:id="rId101" w:history="1">
        <w:r w:rsidR="00F51009" w:rsidRPr="003C69F6">
          <w:rPr>
            <w:rStyle w:val="Hyperlink"/>
            <w:rFonts w:cstheme="minorHAnsi"/>
            <w:sz w:val="16"/>
            <w:szCs w:val="16"/>
          </w:rPr>
          <w:t>https://www.parliament.nsw.gov.au/lcdocs/other/16416/Letter%20from%20NSW%20Treasury%20responding%20to%20evidence%20provided%20by%20Mr%20Brendan%20Lyon,%20Former%20Partner,%20KPMG%20Australia%20redacted.pdf</w:t>
        </w:r>
      </w:hyperlink>
    </w:p>
    <w:p w14:paraId="2AEA1F71" w14:textId="584A481B" w:rsidR="00F51009" w:rsidRPr="003C69F6" w:rsidRDefault="00F51009" w:rsidP="00A469EA">
      <w:pPr>
        <w:pStyle w:val="FootnoteText"/>
        <w:rPr>
          <w:rFonts w:cstheme="minorHAnsi"/>
          <w:sz w:val="16"/>
          <w:szCs w:val="16"/>
        </w:rPr>
      </w:pPr>
      <w:r w:rsidRPr="003C69F6">
        <w:rPr>
          <w:rFonts w:cstheme="minorHAnsi"/>
          <w:sz w:val="16"/>
          <w:szCs w:val="16"/>
        </w:rPr>
        <w:t xml:space="preserve">Chiefs: </w:t>
      </w:r>
      <w:hyperlink r:id="rId102" w:history="1">
        <w:r w:rsidRPr="003C69F6">
          <w:rPr>
            <w:rStyle w:val="Hyperlink"/>
            <w:rFonts w:cstheme="minorHAnsi"/>
            <w:sz w:val="16"/>
            <w:szCs w:val="16"/>
          </w:rPr>
          <w:t>https://dictionary.cambridge.org/dictionary/english/too-many-chiefs-and-not-enough-indians</w:t>
        </w:r>
      </w:hyperlink>
    </w:p>
    <w:p w14:paraId="6A6CBE2D" w14:textId="77777777" w:rsidR="00F51009" w:rsidRPr="003C69F6" w:rsidRDefault="00F51009" w:rsidP="00A469EA">
      <w:pPr>
        <w:pStyle w:val="FootnoteText"/>
        <w:rPr>
          <w:rFonts w:cstheme="minorHAnsi"/>
          <w:sz w:val="16"/>
          <w:szCs w:val="16"/>
          <w:lang w:val="en-AU"/>
        </w:rPr>
      </w:pPr>
    </w:p>
  </w:footnote>
  <w:footnote w:id="89">
    <w:p w14:paraId="6F33267E" w14:textId="147C6843" w:rsidR="006D4E9D" w:rsidRPr="003C69F6" w:rsidRDefault="006D4E9D" w:rsidP="00A469EA">
      <w:pPr>
        <w:shd w:val="clear" w:color="auto" w:fill="FFFFFF"/>
        <w:spacing w:after="0"/>
        <w:textAlignment w:val="baseline"/>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hyperlink r:id="rId103" w:tgtFrame="_blank" w:history="1">
        <w:r w:rsidRPr="003C69F6">
          <w:rPr>
            <w:rStyle w:val="Hyperlink"/>
            <w:rFonts w:cstheme="minorHAnsi"/>
            <w:sz w:val="16"/>
            <w:szCs w:val="16"/>
            <w:bdr w:val="none" w:sz="0" w:space="0" w:color="auto" w:frame="1"/>
          </w:rPr>
          <w:t>https://www.parliament.nsw.gov.au/tp/files/42517/GlenbrookInterim2[1].pdf</w:t>
        </w:r>
      </w:hyperlink>
    </w:p>
  </w:footnote>
  <w:footnote w:id="90">
    <w:p w14:paraId="4AD07A55" w14:textId="77777777" w:rsidR="002851A1" w:rsidRPr="003C69F6" w:rsidRDefault="002851A1" w:rsidP="00A469EA">
      <w:pPr>
        <w:pStyle w:val="FootnoteText"/>
        <w:rPr>
          <w:rFonts w:cstheme="minorHAnsi"/>
          <w:sz w:val="16"/>
          <w:szCs w:val="16"/>
        </w:rPr>
      </w:pPr>
    </w:p>
    <w:p w14:paraId="4B7292BD" w14:textId="1831D54C" w:rsidR="0069317A" w:rsidRPr="003C69F6" w:rsidRDefault="0069317A"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04" w:history="1">
        <w:r w:rsidR="00983340" w:rsidRPr="003C69F6">
          <w:rPr>
            <w:rStyle w:val="Hyperlink"/>
            <w:rFonts w:cstheme="minorHAnsi"/>
            <w:sz w:val="16"/>
            <w:szCs w:val="16"/>
          </w:rPr>
          <w:t>https://www.thejadebeagle.com/policy-spad.html</w:t>
        </w:r>
      </w:hyperlink>
    </w:p>
    <w:p w14:paraId="3C0A68D2" w14:textId="77777777" w:rsidR="00983340" w:rsidRPr="003C69F6" w:rsidRDefault="00983340" w:rsidP="00A469EA">
      <w:pPr>
        <w:pStyle w:val="FootnoteText"/>
        <w:rPr>
          <w:rFonts w:cstheme="minorHAnsi"/>
          <w:sz w:val="16"/>
          <w:szCs w:val="16"/>
          <w:lang w:val="en-AU"/>
        </w:rPr>
      </w:pPr>
    </w:p>
  </w:footnote>
  <w:footnote w:id="91">
    <w:p w14:paraId="52DCE550" w14:textId="0E76DB0F" w:rsidR="008E1C91" w:rsidRPr="003C69F6" w:rsidRDefault="00E377A1" w:rsidP="00A469EA">
      <w:pPr>
        <w:pStyle w:val="FootnoteText"/>
        <w:rPr>
          <w:rFonts w:cstheme="minorHAnsi"/>
          <w:sz w:val="16"/>
          <w:szCs w:val="16"/>
        </w:rPr>
      </w:pPr>
      <w:r w:rsidRPr="003C69F6">
        <w:rPr>
          <w:rStyle w:val="FootnoteReference"/>
          <w:rFonts w:cstheme="minorHAnsi"/>
          <w:sz w:val="16"/>
          <w:szCs w:val="16"/>
        </w:rPr>
        <w:footnoteRef/>
      </w:r>
      <w:r w:rsidR="008E1C91" w:rsidRPr="003C69F6">
        <w:rPr>
          <w:rFonts w:cstheme="minorHAnsi"/>
          <w:sz w:val="16"/>
          <w:szCs w:val="16"/>
        </w:rPr>
        <w:t xml:space="preserve">The contents are largely expressed in the Government’s submission to this Parliamentary Inquiry: </w:t>
      </w:r>
      <w:hyperlink r:id="rId105" w:history="1">
        <w:r w:rsidR="008E1C91" w:rsidRPr="003C69F6">
          <w:rPr>
            <w:rStyle w:val="Hyperlink"/>
            <w:rFonts w:cstheme="minorHAnsi"/>
            <w:sz w:val="16"/>
            <w:szCs w:val="16"/>
          </w:rPr>
          <w:t>https://www.parliament.nsw.gov.au/lcdocs/submissions/76437/0006%20NSW%20Government.pdf</w:t>
        </w:r>
      </w:hyperlink>
    </w:p>
    <w:p w14:paraId="50D5C742" w14:textId="153ACC26" w:rsidR="00E377A1" w:rsidRPr="003C69F6" w:rsidRDefault="008E1C91" w:rsidP="00A469EA">
      <w:pPr>
        <w:pStyle w:val="FootnoteText"/>
        <w:rPr>
          <w:rFonts w:cstheme="minorHAnsi"/>
          <w:sz w:val="16"/>
          <w:szCs w:val="16"/>
        </w:rPr>
      </w:pPr>
      <w:r w:rsidRPr="003C69F6">
        <w:rPr>
          <w:rFonts w:cstheme="minorHAnsi"/>
          <w:sz w:val="16"/>
          <w:szCs w:val="16"/>
        </w:rPr>
        <w:t xml:space="preserve">Treasury letter: </w:t>
      </w:r>
      <w:hyperlink r:id="rId106" w:history="1">
        <w:r w:rsidRPr="003C69F6">
          <w:rPr>
            <w:rStyle w:val="Hyperlink"/>
            <w:rFonts w:cstheme="minorHAnsi"/>
            <w:sz w:val="16"/>
            <w:szCs w:val="16"/>
          </w:rPr>
          <w:t>https://www.parliament.nsw.gov.au/lcdocs/other/16416/Letter%20from%20NSW%20Treasury%20responding%20to%20evidence%20provided%20by%20Mr%20Brendan%20Lyon,%20Former%20Partner,%20KPMG%20Australia%20redacted.pdf</w:t>
        </w:r>
      </w:hyperlink>
    </w:p>
    <w:p w14:paraId="7AB48514" w14:textId="77777777" w:rsidR="00E377A1" w:rsidRPr="003C69F6" w:rsidRDefault="00E377A1" w:rsidP="00A469EA">
      <w:pPr>
        <w:pStyle w:val="FootnoteText"/>
        <w:rPr>
          <w:rFonts w:cstheme="minorHAnsi"/>
          <w:sz w:val="16"/>
          <w:szCs w:val="16"/>
          <w:lang w:val="en-AU"/>
        </w:rPr>
      </w:pPr>
    </w:p>
  </w:footnote>
  <w:footnote w:id="92">
    <w:p w14:paraId="1F6877FC" w14:textId="090B73D3" w:rsidR="0086428B" w:rsidRPr="003C69F6" w:rsidRDefault="0086428B"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r w:rsidR="002A6E7E" w:rsidRPr="003C69F6">
        <w:rPr>
          <w:rFonts w:cstheme="minorHAnsi"/>
          <w:sz w:val="16"/>
          <w:szCs w:val="16"/>
        </w:rPr>
        <w:t>Full control:</w:t>
      </w:r>
      <w:r w:rsidR="002851A1" w:rsidRPr="003C69F6">
        <w:rPr>
          <w:rFonts w:cstheme="minorHAnsi"/>
          <w:sz w:val="16"/>
          <w:szCs w:val="16"/>
        </w:rPr>
        <w:t xml:space="preserve"> </w:t>
      </w:r>
      <w:r w:rsidR="002A6E7E" w:rsidRPr="003C69F6">
        <w:rPr>
          <w:rFonts w:cstheme="minorHAnsi"/>
          <w:sz w:val="16"/>
          <w:szCs w:val="16"/>
        </w:rPr>
        <w:t>p8, and p</w:t>
      </w:r>
      <w:r w:rsidR="00725221" w:rsidRPr="003C69F6">
        <w:rPr>
          <w:rFonts w:cstheme="minorHAnsi"/>
          <w:sz w:val="16"/>
          <w:szCs w:val="16"/>
        </w:rPr>
        <w:t>.</w:t>
      </w:r>
      <w:r w:rsidR="00B8360F" w:rsidRPr="003C69F6">
        <w:rPr>
          <w:rFonts w:cstheme="minorHAnsi"/>
          <w:sz w:val="16"/>
          <w:szCs w:val="16"/>
        </w:rPr>
        <w:t>21-</w:t>
      </w:r>
      <w:r w:rsidR="00725221" w:rsidRPr="003C69F6">
        <w:rPr>
          <w:rFonts w:cstheme="minorHAnsi"/>
          <w:sz w:val="16"/>
          <w:szCs w:val="16"/>
        </w:rPr>
        <w:t xml:space="preserve">22 </w:t>
      </w:r>
      <w:hyperlink r:id="rId107" w:history="1">
        <w:r w:rsidR="00E377A1" w:rsidRPr="003C69F6">
          <w:rPr>
            <w:rStyle w:val="Hyperlink"/>
            <w:rFonts w:cstheme="minorHAnsi"/>
            <w:sz w:val="16"/>
            <w:szCs w:val="16"/>
          </w:rPr>
          <w:t>https://www.parliament.nsw.gov.au/lcdocs/transcripts/2768/Transcript%20-%20TAHE%20-%20Uncorrected%20-%208%20November%202021.pdf</w:t>
        </w:r>
      </w:hyperlink>
    </w:p>
    <w:p w14:paraId="38DC2238" w14:textId="77777777" w:rsidR="0086428B" w:rsidRPr="003C69F6" w:rsidRDefault="0086428B" w:rsidP="00A469EA">
      <w:pPr>
        <w:pStyle w:val="FootnoteText"/>
        <w:rPr>
          <w:rFonts w:cstheme="minorHAnsi"/>
          <w:sz w:val="16"/>
          <w:szCs w:val="16"/>
          <w:lang w:val="en-AU"/>
        </w:rPr>
      </w:pPr>
    </w:p>
  </w:footnote>
  <w:footnote w:id="93">
    <w:p w14:paraId="0943D86B" w14:textId="65AF3378" w:rsidR="00B8360F" w:rsidRPr="003C69F6" w:rsidRDefault="00B8360F" w:rsidP="00A469EA">
      <w:pPr>
        <w:spacing w:after="0"/>
        <w:rPr>
          <w:rFonts w:cstheme="minorHAnsi"/>
          <w:i/>
          <w:iCs/>
          <w:sz w:val="16"/>
          <w:szCs w:val="16"/>
        </w:rPr>
      </w:pPr>
      <w:r w:rsidRPr="003C69F6">
        <w:rPr>
          <w:rStyle w:val="FootnoteReference"/>
          <w:rFonts w:cstheme="minorHAnsi"/>
          <w:sz w:val="16"/>
          <w:szCs w:val="16"/>
        </w:rPr>
        <w:footnoteRef/>
      </w:r>
      <w:r w:rsidR="00F171D4" w:rsidRPr="003C69F6">
        <w:rPr>
          <w:rFonts w:cstheme="minorHAnsi"/>
          <w:sz w:val="16"/>
          <w:szCs w:val="16"/>
        </w:rPr>
        <w:t xml:space="preserve">The report had: </w:t>
      </w:r>
      <w:r w:rsidRPr="003C69F6">
        <w:rPr>
          <w:rFonts w:cstheme="minorHAnsi"/>
          <w:i/>
          <w:iCs/>
          <w:sz w:val="16"/>
          <w:szCs w:val="16"/>
        </w:rPr>
        <w:t xml:space="preserve">‘2000 - 2001: Special Commission of Inquiry into the Glenbrook Rail Accident </w:t>
      </w:r>
    </w:p>
    <w:p w14:paraId="0AD243C9" w14:textId="77777777" w:rsidR="00B8360F" w:rsidRPr="003C69F6" w:rsidRDefault="00B8360F" w:rsidP="00A469EA">
      <w:pPr>
        <w:spacing w:after="0"/>
        <w:rPr>
          <w:rFonts w:cstheme="minorHAnsi"/>
          <w:i/>
          <w:iCs/>
          <w:sz w:val="16"/>
          <w:szCs w:val="16"/>
        </w:rPr>
      </w:pPr>
      <w:r w:rsidRPr="003C69F6">
        <w:rPr>
          <w:rFonts w:cstheme="minorHAnsi"/>
          <w:i/>
          <w:iCs/>
          <w:sz w:val="16"/>
          <w:szCs w:val="16"/>
        </w:rPr>
        <w:t xml:space="preserve">• Following the Glenbrook and other rail accidents, the inquiry found fractured accountabilities had contributed to lax safety and operational performance, recommending: </w:t>
      </w:r>
      <w:r w:rsidRPr="003C69F6">
        <w:rPr>
          <w:rFonts w:cstheme="minorHAnsi"/>
          <w:i/>
          <w:iCs/>
          <w:sz w:val="16"/>
          <w:szCs w:val="16"/>
        </w:rPr>
        <w:softHyphen/>
        <w:t xml:space="preserve"> Merge the Rail Access Corporation (RAC)) and Rail Service Authority (RSA); </w:t>
      </w:r>
      <w:r w:rsidRPr="003C69F6">
        <w:rPr>
          <w:rFonts w:cstheme="minorHAnsi"/>
          <w:i/>
          <w:iCs/>
          <w:sz w:val="16"/>
          <w:szCs w:val="16"/>
        </w:rPr>
        <w:softHyphen/>
        <w:t xml:space="preserve"> Move responsibility for service planning and timetables from RAC to the SRA; </w:t>
      </w:r>
      <w:r w:rsidRPr="003C69F6">
        <w:rPr>
          <w:rFonts w:cstheme="minorHAnsi"/>
          <w:i/>
          <w:iCs/>
          <w:sz w:val="16"/>
          <w:szCs w:val="16"/>
        </w:rPr>
        <w:softHyphen/>
        <w:t xml:space="preserve"> Appoint a ‘Coordinator General of Rail’ to remove interfaces between rail agencies created in 1996; </w:t>
      </w:r>
      <w:r w:rsidRPr="003C69F6">
        <w:rPr>
          <w:rFonts w:cstheme="minorHAnsi"/>
          <w:i/>
          <w:iCs/>
          <w:sz w:val="16"/>
          <w:szCs w:val="16"/>
        </w:rPr>
        <w:softHyphen/>
        <w:t xml:space="preserve"> Appoint an independent safety regulator to make rail agencies accountable; and </w:t>
      </w:r>
      <w:r w:rsidRPr="003C69F6">
        <w:rPr>
          <w:rFonts w:cstheme="minorHAnsi"/>
          <w:i/>
          <w:iCs/>
          <w:sz w:val="16"/>
          <w:szCs w:val="16"/>
        </w:rPr>
        <w:softHyphen/>
        <w:t xml:space="preserve"> Strengthen civil and criminal accountabilities for safety. 2001: Rail access and track maintenance re-aggregated </w:t>
      </w:r>
    </w:p>
    <w:p w14:paraId="3F7F315D" w14:textId="77777777" w:rsidR="00B8360F" w:rsidRPr="003C69F6" w:rsidRDefault="00B8360F" w:rsidP="00A469EA">
      <w:pPr>
        <w:spacing w:after="0"/>
        <w:rPr>
          <w:rFonts w:cstheme="minorHAnsi"/>
          <w:sz w:val="16"/>
          <w:szCs w:val="16"/>
        </w:rPr>
      </w:pPr>
      <w:r w:rsidRPr="003C69F6">
        <w:rPr>
          <w:rFonts w:cstheme="minorHAnsi"/>
          <w:i/>
          <w:iCs/>
          <w:sz w:val="16"/>
          <w:szCs w:val="16"/>
        </w:rPr>
        <w:t xml:space="preserve">• The NSW Government announces a partial restructure of rail agencies, which sees: </w:t>
      </w:r>
      <w:r w:rsidRPr="003C69F6">
        <w:rPr>
          <w:rFonts w:cstheme="minorHAnsi"/>
          <w:i/>
          <w:iCs/>
          <w:sz w:val="16"/>
          <w:szCs w:val="16"/>
        </w:rPr>
        <w:softHyphen/>
        <w:t xml:space="preserve"> RAC and RSA are abolished in favour of the new ‘Rail Infrastructure Corporation’ (RIC)’</w:t>
      </w:r>
    </w:p>
    <w:p w14:paraId="0D95913C" w14:textId="77777777" w:rsidR="00B8360F" w:rsidRPr="003C69F6" w:rsidRDefault="00CC3DB7" w:rsidP="00A469EA">
      <w:pPr>
        <w:pStyle w:val="FootnoteText"/>
        <w:rPr>
          <w:rFonts w:cstheme="minorHAnsi"/>
          <w:sz w:val="16"/>
          <w:szCs w:val="16"/>
        </w:rPr>
      </w:pPr>
      <w:hyperlink r:id="rId108" w:history="1">
        <w:r w:rsidR="00B8360F" w:rsidRPr="003C69F6">
          <w:rPr>
            <w:rStyle w:val="Hyperlink"/>
            <w:rFonts w:cstheme="minorHAnsi"/>
            <w:sz w:val="16"/>
            <w:szCs w:val="16"/>
          </w:rPr>
          <w:t>https://www.parliament.nsw.gov.au/lcdocs/other/16324/TAHE%20Initial%20Assessment%20of%20Options_Final%20Report%20(21072020).pdf</w:t>
        </w:r>
      </w:hyperlink>
    </w:p>
    <w:p w14:paraId="3DF1531C" w14:textId="77777777" w:rsidR="00B8360F" w:rsidRPr="00B14745" w:rsidRDefault="00B8360F" w:rsidP="00A469EA">
      <w:pPr>
        <w:pStyle w:val="FootnoteText"/>
        <w:rPr>
          <w:rFonts w:cstheme="minorHAnsi"/>
          <w:sz w:val="16"/>
          <w:szCs w:val="16"/>
          <w:lang w:val="en-AU"/>
        </w:rPr>
      </w:pPr>
    </w:p>
  </w:footnote>
  <w:footnote w:id="94">
    <w:p w14:paraId="1D6C1F66" w14:textId="682ECF67" w:rsidR="00B14745" w:rsidRPr="00B14745" w:rsidRDefault="00B14745">
      <w:pPr>
        <w:pStyle w:val="FootnoteText"/>
        <w:rPr>
          <w:sz w:val="16"/>
          <w:szCs w:val="16"/>
          <w:lang w:val="en-AU"/>
        </w:rPr>
      </w:pPr>
      <w:r w:rsidRPr="00B14745">
        <w:rPr>
          <w:rStyle w:val="FootnoteReference"/>
          <w:sz w:val="16"/>
          <w:szCs w:val="16"/>
        </w:rPr>
        <w:footnoteRef/>
      </w:r>
      <w:r w:rsidRPr="00B14745">
        <w:rPr>
          <w:sz w:val="16"/>
          <w:szCs w:val="16"/>
        </w:rPr>
        <w:t xml:space="preserve"> </w:t>
      </w:r>
      <w:r w:rsidRPr="00B14745">
        <w:rPr>
          <w:sz w:val="16"/>
          <w:szCs w:val="16"/>
          <w:lang w:val="en-AU"/>
        </w:rPr>
        <w:t>Note the risk associated with habit</w:t>
      </w:r>
      <w:r>
        <w:rPr>
          <w:sz w:val="16"/>
          <w:szCs w:val="16"/>
          <w:lang w:val="en-AU"/>
        </w:rPr>
        <w:t>s that may develop from working in an operationally degraded environments – see section 4.3.5 above.</w:t>
      </w:r>
    </w:p>
    <w:p w14:paraId="08436EA0" w14:textId="77777777" w:rsidR="00B14745" w:rsidRPr="00B14745" w:rsidRDefault="00B14745">
      <w:pPr>
        <w:pStyle w:val="FootnoteText"/>
        <w:rPr>
          <w:sz w:val="16"/>
          <w:szCs w:val="16"/>
          <w:lang w:val="en-AU"/>
        </w:rPr>
      </w:pPr>
    </w:p>
  </w:footnote>
  <w:footnote w:id="95">
    <w:p w14:paraId="676DFF18" w14:textId="1676B669" w:rsidR="001E3412" w:rsidRPr="003C69F6" w:rsidRDefault="001E3412"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09" w:history="1">
        <w:r w:rsidRPr="003C69F6">
          <w:rPr>
            <w:rStyle w:val="Hyperlink"/>
            <w:rFonts w:cstheme="minorHAnsi"/>
            <w:sz w:val="16"/>
            <w:szCs w:val="16"/>
          </w:rPr>
          <w:t>https://www.parliament.nsw.gov.au/tp/files/42517/GlenbrookInterim2[1].pdf</w:t>
        </w:r>
      </w:hyperlink>
    </w:p>
    <w:p w14:paraId="7681D264" w14:textId="77777777" w:rsidR="001E3412" w:rsidRPr="003C69F6" w:rsidRDefault="001E3412" w:rsidP="00A469EA">
      <w:pPr>
        <w:pStyle w:val="FootnoteText"/>
        <w:rPr>
          <w:rFonts w:cstheme="minorHAnsi"/>
          <w:sz w:val="16"/>
          <w:szCs w:val="16"/>
          <w:lang w:val="en-AU"/>
        </w:rPr>
      </w:pPr>
    </w:p>
  </w:footnote>
  <w:footnote w:id="96">
    <w:p w14:paraId="634E3CED" w14:textId="77777777" w:rsidR="004B5A10" w:rsidRPr="003C69F6" w:rsidRDefault="004B5A10"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10" w:history="1">
        <w:r w:rsidRPr="003C69F6">
          <w:rPr>
            <w:rStyle w:val="Hyperlink"/>
            <w:rFonts w:cstheme="minorHAnsi"/>
            <w:sz w:val="16"/>
            <w:szCs w:val="16"/>
          </w:rPr>
          <w:t>https://www.parliament.nsw.gov.au/tp/files/42517/GlenbrookInterim2[1].pdf</w:t>
        </w:r>
      </w:hyperlink>
    </w:p>
    <w:p w14:paraId="0BE26A3B" w14:textId="77777777" w:rsidR="004B5A10" w:rsidRPr="003C69F6" w:rsidRDefault="004B5A10" w:rsidP="00A469EA">
      <w:pPr>
        <w:pStyle w:val="FootnoteText"/>
        <w:rPr>
          <w:rFonts w:cstheme="minorHAnsi"/>
          <w:sz w:val="16"/>
          <w:szCs w:val="16"/>
          <w:lang w:val="en-AU"/>
        </w:rPr>
      </w:pPr>
    </w:p>
  </w:footnote>
  <w:footnote w:id="97">
    <w:p w14:paraId="7A1637D5" w14:textId="14A47B80" w:rsidR="0051574B" w:rsidRPr="003C69F6" w:rsidRDefault="001E3412"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11" w:history="1">
        <w:r w:rsidR="0051574B" w:rsidRPr="003C69F6">
          <w:rPr>
            <w:rStyle w:val="Hyperlink"/>
            <w:rFonts w:cstheme="minorHAnsi"/>
            <w:sz w:val="16"/>
            <w:szCs w:val="16"/>
          </w:rPr>
          <w:t>https://www.thejadebeagle.com/policy-spad.html</w:t>
        </w:r>
      </w:hyperlink>
    </w:p>
    <w:p w14:paraId="59CFCCF2" w14:textId="2ECF7205" w:rsidR="001E3412" w:rsidRPr="00FD3AEA" w:rsidRDefault="001E3412" w:rsidP="00A469EA">
      <w:pPr>
        <w:pStyle w:val="FootnoteText"/>
        <w:rPr>
          <w:rFonts w:cstheme="minorHAnsi"/>
          <w:sz w:val="16"/>
          <w:szCs w:val="16"/>
          <w:lang w:val="en-AU"/>
        </w:rPr>
      </w:pPr>
    </w:p>
  </w:footnote>
  <w:footnote w:id="98">
    <w:p w14:paraId="7F86F81F" w14:textId="18C7BE17" w:rsidR="00B14745" w:rsidRPr="00FD3AEA" w:rsidRDefault="00B14745">
      <w:pPr>
        <w:pStyle w:val="FootnoteText"/>
        <w:rPr>
          <w:sz w:val="16"/>
          <w:szCs w:val="16"/>
        </w:rPr>
      </w:pPr>
      <w:r w:rsidRPr="00FD3AEA">
        <w:rPr>
          <w:rStyle w:val="FootnoteReference"/>
          <w:sz w:val="16"/>
          <w:szCs w:val="16"/>
        </w:rPr>
        <w:footnoteRef/>
      </w:r>
      <w:r w:rsidRPr="00FD3AEA">
        <w:rPr>
          <w:sz w:val="16"/>
          <w:szCs w:val="16"/>
        </w:rPr>
        <w:t xml:space="preserve"> </w:t>
      </w:r>
      <w:r w:rsidR="00FD3AEA" w:rsidRPr="00FD3AEA">
        <w:rPr>
          <w:sz w:val="16"/>
          <w:szCs w:val="16"/>
        </w:rPr>
        <w:t>This also was just days after the Kingsgrove derailment – see note 39.</w:t>
      </w:r>
    </w:p>
    <w:p w14:paraId="41D43B6B" w14:textId="77777777" w:rsidR="00FD3AEA" w:rsidRPr="00FD3AEA" w:rsidRDefault="00FD3AEA">
      <w:pPr>
        <w:pStyle w:val="FootnoteText"/>
        <w:rPr>
          <w:sz w:val="16"/>
          <w:szCs w:val="16"/>
          <w:lang w:val="en-AU"/>
        </w:rPr>
      </w:pPr>
    </w:p>
  </w:footnote>
  <w:footnote w:id="99">
    <w:p w14:paraId="3A3744EE" w14:textId="12F43712" w:rsidR="000A34DA" w:rsidRPr="003C69F6" w:rsidRDefault="000A34DA" w:rsidP="00A469EA">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The Commission did not accept Mr Christie’s view that a</w:t>
      </w:r>
      <w:r w:rsidR="00C44C8B" w:rsidRPr="003C69F6">
        <w:rPr>
          <w:rFonts w:cstheme="minorHAnsi"/>
          <w:sz w:val="16"/>
          <w:szCs w:val="16"/>
        </w:rPr>
        <w:t xml:space="preserve"> rail regulator should deal with the coordination function, with safety management and a</w:t>
      </w:r>
      <w:r w:rsidRPr="003C69F6">
        <w:rPr>
          <w:rFonts w:cstheme="minorHAnsi"/>
          <w:sz w:val="16"/>
          <w:szCs w:val="16"/>
        </w:rPr>
        <w:t>ccident investigat</w:t>
      </w:r>
      <w:r w:rsidR="00C44C8B" w:rsidRPr="003C69F6">
        <w:rPr>
          <w:rFonts w:cstheme="minorHAnsi"/>
          <w:sz w:val="16"/>
          <w:szCs w:val="16"/>
        </w:rPr>
        <w:t>ions.  It thought these functions should be in separate organisations</w:t>
      </w:r>
      <w:r w:rsidRPr="003C69F6">
        <w:rPr>
          <w:rFonts w:cstheme="minorHAnsi"/>
          <w:sz w:val="16"/>
          <w:szCs w:val="16"/>
        </w:rPr>
        <w:t xml:space="preserve">: </w:t>
      </w:r>
      <w:hyperlink r:id="rId112" w:history="1">
        <w:r w:rsidRPr="003C69F6">
          <w:rPr>
            <w:rStyle w:val="Hyperlink"/>
            <w:rFonts w:cstheme="minorHAnsi"/>
            <w:sz w:val="16"/>
            <w:szCs w:val="16"/>
            <w:lang w:val="en-AU"/>
          </w:rPr>
          <w:t>https://www.parliament.nsw.gov.au/tp/files/42517/GlenbrookInterim2[1].pdf</w:t>
        </w:r>
      </w:hyperlink>
    </w:p>
    <w:p w14:paraId="08FFCB99" w14:textId="77777777" w:rsidR="000A34DA" w:rsidRPr="003C69F6" w:rsidRDefault="000A34DA" w:rsidP="00A469EA">
      <w:pPr>
        <w:pStyle w:val="FootnoteText"/>
        <w:rPr>
          <w:rFonts w:cstheme="minorHAnsi"/>
          <w:sz w:val="16"/>
          <w:szCs w:val="16"/>
          <w:lang w:val="en-AU"/>
        </w:rPr>
      </w:pPr>
    </w:p>
  </w:footnote>
  <w:footnote w:id="100">
    <w:p w14:paraId="4F2C4C60" w14:textId="5D8FC28B" w:rsidR="00CE6C96" w:rsidRPr="003C69F6" w:rsidRDefault="00CE6C96" w:rsidP="00A469EA">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r w:rsidRPr="003C69F6">
        <w:rPr>
          <w:rFonts w:cstheme="minorHAnsi"/>
          <w:sz w:val="16"/>
          <w:szCs w:val="16"/>
          <w:lang w:val="en-AU"/>
        </w:rPr>
        <w:t xml:space="preserve">P.41 </w:t>
      </w:r>
      <w:hyperlink r:id="rId113" w:history="1">
        <w:r w:rsidR="00F22BDD" w:rsidRPr="003C69F6">
          <w:rPr>
            <w:rStyle w:val="Hyperlink"/>
            <w:rFonts w:cstheme="minorHAnsi"/>
            <w:sz w:val="16"/>
            <w:szCs w:val="16"/>
          </w:rPr>
          <w:t>https://www.parliament.nsw.gov.au/tp/files/50980/A9RB6AA.tmp.pdf</w:t>
        </w:r>
      </w:hyperlink>
    </w:p>
    <w:p w14:paraId="1F6B0661" w14:textId="77777777" w:rsidR="00CE6C96" w:rsidRPr="003C69F6" w:rsidRDefault="00CE6C96" w:rsidP="00A469EA">
      <w:pPr>
        <w:pStyle w:val="FootnoteText"/>
        <w:rPr>
          <w:rFonts w:cstheme="minorHAnsi"/>
          <w:sz w:val="16"/>
          <w:szCs w:val="16"/>
          <w:lang w:val="en-AU"/>
        </w:rPr>
      </w:pPr>
    </w:p>
  </w:footnote>
  <w:footnote w:id="101">
    <w:p w14:paraId="233D1CE2" w14:textId="24B7CC86" w:rsidR="00D92F0D" w:rsidRPr="003C69F6" w:rsidRDefault="00D92F0D">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14" w:history="1">
        <w:r w:rsidR="00D97C00" w:rsidRPr="003C69F6">
          <w:rPr>
            <w:rStyle w:val="Hyperlink"/>
            <w:rFonts w:cstheme="minorHAnsi"/>
            <w:sz w:val="16"/>
            <w:szCs w:val="16"/>
          </w:rPr>
          <w:t>https://www.parliament.nsw.gov.au/hansard/Pages/home.aspx?s=1</w:t>
        </w:r>
      </w:hyperlink>
    </w:p>
    <w:p w14:paraId="74C875ED" w14:textId="77777777" w:rsidR="00D97C00" w:rsidRPr="003C69F6" w:rsidRDefault="00D97C00">
      <w:pPr>
        <w:pStyle w:val="FootnoteText"/>
        <w:rPr>
          <w:rFonts w:cstheme="minorHAnsi"/>
          <w:sz w:val="16"/>
          <w:szCs w:val="16"/>
          <w:lang w:val="en-AU"/>
        </w:rPr>
      </w:pPr>
    </w:p>
  </w:footnote>
  <w:footnote w:id="102">
    <w:p w14:paraId="1847EC19" w14:textId="5789D8ED" w:rsidR="000A34DA" w:rsidRPr="003C69F6" w:rsidRDefault="000A34DA" w:rsidP="00A469EA">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r w:rsidR="00347BAB" w:rsidRPr="003C69F6">
        <w:rPr>
          <w:rFonts w:cstheme="minorHAnsi"/>
          <w:sz w:val="16"/>
          <w:szCs w:val="16"/>
        </w:rPr>
        <w:t xml:space="preserve">P.39 </w:t>
      </w:r>
      <w:hyperlink r:id="rId115" w:history="1">
        <w:r w:rsidR="00347BAB" w:rsidRPr="003C69F6">
          <w:rPr>
            <w:rStyle w:val="Hyperlink"/>
            <w:rFonts w:cstheme="minorHAnsi"/>
            <w:sz w:val="16"/>
            <w:szCs w:val="16"/>
          </w:rPr>
          <w:t>https://www.parliament.nsw.gov.au/tp/files/50980/A9RB6AA.tmp.pdf</w:t>
        </w:r>
      </w:hyperlink>
    </w:p>
    <w:p w14:paraId="03376585" w14:textId="77777777" w:rsidR="00347BAB" w:rsidRPr="003C69F6" w:rsidRDefault="00347BAB" w:rsidP="00A469EA">
      <w:pPr>
        <w:pStyle w:val="FootnoteText"/>
        <w:rPr>
          <w:rFonts w:cstheme="minorHAnsi"/>
          <w:sz w:val="16"/>
          <w:szCs w:val="16"/>
          <w:lang w:val="en-AU"/>
        </w:rPr>
      </w:pPr>
    </w:p>
  </w:footnote>
  <w:footnote w:id="103">
    <w:p w14:paraId="151DBD65" w14:textId="49D06F08" w:rsidR="00D74F0F" w:rsidRPr="003C69F6" w:rsidRDefault="00D74F0F">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16" w:history="1">
        <w:r w:rsidRPr="003C69F6">
          <w:rPr>
            <w:rStyle w:val="Hyperlink"/>
            <w:rFonts w:cstheme="minorHAnsi"/>
            <w:sz w:val="16"/>
            <w:szCs w:val="16"/>
          </w:rPr>
          <w:t>https://en.wikipedia.org/wiki/Minister_for_Transport_and_Roads_(New_South_Wales)</w:t>
        </w:r>
      </w:hyperlink>
    </w:p>
    <w:p w14:paraId="39F37CED" w14:textId="77777777" w:rsidR="00D74F0F" w:rsidRPr="003C69F6" w:rsidRDefault="00D74F0F">
      <w:pPr>
        <w:pStyle w:val="FootnoteText"/>
        <w:rPr>
          <w:rFonts w:cstheme="minorHAnsi"/>
          <w:sz w:val="16"/>
          <w:szCs w:val="16"/>
          <w:lang w:val="en-AU"/>
        </w:rPr>
      </w:pPr>
    </w:p>
  </w:footnote>
  <w:footnote w:id="104">
    <w:p w14:paraId="7D2BDB8D" w14:textId="2C892C0F" w:rsidR="00760340" w:rsidRPr="003C69F6" w:rsidRDefault="00760340"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17" w:history="1">
        <w:r w:rsidR="00C806B7" w:rsidRPr="003C69F6">
          <w:rPr>
            <w:rStyle w:val="Hyperlink"/>
            <w:rFonts w:cstheme="minorHAnsi"/>
            <w:sz w:val="16"/>
            <w:szCs w:val="16"/>
          </w:rPr>
          <w:t>https://nraspricms01.blob.core.windows.net/assets/documents/Waterfall-Rail-Accident/Waterfall-final-report-Volume-1.pdf</w:t>
        </w:r>
      </w:hyperlink>
    </w:p>
    <w:p w14:paraId="0673D46F" w14:textId="77777777" w:rsidR="00C806B7" w:rsidRPr="003C69F6" w:rsidRDefault="00C806B7" w:rsidP="00A469EA">
      <w:pPr>
        <w:pStyle w:val="FootnoteText"/>
        <w:rPr>
          <w:rFonts w:cstheme="minorHAnsi"/>
          <w:sz w:val="16"/>
          <w:szCs w:val="16"/>
          <w:lang w:val="en-AU"/>
        </w:rPr>
      </w:pPr>
    </w:p>
  </w:footnote>
  <w:footnote w:id="105">
    <w:p w14:paraId="2D3B45FA" w14:textId="34525FA0" w:rsidR="002D178C" w:rsidRPr="003C69F6" w:rsidRDefault="002D178C" w:rsidP="002D178C">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18" w:history="1">
        <w:r w:rsidRPr="003C69F6">
          <w:rPr>
            <w:rStyle w:val="Hyperlink"/>
            <w:rFonts w:cstheme="minorHAnsi"/>
            <w:sz w:val="16"/>
            <w:szCs w:val="16"/>
          </w:rPr>
          <w:t>https://nraspricms01.blob.core.windows.net/assets/documents/Waterfall-Rail-Accident/Waterfall-final-report-Volume-1.pdf</w:t>
        </w:r>
      </w:hyperlink>
      <w:r w:rsidR="00E54425">
        <w:rPr>
          <w:rStyle w:val="Hyperlink"/>
          <w:rFonts w:cstheme="minorHAnsi"/>
          <w:sz w:val="16"/>
          <w:szCs w:val="16"/>
        </w:rPr>
        <w:t xml:space="preserve"> at </w:t>
      </w:r>
      <w:r w:rsidR="00E54425" w:rsidRPr="003C69F6">
        <w:rPr>
          <w:rFonts w:cstheme="minorHAnsi"/>
          <w:sz w:val="16"/>
          <w:szCs w:val="16"/>
        </w:rPr>
        <w:t>Pp304-341</w:t>
      </w:r>
      <w:r w:rsidR="00E54425">
        <w:rPr>
          <w:rFonts w:cstheme="minorHAnsi"/>
          <w:sz w:val="16"/>
          <w:szCs w:val="16"/>
        </w:rPr>
        <w:t>.</w:t>
      </w:r>
      <w:r w:rsidR="00B53AB5">
        <w:rPr>
          <w:rFonts w:cstheme="minorHAnsi"/>
          <w:sz w:val="16"/>
          <w:szCs w:val="16"/>
        </w:rPr>
        <w:t xml:space="preserve">  </w:t>
      </w:r>
      <w:hyperlink r:id="rId119" w:history="1">
        <w:r w:rsidR="00B53AB5" w:rsidRPr="00B1597F">
          <w:rPr>
            <w:rStyle w:val="Hyperlink"/>
            <w:rFonts w:cstheme="minorHAnsi"/>
            <w:sz w:val="16"/>
            <w:szCs w:val="16"/>
          </w:rPr>
          <w:t>https://www.thejadebeagle.com/policy-spad-update.html</w:t>
        </w:r>
      </w:hyperlink>
      <w:r w:rsidR="00B53AB5">
        <w:rPr>
          <w:rFonts w:cstheme="minorHAnsi"/>
          <w:sz w:val="16"/>
          <w:szCs w:val="16"/>
        </w:rPr>
        <w:t xml:space="preserve"> at section 10.</w:t>
      </w:r>
    </w:p>
    <w:p w14:paraId="55F851B3" w14:textId="77777777" w:rsidR="002D178C" w:rsidRPr="003C69F6" w:rsidRDefault="002D178C" w:rsidP="002D178C">
      <w:pPr>
        <w:pStyle w:val="FootnoteText"/>
        <w:rPr>
          <w:rFonts w:cstheme="minorHAnsi"/>
          <w:sz w:val="16"/>
          <w:szCs w:val="16"/>
          <w:lang w:val="en-AU"/>
        </w:rPr>
      </w:pPr>
    </w:p>
  </w:footnote>
  <w:footnote w:id="106">
    <w:p w14:paraId="35D82542" w14:textId="77777777" w:rsidR="00561527" w:rsidRPr="003C69F6" w:rsidRDefault="00561527" w:rsidP="00561527">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At </w:t>
      </w:r>
      <w:hyperlink r:id="rId120" w:history="1">
        <w:r w:rsidRPr="003C69F6">
          <w:rPr>
            <w:rStyle w:val="Hyperlink"/>
            <w:rFonts w:cstheme="minorHAnsi"/>
            <w:sz w:val="16"/>
            <w:szCs w:val="16"/>
          </w:rPr>
          <w:t>https://catalogue.nla.gov.au/Record/3048968</w:t>
        </w:r>
      </w:hyperlink>
    </w:p>
    <w:p w14:paraId="401A27B3" w14:textId="77777777" w:rsidR="00561527" w:rsidRPr="003C69F6" w:rsidRDefault="00561527" w:rsidP="00561527">
      <w:pPr>
        <w:pStyle w:val="FootnoteText"/>
        <w:rPr>
          <w:rFonts w:cstheme="minorHAnsi"/>
          <w:sz w:val="16"/>
          <w:szCs w:val="16"/>
          <w:lang w:val="en-AU"/>
        </w:rPr>
      </w:pPr>
    </w:p>
  </w:footnote>
  <w:footnote w:id="107">
    <w:p w14:paraId="230B359D" w14:textId="77777777" w:rsidR="00584AB6" w:rsidRPr="003C69F6" w:rsidRDefault="00584AB6" w:rsidP="00584AB6">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r w:rsidRPr="003C69F6">
        <w:rPr>
          <w:rFonts w:cstheme="minorHAnsi"/>
          <w:i/>
          <w:iCs/>
          <w:sz w:val="16"/>
          <w:szCs w:val="16"/>
        </w:rPr>
        <w:t>‘A statutory State-owned corporation will deliver improved management and the merger will provide single-point accountability for the metropolitan rail network. Experience with vertical separation of agencies both in New South Wales and internationally is that the splitting of functions across separate organisations reduces communication, spreads scarce technical expertise and leads to ambiguities in accountabilities and responsibilities. That point was also highlighted by Justice McInerney in his report into the Glenbrook accident.’</w:t>
      </w:r>
      <w:r w:rsidRPr="003C69F6">
        <w:rPr>
          <w:rFonts w:cstheme="minorHAnsi"/>
          <w:sz w:val="16"/>
          <w:szCs w:val="16"/>
        </w:rPr>
        <w:t xml:space="preserve">  </w:t>
      </w:r>
      <w:hyperlink r:id="rId121" w:history="1">
        <w:r w:rsidRPr="003C69F6">
          <w:rPr>
            <w:rStyle w:val="Hyperlink"/>
            <w:rFonts w:cstheme="minorHAnsi"/>
            <w:sz w:val="16"/>
            <w:szCs w:val="16"/>
          </w:rPr>
          <w:t>https://www.parliament.nsw.gov.au/bill/files/1499/A9603.pdf</w:t>
        </w:r>
      </w:hyperlink>
    </w:p>
    <w:p w14:paraId="0014985D" w14:textId="77777777" w:rsidR="00584AB6" w:rsidRPr="003C69F6" w:rsidRDefault="00584AB6" w:rsidP="00584AB6">
      <w:pPr>
        <w:pStyle w:val="FootnoteText"/>
        <w:rPr>
          <w:rFonts w:cstheme="minorHAnsi"/>
          <w:sz w:val="16"/>
          <w:szCs w:val="16"/>
          <w:lang w:val="en-AU"/>
        </w:rPr>
      </w:pPr>
    </w:p>
  </w:footnote>
  <w:footnote w:id="108">
    <w:p w14:paraId="0000CAC7" w14:textId="77777777" w:rsidR="00FA3393" w:rsidRPr="003C69F6" w:rsidRDefault="00FA3393" w:rsidP="00FA3393">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22" w:history="1">
        <w:r w:rsidRPr="003C69F6">
          <w:rPr>
            <w:rStyle w:val="Hyperlink"/>
            <w:rFonts w:cstheme="minorHAnsi"/>
            <w:sz w:val="16"/>
            <w:szCs w:val="16"/>
          </w:rPr>
          <w:t>https://catalogue.nla.gov.au/Record/3262656</w:t>
        </w:r>
      </w:hyperlink>
    </w:p>
    <w:p w14:paraId="396FF10F" w14:textId="77777777" w:rsidR="00FA3393" w:rsidRPr="003C69F6" w:rsidRDefault="00FA3393" w:rsidP="00FA3393">
      <w:pPr>
        <w:pStyle w:val="FootnoteText"/>
        <w:rPr>
          <w:rFonts w:cstheme="minorHAnsi"/>
          <w:sz w:val="16"/>
          <w:szCs w:val="16"/>
          <w:lang w:val="en-AU"/>
        </w:rPr>
      </w:pPr>
    </w:p>
  </w:footnote>
  <w:footnote w:id="109">
    <w:p w14:paraId="1A943B62" w14:textId="68CC3C67" w:rsidR="008818F4" w:rsidRPr="003C69F6" w:rsidRDefault="008818F4">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See e.g. </w:t>
      </w:r>
      <w:hyperlink r:id="rId123" w:history="1">
        <w:r w:rsidR="00B070B1" w:rsidRPr="003C69F6">
          <w:rPr>
            <w:rStyle w:val="Hyperlink"/>
            <w:rFonts w:cstheme="minorHAnsi"/>
            <w:sz w:val="16"/>
            <w:szCs w:val="16"/>
          </w:rPr>
          <w:t>https://www.bitre.gov.au/sites/default/files/sp_002_pittfalls_in_competitve_tendering.pdf</w:t>
        </w:r>
      </w:hyperlink>
      <w:r w:rsidR="00B070B1" w:rsidRPr="003C69F6">
        <w:rPr>
          <w:rFonts w:cstheme="minorHAnsi"/>
          <w:sz w:val="16"/>
          <w:szCs w:val="16"/>
        </w:rPr>
        <w:t xml:space="preserve">; </w:t>
      </w:r>
      <w:r w:rsidR="00DE57B5" w:rsidRPr="003C69F6">
        <w:rPr>
          <w:rFonts w:cstheme="minorHAnsi"/>
          <w:sz w:val="16"/>
          <w:szCs w:val="16"/>
        </w:rPr>
        <w:t xml:space="preserve">Preston </w:t>
      </w:r>
      <w:hyperlink r:id="rId124" w:history="1">
        <w:r w:rsidR="00DE57B5" w:rsidRPr="003C69F6">
          <w:rPr>
            <w:rStyle w:val="Hyperlink"/>
            <w:rFonts w:cstheme="minorHAnsi"/>
            <w:sz w:val="16"/>
            <w:szCs w:val="16"/>
          </w:rPr>
          <w:t>https://www.ncbi.nlm.nih.gov/pmc/articles/PMC7166032/</w:t>
        </w:r>
      </w:hyperlink>
      <w:r w:rsidR="00B070B1" w:rsidRPr="003C69F6">
        <w:rPr>
          <w:rFonts w:cstheme="minorHAnsi"/>
          <w:sz w:val="16"/>
          <w:szCs w:val="16"/>
        </w:rPr>
        <w:t xml:space="preserve">; </w:t>
      </w:r>
      <w:r w:rsidR="00DE57B5" w:rsidRPr="003C69F6">
        <w:rPr>
          <w:rFonts w:cstheme="minorHAnsi"/>
          <w:sz w:val="16"/>
          <w:szCs w:val="16"/>
        </w:rPr>
        <w:t xml:space="preserve">Currie </w:t>
      </w:r>
      <w:hyperlink r:id="rId125" w:history="1">
        <w:r w:rsidR="00DE57B5" w:rsidRPr="003C69F6">
          <w:rPr>
            <w:rStyle w:val="Hyperlink"/>
            <w:rFonts w:cstheme="minorHAnsi"/>
            <w:sz w:val="16"/>
            <w:szCs w:val="16"/>
          </w:rPr>
          <w:t>https://www.econstor.eu/bitstream/10419/173919/1/868642231.pdf</w:t>
        </w:r>
      </w:hyperlink>
    </w:p>
    <w:p w14:paraId="1219E676" w14:textId="77777777" w:rsidR="008818F4" w:rsidRPr="003C69F6" w:rsidRDefault="008818F4">
      <w:pPr>
        <w:pStyle w:val="FootnoteText"/>
        <w:rPr>
          <w:rFonts w:cstheme="minorHAnsi"/>
          <w:sz w:val="16"/>
          <w:szCs w:val="16"/>
          <w:lang w:val="en-AU"/>
        </w:rPr>
      </w:pPr>
    </w:p>
  </w:footnote>
  <w:footnote w:id="110">
    <w:p w14:paraId="10C4E13B" w14:textId="7915E584" w:rsidR="005F2369" w:rsidRPr="003C69F6" w:rsidRDefault="005F2369">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hyperlink r:id="rId126" w:history="1">
        <w:r w:rsidR="005E17EC" w:rsidRPr="003C69F6">
          <w:rPr>
            <w:rStyle w:val="Hyperlink"/>
            <w:rFonts w:cstheme="minorHAnsi"/>
            <w:sz w:val="16"/>
            <w:szCs w:val="16"/>
          </w:rPr>
          <w:t>https://www.thejadebeagle.com/dogs-breakfast-for-all.html</w:t>
        </w:r>
      </w:hyperlink>
    </w:p>
  </w:footnote>
  <w:footnote w:id="111">
    <w:p w14:paraId="6B8B752A" w14:textId="77777777" w:rsidR="005E17EC" w:rsidRPr="003C69F6" w:rsidRDefault="005E17EC">
      <w:pPr>
        <w:pStyle w:val="FootnoteText"/>
        <w:rPr>
          <w:rFonts w:cstheme="minorHAnsi"/>
          <w:sz w:val="16"/>
          <w:szCs w:val="16"/>
        </w:rPr>
      </w:pPr>
    </w:p>
    <w:p w14:paraId="535CB4F3" w14:textId="47946DEE" w:rsidR="007A066D" w:rsidRPr="003C69F6" w:rsidRDefault="007A066D">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hyperlink r:id="rId127" w:history="1">
        <w:r w:rsidR="00D00E81" w:rsidRPr="003C69F6">
          <w:rPr>
            <w:rStyle w:val="Hyperlink"/>
            <w:rFonts w:cstheme="minorHAnsi"/>
            <w:sz w:val="16"/>
            <w:szCs w:val="16"/>
          </w:rPr>
          <w:t>https://catalogue.nla.gov.au/Record/3048968</w:t>
        </w:r>
      </w:hyperlink>
      <w:r w:rsidR="00D00E81" w:rsidRPr="003C69F6">
        <w:rPr>
          <w:rFonts w:cstheme="minorHAnsi"/>
          <w:sz w:val="16"/>
          <w:szCs w:val="16"/>
        </w:rPr>
        <w:t xml:space="preserve"> at </w:t>
      </w:r>
      <w:r w:rsidRPr="003C69F6">
        <w:rPr>
          <w:rFonts w:cstheme="minorHAnsi"/>
          <w:sz w:val="16"/>
          <w:szCs w:val="16"/>
          <w:lang w:val="en-AU"/>
        </w:rPr>
        <w:t>p</w:t>
      </w:r>
      <w:r w:rsidR="00D00E81" w:rsidRPr="003C69F6">
        <w:rPr>
          <w:rFonts w:cstheme="minorHAnsi"/>
          <w:sz w:val="16"/>
          <w:szCs w:val="16"/>
          <w:lang w:val="en-AU"/>
        </w:rPr>
        <w:t xml:space="preserve">. </w:t>
      </w:r>
      <w:r w:rsidRPr="003C69F6">
        <w:rPr>
          <w:rFonts w:cstheme="minorHAnsi"/>
          <w:sz w:val="16"/>
          <w:szCs w:val="16"/>
          <w:lang w:val="en-AU"/>
        </w:rPr>
        <w:t>xviii</w:t>
      </w:r>
      <w:r w:rsidR="00E54425">
        <w:rPr>
          <w:rFonts w:cstheme="minorHAnsi"/>
          <w:sz w:val="16"/>
          <w:szCs w:val="16"/>
          <w:lang w:val="en-AU"/>
        </w:rPr>
        <w:t>.</w:t>
      </w:r>
    </w:p>
    <w:p w14:paraId="1DBD4807" w14:textId="77777777" w:rsidR="00510921" w:rsidRPr="003C69F6" w:rsidRDefault="00510921">
      <w:pPr>
        <w:pStyle w:val="FootnoteText"/>
        <w:rPr>
          <w:rFonts w:cstheme="minorHAnsi"/>
          <w:sz w:val="16"/>
          <w:szCs w:val="16"/>
          <w:lang w:val="en-AU"/>
        </w:rPr>
      </w:pPr>
    </w:p>
  </w:footnote>
  <w:footnote w:id="112">
    <w:p w14:paraId="4E2A65CE" w14:textId="2437AF53" w:rsidR="005E17EC" w:rsidRPr="003C69F6" w:rsidRDefault="005E17EC">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28" w:history="1">
        <w:r w:rsidR="00915853" w:rsidRPr="003C69F6">
          <w:rPr>
            <w:rStyle w:val="Hyperlink"/>
            <w:rFonts w:cstheme="minorHAnsi"/>
            <w:sz w:val="16"/>
            <w:szCs w:val="16"/>
          </w:rPr>
          <w:t>https://www.thejadebeagle.com/policy-spad.html</w:t>
        </w:r>
      </w:hyperlink>
      <w:r w:rsidR="00915853" w:rsidRPr="003C69F6">
        <w:rPr>
          <w:rFonts w:cstheme="minorHAnsi"/>
          <w:sz w:val="16"/>
          <w:szCs w:val="16"/>
        </w:rPr>
        <w:t xml:space="preserve"> at note cxi</w:t>
      </w:r>
      <w:r w:rsidR="00190B21">
        <w:rPr>
          <w:rFonts w:cstheme="minorHAnsi"/>
          <w:sz w:val="16"/>
          <w:szCs w:val="16"/>
        </w:rPr>
        <w:t xml:space="preserve"> and section 6.</w:t>
      </w:r>
    </w:p>
    <w:p w14:paraId="0852A50F" w14:textId="77777777" w:rsidR="00915853" w:rsidRPr="003C69F6" w:rsidRDefault="00915853">
      <w:pPr>
        <w:pStyle w:val="FootnoteText"/>
        <w:rPr>
          <w:rFonts w:cstheme="minorHAnsi"/>
          <w:sz w:val="16"/>
          <w:szCs w:val="16"/>
          <w:lang w:val="en-AU"/>
        </w:rPr>
      </w:pPr>
    </w:p>
  </w:footnote>
  <w:footnote w:id="113">
    <w:p w14:paraId="3564FCC1" w14:textId="0529887E" w:rsidR="00423A49" w:rsidRPr="003C69F6" w:rsidRDefault="00DA730E">
      <w:pPr>
        <w:pStyle w:val="FootnoteText"/>
        <w:rPr>
          <w:rFonts w:cstheme="minorHAnsi"/>
          <w:sz w:val="16"/>
          <w:szCs w:val="16"/>
        </w:rPr>
      </w:pPr>
      <w:r w:rsidRPr="003C69F6">
        <w:rPr>
          <w:rStyle w:val="FootnoteReference"/>
          <w:rFonts w:cstheme="minorHAnsi"/>
          <w:sz w:val="16"/>
          <w:szCs w:val="16"/>
        </w:rPr>
        <w:footnoteRef/>
      </w:r>
      <w:hyperlink r:id="rId129" w:history="1">
        <w:r w:rsidR="00423A49" w:rsidRPr="003C69F6">
          <w:rPr>
            <w:rStyle w:val="Hyperlink"/>
            <w:rFonts w:cstheme="minorHAnsi"/>
            <w:sz w:val="16"/>
            <w:szCs w:val="16"/>
          </w:rPr>
          <w:t>https://www.dpc.nsw.gov.au/assets/dpc-nsw-gov-au/publications/Sydney-Ferries-listing-440/440477d422/Report-of-the-Special-Commission-of-Inquiry-into-Sydney-Ferries.pdf</w:t>
        </w:r>
      </w:hyperlink>
    </w:p>
    <w:p w14:paraId="0815A0F0" w14:textId="2565FDC7" w:rsidR="00DA730E" w:rsidRPr="003C69F6" w:rsidRDefault="00DA730E">
      <w:pPr>
        <w:pStyle w:val="FootnoteText"/>
        <w:rPr>
          <w:rFonts w:cstheme="minorHAnsi"/>
          <w:sz w:val="16"/>
          <w:szCs w:val="16"/>
          <w:lang w:val="en-AU"/>
        </w:rPr>
      </w:pPr>
      <w:r w:rsidRPr="003C69F6">
        <w:rPr>
          <w:rFonts w:cstheme="minorHAnsi"/>
          <w:sz w:val="16"/>
          <w:szCs w:val="16"/>
        </w:rPr>
        <w:t xml:space="preserve"> </w:t>
      </w:r>
    </w:p>
  </w:footnote>
  <w:footnote w:id="114">
    <w:p w14:paraId="191C3072" w14:textId="30BC96A9" w:rsidR="00423A49" w:rsidRDefault="00423A49">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30" w:history="1">
        <w:r w:rsidR="00C073C4" w:rsidRPr="00B1597F">
          <w:rPr>
            <w:rStyle w:val="Hyperlink"/>
            <w:rFonts w:cstheme="minorHAnsi"/>
            <w:sz w:val="16"/>
            <w:szCs w:val="16"/>
          </w:rPr>
          <w:t>https://www.thejadebeagle.com/policy-spad.html at section 5.5</w:t>
        </w:r>
      </w:hyperlink>
      <w:r w:rsidR="00E54425">
        <w:rPr>
          <w:rFonts w:cstheme="minorHAnsi"/>
          <w:sz w:val="16"/>
          <w:szCs w:val="16"/>
        </w:rPr>
        <w:t>.</w:t>
      </w:r>
    </w:p>
    <w:p w14:paraId="1446D3FD" w14:textId="77777777" w:rsidR="00C073C4" w:rsidRPr="003C69F6" w:rsidRDefault="00C073C4">
      <w:pPr>
        <w:pStyle w:val="FootnoteText"/>
        <w:rPr>
          <w:rFonts w:cstheme="minorHAnsi"/>
          <w:sz w:val="16"/>
          <w:szCs w:val="16"/>
          <w:lang w:val="en-AU"/>
        </w:rPr>
      </w:pPr>
    </w:p>
  </w:footnote>
  <w:footnote w:id="115">
    <w:p w14:paraId="17781CD9" w14:textId="677DE4CE" w:rsidR="002D178C" w:rsidRPr="003C69F6" w:rsidRDefault="002D178C" w:rsidP="002D178C">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r w:rsidRPr="003C69F6">
        <w:rPr>
          <w:rFonts w:cstheme="minorHAnsi"/>
          <w:sz w:val="16"/>
          <w:szCs w:val="16"/>
          <w:lang w:val="en-AU"/>
        </w:rPr>
        <w:t xml:space="preserve">Second reading: </w:t>
      </w:r>
      <w:hyperlink r:id="rId131" w:history="1">
        <w:r w:rsidRPr="003C69F6">
          <w:rPr>
            <w:rStyle w:val="Hyperlink"/>
            <w:rFonts w:cstheme="minorHAnsi"/>
            <w:sz w:val="16"/>
            <w:szCs w:val="16"/>
            <w:lang w:val="en-AU"/>
          </w:rPr>
          <w:t>https://www.parliament.nsw.gov.au/bill/files/1540/LA%209808.pdf</w:t>
        </w:r>
      </w:hyperlink>
    </w:p>
    <w:p w14:paraId="75F76355" w14:textId="77777777" w:rsidR="002D178C" w:rsidRPr="003C69F6" w:rsidRDefault="002D178C" w:rsidP="002D178C">
      <w:pPr>
        <w:pStyle w:val="FootnoteText"/>
        <w:rPr>
          <w:rFonts w:cstheme="minorHAnsi"/>
          <w:sz w:val="16"/>
          <w:szCs w:val="16"/>
          <w:lang w:val="en-AU"/>
        </w:rPr>
      </w:pPr>
      <w:r w:rsidRPr="003C69F6">
        <w:rPr>
          <w:rFonts w:cstheme="minorHAnsi"/>
          <w:sz w:val="16"/>
          <w:szCs w:val="16"/>
          <w:lang w:val="en-AU"/>
        </w:rPr>
        <w:t xml:space="preserve">Commission of inquiry: </w:t>
      </w:r>
      <w:hyperlink r:id="rId132" w:history="1">
        <w:r w:rsidRPr="003C69F6">
          <w:rPr>
            <w:rStyle w:val="Hyperlink"/>
            <w:rFonts w:cstheme="minorHAnsi"/>
            <w:sz w:val="16"/>
            <w:szCs w:val="16"/>
            <w:lang w:val="en-AU"/>
          </w:rPr>
          <w:t>https://www.dpc.nsw.gov.au/assets/dpc-nsw-gov-au/publications/Sydney-Ferries-listing-440/440477d422/Report-of-the-Special-Commission-of-Inquiry-into-Sydney-Ferries.pdf</w:t>
        </w:r>
      </w:hyperlink>
    </w:p>
    <w:p w14:paraId="2EAA9E0E" w14:textId="77777777" w:rsidR="002D178C" w:rsidRPr="003C69F6" w:rsidRDefault="002D178C" w:rsidP="002D178C">
      <w:pPr>
        <w:pStyle w:val="FootnoteText"/>
        <w:rPr>
          <w:rFonts w:cstheme="minorHAnsi"/>
          <w:sz w:val="16"/>
          <w:szCs w:val="16"/>
          <w:lang w:val="en-AU"/>
        </w:rPr>
      </w:pPr>
    </w:p>
  </w:footnote>
  <w:footnote w:id="116">
    <w:p w14:paraId="13AC84F3" w14:textId="03E6E447" w:rsidR="00CC3696" w:rsidRPr="003C69F6" w:rsidRDefault="00CC3696">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r w:rsidR="00F14179" w:rsidRPr="003C69F6">
        <w:rPr>
          <w:rFonts w:cstheme="minorHAnsi"/>
          <w:sz w:val="16"/>
          <w:szCs w:val="16"/>
        </w:rPr>
        <w:t xml:space="preserve">Compare note 31 (above) with </w:t>
      </w:r>
      <w:hyperlink r:id="rId133" w:history="1">
        <w:r w:rsidR="00F14179" w:rsidRPr="003C69F6">
          <w:rPr>
            <w:rStyle w:val="Hyperlink"/>
            <w:rFonts w:cstheme="minorHAnsi"/>
            <w:sz w:val="16"/>
            <w:szCs w:val="16"/>
          </w:rPr>
          <w:t>https://www.transport.nsw.gov.au/newsroom-and-events/media-releases/fixing-trains</w:t>
        </w:r>
      </w:hyperlink>
    </w:p>
    <w:p w14:paraId="51AB7786" w14:textId="77777777" w:rsidR="00CC3696" w:rsidRPr="003C69F6" w:rsidRDefault="00CC3696">
      <w:pPr>
        <w:pStyle w:val="FootnoteText"/>
        <w:rPr>
          <w:rFonts w:cstheme="minorHAnsi"/>
          <w:sz w:val="16"/>
          <w:szCs w:val="16"/>
          <w:lang w:val="en-AU"/>
        </w:rPr>
      </w:pPr>
    </w:p>
  </w:footnote>
  <w:footnote w:id="117">
    <w:p w14:paraId="6CAB7566" w14:textId="77777777" w:rsidR="00B8632A" w:rsidRPr="003C69F6" w:rsidRDefault="00B8632A" w:rsidP="00A469EA">
      <w:pPr>
        <w:spacing w:after="0"/>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While Sydney Trains was formally a subsidiary of RailCorp, it was controlled by Transport for NSW.  </w:t>
      </w:r>
    </w:p>
    <w:p w14:paraId="291F9923" w14:textId="6E8361D2" w:rsidR="00B8632A" w:rsidRPr="003C69F6" w:rsidRDefault="00CC3DB7" w:rsidP="00A469EA">
      <w:pPr>
        <w:pStyle w:val="FootnoteText"/>
        <w:rPr>
          <w:rStyle w:val="Hyperlink"/>
          <w:rFonts w:cstheme="minorHAnsi"/>
          <w:sz w:val="16"/>
          <w:szCs w:val="16"/>
        </w:rPr>
      </w:pPr>
      <w:hyperlink r:id="rId134" w:history="1">
        <w:r w:rsidR="00402E88" w:rsidRPr="003C69F6">
          <w:rPr>
            <w:rStyle w:val="Hyperlink"/>
            <w:rFonts w:cstheme="minorHAnsi"/>
            <w:sz w:val="16"/>
            <w:szCs w:val="16"/>
          </w:rPr>
          <w:t>https://www.transport.nsw.gov.au/sites/default/files/media/documents/2017/railcorp-annual-report-2013-14.pdf</w:t>
        </w:r>
      </w:hyperlink>
      <w:r w:rsidR="00402E88" w:rsidRPr="003C69F6">
        <w:rPr>
          <w:rFonts w:cstheme="minorHAnsi"/>
          <w:sz w:val="16"/>
          <w:szCs w:val="16"/>
        </w:rPr>
        <w:t xml:space="preserve">, </w:t>
      </w:r>
      <w:hyperlink r:id="rId135" w:history="1">
        <w:r w:rsidR="00402E88" w:rsidRPr="003C69F6">
          <w:rPr>
            <w:rStyle w:val="Hyperlink"/>
            <w:rFonts w:cstheme="minorHAnsi"/>
            <w:sz w:val="16"/>
            <w:szCs w:val="16"/>
          </w:rPr>
          <w:t>https://www.transport.nsw.gov.au/system/files/media/documents/2018/TfNSW-Annual-Report-2017%E2%80%9318-Volume-1.pdf</w:t>
        </w:r>
      </w:hyperlink>
    </w:p>
    <w:p w14:paraId="414CAF1F" w14:textId="77777777" w:rsidR="00402E88" w:rsidRPr="003C69F6" w:rsidRDefault="00402E88" w:rsidP="00A469EA">
      <w:pPr>
        <w:pStyle w:val="FootnoteText"/>
        <w:rPr>
          <w:rFonts w:cstheme="minorHAnsi"/>
          <w:sz w:val="16"/>
          <w:szCs w:val="16"/>
          <w:lang w:val="en-AU"/>
        </w:rPr>
      </w:pPr>
    </w:p>
  </w:footnote>
  <w:footnote w:id="118">
    <w:p w14:paraId="66CAACE1" w14:textId="196D9A55" w:rsidR="00601DC6" w:rsidRPr="003C69F6" w:rsidRDefault="00601DC6" w:rsidP="00A469EA">
      <w:pPr>
        <w:pStyle w:val="FootnoteText"/>
        <w:rPr>
          <w:rFonts w:cstheme="minorHAnsi"/>
          <w:sz w:val="16"/>
          <w:szCs w:val="16"/>
          <w:lang w:val="en-AU"/>
        </w:rPr>
      </w:pPr>
      <w:r w:rsidRPr="003C69F6">
        <w:rPr>
          <w:rStyle w:val="FootnoteReference"/>
          <w:rFonts w:cstheme="minorHAnsi"/>
          <w:sz w:val="16"/>
          <w:szCs w:val="16"/>
        </w:rPr>
        <w:footnoteRef/>
      </w:r>
      <w:r w:rsidRPr="003C69F6">
        <w:rPr>
          <w:rFonts w:cstheme="minorHAnsi"/>
          <w:sz w:val="16"/>
          <w:szCs w:val="16"/>
        </w:rPr>
        <w:t xml:space="preserve"> </w:t>
      </w:r>
      <w:r w:rsidRPr="003C69F6">
        <w:rPr>
          <w:rFonts w:cstheme="minorHAnsi"/>
          <w:sz w:val="16"/>
          <w:szCs w:val="16"/>
          <w:lang w:val="en-AU"/>
        </w:rPr>
        <w:t>R</w:t>
      </w:r>
      <w:r w:rsidR="00424DFE" w:rsidRPr="003C69F6">
        <w:rPr>
          <w:rFonts w:cstheme="minorHAnsi"/>
          <w:sz w:val="16"/>
          <w:szCs w:val="16"/>
          <w:lang w:val="en-AU"/>
        </w:rPr>
        <w:t>ailCorp at the time was a statutory authority under the direction and control of the Transport for NSW and the Minister.</w:t>
      </w:r>
    </w:p>
  </w:footnote>
  <w:footnote w:id="119">
    <w:p w14:paraId="68879E41" w14:textId="6328826E" w:rsidR="009D5EAB" w:rsidRPr="003C69F6" w:rsidRDefault="009D5EAB"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36" w:history="1">
        <w:r w:rsidRPr="003C69F6">
          <w:rPr>
            <w:rStyle w:val="Hyperlink"/>
            <w:rFonts w:cstheme="minorHAnsi"/>
            <w:sz w:val="16"/>
            <w:szCs w:val="16"/>
          </w:rPr>
          <w:t>https://www.parliament.nsw.gov.au/bill/files/657/Transport%20Amdt%20Bill%20-%20LC%202nd%20Reading.pdf</w:t>
        </w:r>
      </w:hyperlink>
    </w:p>
    <w:p w14:paraId="4AF23668" w14:textId="35CF0CBD" w:rsidR="009D5EAB" w:rsidRPr="003C69F6" w:rsidRDefault="009D5EAB" w:rsidP="00A469EA">
      <w:pPr>
        <w:pStyle w:val="FootnoteText"/>
        <w:rPr>
          <w:rFonts w:cstheme="minorHAnsi"/>
          <w:sz w:val="16"/>
          <w:szCs w:val="16"/>
          <w:lang w:val="en-AU"/>
        </w:rPr>
      </w:pPr>
    </w:p>
  </w:footnote>
  <w:footnote w:id="120">
    <w:p w14:paraId="3974276B" w14:textId="77777777" w:rsidR="00F72E5D" w:rsidRPr="003C69F6" w:rsidRDefault="00F72E5D"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37" w:history="1">
        <w:r w:rsidRPr="003C69F6">
          <w:rPr>
            <w:rStyle w:val="Hyperlink"/>
            <w:rFonts w:cstheme="minorHAnsi"/>
            <w:sz w:val="16"/>
            <w:szCs w:val="16"/>
          </w:rPr>
          <w:t>https://www.thejadebeagle.com/dogs-breakfast-for-all.html</w:t>
        </w:r>
      </w:hyperlink>
      <w:r w:rsidRPr="003C69F6">
        <w:rPr>
          <w:rFonts w:cstheme="minorHAnsi"/>
          <w:sz w:val="16"/>
          <w:szCs w:val="16"/>
        </w:rPr>
        <w:t xml:space="preserve"> notes liv, lxi.</w:t>
      </w:r>
    </w:p>
    <w:p w14:paraId="3818F86E" w14:textId="77777777" w:rsidR="00F72E5D" w:rsidRPr="003C69F6" w:rsidRDefault="00F72E5D" w:rsidP="00A469EA">
      <w:pPr>
        <w:pStyle w:val="FootnoteText"/>
        <w:rPr>
          <w:rFonts w:cstheme="minorHAnsi"/>
          <w:sz w:val="16"/>
          <w:szCs w:val="16"/>
          <w:lang w:val="en-AU"/>
        </w:rPr>
      </w:pPr>
    </w:p>
  </w:footnote>
  <w:footnote w:id="121">
    <w:p w14:paraId="508DB923" w14:textId="1A4CD3FC" w:rsidR="00385C4D" w:rsidRPr="003C69F6" w:rsidRDefault="00385C4D"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38" w:history="1">
        <w:r w:rsidRPr="003C69F6">
          <w:rPr>
            <w:rStyle w:val="Hyperlink"/>
            <w:rFonts w:cstheme="minorHAnsi"/>
            <w:sz w:val="16"/>
            <w:szCs w:val="16"/>
          </w:rPr>
          <w:t>https://www.thejadebeagle.com/dogs-breakfast-for-all.html</w:t>
        </w:r>
      </w:hyperlink>
    </w:p>
    <w:p w14:paraId="04D380F5" w14:textId="77777777" w:rsidR="00385C4D" w:rsidRPr="003C69F6" w:rsidRDefault="00385C4D" w:rsidP="00A469EA">
      <w:pPr>
        <w:pStyle w:val="FootnoteText"/>
        <w:rPr>
          <w:rFonts w:cstheme="minorHAnsi"/>
          <w:sz w:val="16"/>
          <w:szCs w:val="16"/>
          <w:lang w:val="en-AU"/>
        </w:rPr>
      </w:pPr>
    </w:p>
  </w:footnote>
  <w:footnote w:id="122">
    <w:p w14:paraId="5400AC7B" w14:textId="77777777" w:rsidR="006A69B5" w:rsidRPr="003C69F6" w:rsidRDefault="006A69B5" w:rsidP="00A469EA">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39" w:history="1">
        <w:r w:rsidRPr="003C69F6">
          <w:rPr>
            <w:rStyle w:val="Hyperlink"/>
            <w:rFonts w:cstheme="minorHAnsi"/>
            <w:sz w:val="16"/>
            <w:szCs w:val="16"/>
          </w:rPr>
          <w:t>https://www.thejadebeagle.com/policy-spad.html</w:t>
        </w:r>
      </w:hyperlink>
    </w:p>
    <w:p w14:paraId="1C2348CF" w14:textId="77777777" w:rsidR="006A69B5" w:rsidRPr="003C69F6" w:rsidRDefault="006A69B5" w:rsidP="00A469EA">
      <w:pPr>
        <w:pStyle w:val="FootnoteText"/>
        <w:rPr>
          <w:rFonts w:cstheme="minorHAnsi"/>
          <w:sz w:val="16"/>
          <w:szCs w:val="16"/>
          <w:lang w:val="en-AU"/>
        </w:rPr>
      </w:pPr>
    </w:p>
  </w:footnote>
  <w:footnote w:id="123">
    <w:p w14:paraId="3BC7C3A1" w14:textId="77777777" w:rsidR="00402E88" w:rsidRPr="003C69F6" w:rsidRDefault="00402E88" w:rsidP="00402E88">
      <w:pPr>
        <w:pStyle w:val="FootnoteText"/>
        <w:rPr>
          <w:rFonts w:cstheme="minorHAnsi"/>
          <w:sz w:val="16"/>
          <w:szCs w:val="16"/>
        </w:rPr>
      </w:pPr>
      <w:r w:rsidRPr="003C69F6">
        <w:rPr>
          <w:rStyle w:val="FootnoteReference"/>
          <w:rFonts w:cstheme="minorHAnsi"/>
          <w:sz w:val="16"/>
          <w:szCs w:val="16"/>
        </w:rPr>
        <w:footnoteRef/>
      </w:r>
      <w:r w:rsidRPr="003C69F6">
        <w:rPr>
          <w:rFonts w:cstheme="minorHAnsi"/>
          <w:sz w:val="16"/>
          <w:szCs w:val="16"/>
        </w:rPr>
        <w:t xml:space="preserve"> </w:t>
      </w:r>
      <w:hyperlink r:id="rId140" w:anchor="/docid/HANSARD-1323879322-79364/link/21" w:history="1">
        <w:r w:rsidRPr="003C69F6">
          <w:rPr>
            <w:rStyle w:val="Hyperlink"/>
            <w:rFonts w:cstheme="minorHAnsi"/>
            <w:sz w:val="16"/>
            <w:szCs w:val="16"/>
          </w:rPr>
          <w:t>https://www.parliament.nsw.gov.au/Hansard/Pages/HansardResult.aspx#/docid/HANSARD-1323879322-79364/link/21</w:t>
        </w:r>
      </w:hyperlink>
    </w:p>
    <w:p w14:paraId="79A8CC15" w14:textId="77777777" w:rsidR="00402E88" w:rsidRPr="003C69F6" w:rsidRDefault="00402E88" w:rsidP="00402E88">
      <w:pPr>
        <w:pStyle w:val="FootnoteText"/>
        <w:rPr>
          <w:rFonts w:cstheme="minorHAnsi"/>
          <w:sz w:val="16"/>
          <w:szCs w:val="16"/>
          <w:lang w:val="en-AU"/>
        </w:rPr>
      </w:pPr>
    </w:p>
  </w:footnote>
  <w:footnote w:id="124">
    <w:p w14:paraId="40509942" w14:textId="2228BF8F" w:rsidR="008E472D" w:rsidRPr="00874FBF" w:rsidRDefault="0060536F" w:rsidP="008E472D">
      <w:pPr>
        <w:pStyle w:val="NormalWeb"/>
        <w:spacing w:before="0" w:beforeAutospacing="0" w:after="0" w:afterAutospacing="0"/>
        <w:rPr>
          <w:rFonts w:asciiTheme="minorHAnsi" w:hAnsiTheme="minorHAnsi" w:cstheme="minorHAnsi"/>
          <w:sz w:val="16"/>
          <w:szCs w:val="16"/>
        </w:rPr>
      </w:pPr>
      <w:r w:rsidRPr="00874FBF">
        <w:rPr>
          <w:rStyle w:val="FootnoteReference"/>
          <w:rFonts w:asciiTheme="minorHAnsi" w:hAnsiTheme="minorHAnsi" w:cstheme="minorHAnsi"/>
          <w:sz w:val="16"/>
          <w:szCs w:val="16"/>
        </w:rPr>
        <w:footnoteRef/>
      </w:r>
      <w:hyperlink r:id="rId141" w:history="1">
        <w:r w:rsidR="00F50AB0" w:rsidRPr="00874FBF">
          <w:rPr>
            <w:rStyle w:val="Hyperlink"/>
            <w:rFonts w:asciiTheme="minorHAnsi" w:hAnsiTheme="minorHAnsi" w:cstheme="minorHAnsi"/>
            <w:sz w:val="16"/>
            <w:szCs w:val="16"/>
          </w:rPr>
          <w:t>https://www.parliament.nsw.gov.au/lcdocs/submissions/76459/0007%20Independent%20Pricing%20and%20Regulatory%20Tribunal%20NSW.pdf</w:t>
        </w:r>
      </w:hyperlink>
    </w:p>
    <w:p w14:paraId="104993B7" w14:textId="77777777" w:rsidR="008E472D" w:rsidRPr="00874FBF" w:rsidRDefault="008E472D" w:rsidP="008E472D">
      <w:pPr>
        <w:pStyle w:val="NormalWeb"/>
        <w:spacing w:before="0" w:beforeAutospacing="0" w:after="0" w:afterAutospacing="0"/>
        <w:rPr>
          <w:rFonts w:asciiTheme="minorHAnsi" w:hAnsiTheme="minorHAnsi" w:cstheme="minorHAnsi"/>
          <w:sz w:val="16"/>
          <w:szCs w:val="16"/>
        </w:rPr>
      </w:pPr>
    </w:p>
  </w:footnote>
  <w:footnote w:id="125">
    <w:p w14:paraId="56CC65B8" w14:textId="6988A6FE" w:rsidR="00F50AB0" w:rsidRPr="00874FBF" w:rsidRDefault="0060536F" w:rsidP="008E472D">
      <w:pPr>
        <w:pStyle w:val="FootnoteText"/>
        <w:rPr>
          <w:rFonts w:cstheme="minorHAnsi"/>
          <w:color w:val="000000"/>
          <w:sz w:val="16"/>
          <w:szCs w:val="16"/>
        </w:rPr>
      </w:pPr>
      <w:r w:rsidRPr="00874FBF">
        <w:rPr>
          <w:rStyle w:val="FootnoteReference"/>
          <w:rFonts w:cstheme="minorHAnsi"/>
          <w:sz w:val="16"/>
          <w:szCs w:val="16"/>
        </w:rPr>
        <w:footnoteRef/>
      </w:r>
      <w:r w:rsidRPr="00874FBF">
        <w:rPr>
          <w:rFonts w:cstheme="minorHAnsi"/>
          <w:sz w:val="16"/>
          <w:szCs w:val="16"/>
        </w:rPr>
        <w:t xml:space="preserve"> </w:t>
      </w:r>
      <w:hyperlink r:id="rId142" w:history="1">
        <w:r w:rsidR="00F50AB0" w:rsidRPr="00874FBF">
          <w:rPr>
            <w:rStyle w:val="Hyperlink"/>
            <w:rFonts w:cstheme="minorHAnsi"/>
            <w:sz w:val="16"/>
            <w:szCs w:val="16"/>
          </w:rPr>
          <w:t>https://www.artc.com.au/uploads/ARTCS3090007_HV.pdf</w:t>
        </w:r>
      </w:hyperlink>
    </w:p>
    <w:p w14:paraId="7EC20C1F" w14:textId="60B69058" w:rsidR="0060536F" w:rsidRPr="00874FBF" w:rsidRDefault="0060536F" w:rsidP="008E472D">
      <w:pPr>
        <w:pStyle w:val="FootnoteText"/>
        <w:rPr>
          <w:rFonts w:cstheme="minorHAnsi"/>
          <w:color w:val="000000"/>
          <w:sz w:val="16"/>
          <w:szCs w:val="16"/>
        </w:rPr>
      </w:pPr>
      <w:r w:rsidRPr="00874FBF">
        <w:rPr>
          <w:rFonts w:cstheme="minorHAnsi"/>
          <w:color w:val="000000"/>
          <w:sz w:val="16"/>
          <w:szCs w:val="16"/>
        </w:rPr>
        <w:t xml:space="preserve"> </w:t>
      </w:r>
      <w:hyperlink r:id="rId143" w:history="1">
        <w:r w:rsidR="00F50AB0" w:rsidRPr="00874FBF">
          <w:rPr>
            <w:rStyle w:val="Hyperlink"/>
            <w:rFonts w:cstheme="minorHAnsi"/>
            <w:sz w:val="16"/>
            <w:szCs w:val="16"/>
          </w:rPr>
          <w:t>https://www.artc.com.au/uploads/Annual-Report-2019-20_final_191020.pdf</w:t>
        </w:r>
      </w:hyperlink>
    </w:p>
    <w:p w14:paraId="34B42119" w14:textId="77777777" w:rsidR="00F50AB0" w:rsidRPr="00874FBF" w:rsidRDefault="00F50AB0" w:rsidP="00A469EA">
      <w:pPr>
        <w:pStyle w:val="FootnoteText"/>
        <w:rPr>
          <w:rFonts w:cstheme="minorHAnsi"/>
          <w:sz w:val="16"/>
          <w:szCs w:val="16"/>
          <w:lang w:val="en-AU"/>
        </w:rPr>
      </w:pPr>
    </w:p>
  </w:footnote>
  <w:footnote w:id="126">
    <w:p w14:paraId="4C187F47" w14:textId="6A2B8CAE" w:rsidR="0060536F" w:rsidRPr="00874FBF" w:rsidRDefault="0060536F" w:rsidP="00A469EA">
      <w:pPr>
        <w:pStyle w:val="FootnoteText"/>
        <w:rPr>
          <w:rFonts w:cstheme="minorHAnsi"/>
          <w:color w:val="000000"/>
          <w:sz w:val="16"/>
          <w:szCs w:val="16"/>
        </w:rPr>
      </w:pPr>
      <w:r w:rsidRPr="00874FBF">
        <w:rPr>
          <w:rStyle w:val="FootnoteReference"/>
          <w:rFonts w:cstheme="minorHAnsi"/>
          <w:sz w:val="16"/>
          <w:szCs w:val="16"/>
        </w:rPr>
        <w:footnoteRef/>
      </w:r>
      <w:r w:rsidRPr="00874FBF">
        <w:rPr>
          <w:rFonts w:cstheme="minorHAnsi"/>
          <w:sz w:val="16"/>
          <w:szCs w:val="16"/>
        </w:rPr>
        <w:t xml:space="preserve"> </w:t>
      </w:r>
      <w:hyperlink r:id="rId144" w:history="1">
        <w:r w:rsidR="00F50AB0" w:rsidRPr="00874FBF">
          <w:rPr>
            <w:rStyle w:val="Hyperlink"/>
            <w:rFonts w:cstheme="minorHAnsi"/>
            <w:sz w:val="16"/>
            <w:szCs w:val="16"/>
          </w:rPr>
          <w:t>https://www.ipart.nsw.gov.au/sites/default/files/cm9_documents/Draft-Report-TAHE-compliance-Hunter-Valley-Coal-Network-September-2021.PDF</w:t>
        </w:r>
      </w:hyperlink>
    </w:p>
    <w:p w14:paraId="398215B0" w14:textId="77777777" w:rsidR="00F50AB0" w:rsidRPr="00874FBF" w:rsidRDefault="00F50AB0" w:rsidP="00A469EA">
      <w:pPr>
        <w:pStyle w:val="FootnoteText"/>
        <w:rPr>
          <w:rFonts w:cstheme="minorHAnsi"/>
          <w:sz w:val="16"/>
          <w:szCs w:val="16"/>
          <w:lang w:val="en-AU"/>
        </w:rPr>
      </w:pPr>
    </w:p>
  </w:footnote>
  <w:footnote w:id="127">
    <w:p w14:paraId="348DFE45" w14:textId="41941876" w:rsidR="00133FF2" w:rsidRPr="00874FBF" w:rsidRDefault="00EE4D68" w:rsidP="00A469EA">
      <w:pPr>
        <w:pStyle w:val="FootnoteText"/>
        <w:rPr>
          <w:rFonts w:cstheme="minorHAnsi"/>
          <w:sz w:val="16"/>
          <w:szCs w:val="16"/>
        </w:rPr>
      </w:pPr>
      <w:r w:rsidRPr="00874FBF">
        <w:rPr>
          <w:rStyle w:val="FootnoteReference"/>
          <w:rFonts w:cstheme="minorHAnsi"/>
          <w:sz w:val="16"/>
          <w:szCs w:val="16"/>
        </w:rPr>
        <w:footnoteRef/>
      </w:r>
      <w:hyperlink r:id="rId145" w:history="1">
        <w:r w:rsidR="00133FF2" w:rsidRPr="00874FBF">
          <w:rPr>
            <w:rStyle w:val="Hyperlink"/>
            <w:rFonts w:cstheme="minorHAnsi"/>
            <w:sz w:val="16"/>
            <w:szCs w:val="16"/>
          </w:rPr>
          <w:t>https://www.parliament.nsw.gov.au/lcdocs/transcripts/2714/Transcript%20-%20TAHE%20-%20Uncorrected.pdf</w:t>
        </w:r>
      </w:hyperlink>
    </w:p>
    <w:p w14:paraId="42A07981" w14:textId="77777777" w:rsidR="00EE4D68" w:rsidRPr="00874FBF" w:rsidRDefault="00EE4D68" w:rsidP="00A469EA">
      <w:pPr>
        <w:pStyle w:val="FootnoteText"/>
        <w:rPr>
          <w:rFonts w:cstheme="minorHAnsi"/>
          <w:sz w:val="16"/>
          <w:szCs w:val="16"/>
          <w:lang w:val="en-AU"/>
        </w:rPr>
      </w:pPr>
    </w:p>
  </w:footnote>
  <w:footnote w:id="128">
    <w:p w14:paraId="096B2D70" w14:textId="1A8E3183" w:rsidR="00B94EE4" w:rsidRPr="00874FBF" w:rsidRDefault="00B94EE4">
      <w:pPr>
        <w:pStyle w:val="FootnoteText"/>
        <w:rPr>
          <w:rFonts w:cstheme="minorHAnsi"/>
          <w:sz w:val="16"/>
          <w:szCs w:val="16"/>
        </w:rPr>
      </w:pPr>
      <w:r w:rsidRPr="00874FBF">
        <w:rPr>
          <w:rStyle w:val="FootnoteReference"/>
          <w:rFonts w:cstheme="minorHAnsi"/>
          <w:sz w:val="16"/>
          <w:szCs w:val="16"/>
        </w:rPr>
        <w:footnoteRef/>
      </w:r>
      <w:hyperlink r:id="rId146" w:history="1">
        <w:r w:rsidRPr="00874FBF">
          <w:rPr>
            <w:rStyle w:val="Hyperlink"/>
            <w:rFonts w:cstheme="minorHAnsi"/>
            <w:sz w:val="16"/>
            <w:szCs w:val="16"/>
          </w:rPr>
          <w:t>https://www.parliament.nsw.gov.au/lcdocs/other/16320/11.%20PWC%20report%20dated%20December%202019.pdf</w:t>
        </w:r>
      </w:hyperlink>
    </w:p>
    <w:p w14:paraId="08938B22" w14:textId="77777777" w:rsidR="00B94EE4" w:rsidRPr="00874FBF" w:rsidRDefault="00B94EE4">
      <w:pPr>
        <w:pStyle w:val="FootnoteText"/>
        <w:rPr>
          <w:rFonts w:cstheme="minorHAnsi"/>
          <w:sz w:val="16"/>
          <w:szCs w:val="16"/>
          <w:lang w:val="en-AU"/>
        </w:rPr>
      </w:pPr>
    </w:p>
  </w:footnote>
  <w:footnote w:id="129">
    <w:p w14:paraId="5A39F47C" w14:textId="450862E8" w:rsidR="00D70B89" w:rsidRPr="00874FBF" w:rsidRDefault="00D70B89">
      <w:pPr>
        <w:pStyle w:val="FootnoteText"/>
        <w:rPr>
          <w:rFonts w:cstheme="minorHAnsi"/>
          <w:sz w:val="16"/>
          <w:szCs w:val="16"/>
        </w:rPr>
      </w:pPr>
      <w:r w:rsidRPr="00874FBF">
        <w:rPr>
          <w:rStyle w:val="FootnoteReference"/>
          <w:rFonts w:cstheme="minorHAnsi"/>
          <w:sz w:val="16"/>
          <w:szCs w:val="16"/>
        </w:rPr>
        <w:footnoteRef/>
      </w:r>
      <w:hyperlink r:id="rId147" w:history="1">
        <w:r w:rsidRPr="00874FBF">
          <w:rPr>
            <w:rStyle w:val="Hyperlink"/>
            <w:rFonts w:cstheme="minorHAnsi"/>
            <w:sz w:val="16"/>
            <w:szCs w:val="16"/>
          </w:rPr>
          <w:t>https://www.parliament.nsw.gov.au/lcdocs/other/16324/TAHE%20Initial%20Assessment%20of%20Options_Final%20Report%20(21072020).pdf</w:t>
        </w:r>
      </w:hyperlink>
    </w:p>
    <w:p w14:paraId="108CB777" w14:textId="77777777" w:rsidR="00D70B89" w:rsidRPr="00874FBF" w:rsidRDefault="00D70B89">
      <w:pPr>
        <w:pStyle w:val="FootnoteText"/>
        <w:rPr>
          <w:rFonts w:cstheme="minorHAnsi"/>
          <w:sz w:val="16"/>
          <w:szCs w:val="16"/>
          <w:lang w:val="en-AU"/>
        </w:rPr>
      </w:pPr>
    </w:p>
  </w:footnote>
  <w:footnote w:id="130">
    <w:p w14:paraId="0CC911AD" w14:textId="57EDA43D" w:rsidR="00455E5F" w:rsidRPr="00874FBF" w:rsidRDefault="00455E5F" w:rsidP="00A469EA">
      <w:pPr>
        <w:pStyle w:val="FootnoteText"/>
        <w:rPr>
          <w:rFonts w:cstheme="minorHAnsi"/>
          <w:sz w:val="16"/>
          <w:szCs w:val="16"/>
        </w:rPr>
      </w:pPr>
      <w:r w:rsidRPr="00874FBF">
        <w:rPr>
          <w:rStyle w:val="FootnoteReference"/>
          <w:rFonts w:cstheme="minorHAnsi"/>
          <w:sz w:val="16"/>
          <w:szCs w:val="16"/>
        </w:rPr>
        <w:footnoteRef/>
      </w:r>
      <w:r w:rsidRPr="00874FBF">
        <w:rPr>
          <w:rFonts w:cstheme="minorHAnsi"/>
          <w:sz w:val="16"/>
          <w:szCs w:val="16"/>
        </w:rPr>
        <w:t xml:space="preserve"> </w:t>
      </w:r>
      <w:r w:rsidR="008B3384" w:rsidRPr="00874FBF">
        <w:rPr>
          <w:rFonts w:cstheme="minorHAnsi"/>
          <w:sz w:val="16"/>
          <w:szCs w:val="16"/>
        </w:rPr>
        <w:t xml:space="preserve">The reason for it being so considered is unclear.  By virtue of NSW legislation and accounting standards, its subject matter would inevitably become a matter of public record.  The Committee published the report. </w:t>
      </w:r>
    </w:p>
    <w:p w14:paraId="633D0549" w14:textId="77777777" w:rsidR="00991A77" w:rsidRPr="00874FBF" w:rsidRDefault="00991A77" w:rsidP="00A469EA">
      <w:pPr>
        <w:pStyle w:val="FootnoteText"/>
        <w:rPr>
          <w:rFonts w:cstheme="minorHAnsi"/>
          <w:sz w:val="16"/>
          <w:szCs w:val="16"/>
          <w:lang w:val="en-AU"/>
        </w:rPr>
      </w:pPr>
    </w:p>
  </w:footnote>
  <w:footnote w:id="131">
    <w:p w14:paraId="46AD6B40" w14:textId="2C967C53" w:rsidR="00854501" w:rsidRPr="00874FBF" w:rsidRDefault="00854501">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00887977">
        <w:rPr>
          <w:rFonts w:cstheme="minorHAnsi"/>
          <w:sz w:val="16"/>
          <w:szCs w:val="16"/>
        </w:rPr>
        <w:t>KPMG report a</w:t>
      </w:r>
      <w:r w:rsidR="00801C99" w:rsidRPr="00874FBF">
        <w:rPr>
          <w:rFonts w:cstheme="minorHAnsi"/>
          <w:sz w:val="16"/>
          <w:szCs w:val="16"/>
        </w:rPr>
        <w:t>t p.</w:t>
      </w:r>
      <w:r w:rsidRPr="00874FBF">
        <w:rPr>
          <w:rFonts w:cstheme="minorHAnsi"/>
          <w:sz w:val="16"/>
          <w:szCs w:val="16"/>
          <w:lang w:val="en-AU"/>
        </w:rPr>
        <w:t>iii</w:t>
      </w:r>
      <w:r w:rsidR="00887977">
        <w:rPr>
          <w:rFonts w:cstheme="minorHAnsi"/>
          <w:sz w:val="16"/>
          <w:szCs w:val="16"/>
          <w:lang w:val="en-AU"/>
        </w:rPr>
        <w:t>.</w:t>
      </w:r>
    </w:p>
    <w:p w14:paraId="13C97D06" w14:textId="77777777" w:rsidR="00854501" w:rsidRPr="00874FBF" w:rsidRDefault="00854501">
      <w:pPr>
        <w:pStyle w:val="FootnoteText"/>
        <w:rPr>
          <w:rFonts w:cstheme="minorHAnsi"/>
          <w:sz w:val="16"/>
          <w:szCs w:val="16"/>
          <w:lang w:val="en-AU"/>
        </w:rPr>
      </w:pPr>
    </w:p>
  </w:footnote>
  <w:footnote w:id="132">
    <w:p w14:paraId="5E7DCD45" w14:textId="242C444F" w:rsidR="00F10A08" w:rsidRPr="00874FBF" w:rsidRDefault="00F10A08">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00887977">
        <w:rPr>
          <w:rFonts w:cstheme="minorHAnsi"/>
          <w:sz w:val="16"/>
          <w:szCs w:val="16"/>
        </w:rPr>
        <w:t>KPMG report a</w:t>
      </w:r>
      <w:r w:rsidR="00801C99" w:rsidRPr="00874FBF">
        <w:rPr>
          <w:rFonts w:cstheme="minorHAnsi"/>
          <w:sz w:val="16"/>
          <w:szCs w:val="16"/>
        </w:rPr>
        <w:t>t p.</w:t>
      </w:r>
      <w:r w:rsidRPr="00874FBF">
        <w:rPr>
          <w:rFonts w:cstheme="minorHAnsi"/>
          <w:sz w:val="16"/>
          <w:szCs w:val="16"/>
          <w:lang w:val="en-AU"/>
        </w:rPr>
        <w:t>ii</w:t>
      </w:r>
      <w:r w:rsidR="00887977">
        <w:rPr>
          <w:rFonts w:cstheme="minorHAnsi"/>
          <w:sz w:val="16"/>
          <w:szCs w:val="16"/>
          <w:lang w:val="en-AU"/>
        </w:rPr>
        <w:t>.</w:t>
      </w:r>
    </w:p>
    <w:p w14:paraId="4382FB0B" w14:textId="77777777" w:rsidR="00F10A08" w:rsidRPr="00874FBF" w:rsidRDefault="00F10A08">
      <w:pPr>
        <w:pStyle w:val="FootnoteText"/>
        <w:rPr>
          <w:rFonts w:cstheme="minorHAnsi"/>
          <w:sz w:val="16"/>
          <w:szCs w:val="16"/>
          <w:lang w:val="en-AU"/>
        </w:rPr>
      </w:pPr>
    </w:p>
  </w:footnote>
  <w:footnote w:id="133">
    <w:p w14:paraId="139A33CB" w14:textId="2170AA64" w:rsidR="00801C99" w:rsidRPr="00874FBF" w:rsidRDefault="00801C99">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00887977">
        <w:rPr>
          <w:rFonts w:cstheme="minorHAnsi"/>
          <w:sz w:val="16"/>
          <w:szCs w:val="16"/>
        </w:rPr>
        <w:t>KPMG report a</w:t>
      </w:r>
      <w:r w:rsidRPr="00874FBF">
        <w:rPr>
          <w:rFonts w:cstheme="minorHAnsi"/>
          <w:sz w:val="16"/>
          <w:szCs w:val="16"/>
        </w:rPr>
        <w:t xml:space="preserve">t </w:t>
      </w:r>
      <w:r w:rsidRPr="00874FBF">
        <w:rPr>
          <w:rFonts w:cstheme="minorHAnsi"/>
          <w:sz w:val="16"/>
          <w:szCs w:val="16"/>
          <w:lang w:val="en-AU"/>
        </w:rPr>
        <w:t>p.x</w:t>
      </w:r>
      <w:r w:rsidR="00663347">
        <w:rPr>
          <w:rFonts w:cstheme="minorHAnsi"/>
          <w:sz w:val="16"/>
          <w:szCs w:val="16"/>
          <w:lang w:val="en-AU"/>
        </w:rPr>
        <w:t>.</w:t>
      </w:r>
      <w:r w:rsidR="009444DD" w:rsidRPr="00874FBF">
        <w:rPr>
          <w:rFonts w:cstheme="minorHAnsi"/>
          <w:sz w:val="16"/>
          <w:szCs w:val="16"/>
          <w:lang w:val="en-AU"/>
        </w:rPr>
        <w:t xml:space="preserve">  SWTT and DWTT are the Standard and Daily Working Time Tables, from which the potential for access to track can be derived.</w:t>
      </w:r>
    </w:p>
  </w:footnote>
  <w:footnote w:id="134">
    <w:p w14:paraId="399EC861" w14:textId="77777777" w:rsidR="00801C99" w:rsidRPr="00874FBF" w:rsidRDefault="00801C99">
      <w:pPr>
        <w:pStyle w:val="FootnoteText"/>
        <w:rPr>
          <w:rFonts w:cstheme="minorHAnsi"/>
          <w:sz w:val="16"/>
          <w:szCs w:val="16"/>
        </w:rPr>
      </w:pPr>
    </w:p>
    <w:p w14:paraId="620CB74A" w14:textId="1303F344" w:rsidR="008B3384" w:rsidRPr="00874FBF" w:rsidRDefault="008B3384">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Pr="00874FBF">
        <w:rPr>
          <w:rFonts w:cstheme="minorHAnsi"/>
          <w:sz w:val="16"/>
          <w:szCs w:val="16"/>
          <w:lang w:val="en-AU"/>
        </w:rPr>
        <w:t xml:space="preserve">See access </w:t>
      </w:r>
      <w:r w:rsidR="00663347">
        <w:rPr>
          <w:rFonts w:cstheme="minorHAnsi"/>
          <w:sz w:val="16"/>
          <w:szCs w:val="16"/>
          <w:lang w:val="en-AU"/>
        </w:rPr>
        <w:t>a</w:t>
      </w:r>
      <w:r w:rsidRPr="00874FBF">
        <w:rPr>
          <w:rFonts w:cstheme="minorHAnsi"/>
          <w:sz w:val="16"/>
          <w:szCs w:val="16"/>
          <w:lang w:val="en-AU"/>
        </w:rPr>
        <w:t xml:space="preserve">t </w:t>
      </w:r>
      <w:r w:rsidR="00663347">
        <w:rPr>
          <w:rFonts w:cstheme="minorHAnsi"/>
          <w:sz w:val="16"/>
          <w:szCs w:val="16"/>
          <w:lang w:val="en-AU"/>
        </w:rPr>
        <w:t>section 6.5</w:t>
      </w:r>
      <w:r w:rsidRPr="00874FBF">
        <w:rPr>
          <w:rFonts w:cstheme="minorHAnsi"/>
          <w:sz w:val="16"/>
          <w:szCs w:val="16"/>
          <w:lang w:val="en-AU"/>
        </w:rPr>
        <w:t xml:space="preserve"> below</w:t>
      </w:r>
      <w:r w:rsidR="00663347">
        <w:rPr>
          <w:rFonts w:cstheme="minorHAnsi"/>
          <w:sz w:val="16"/>
          <w:szCs w:val="16"/>
          <w:lang w:val="en-AU"/>
        </w:rPr>
        <w:t>.</w:t>
      </w:r>
    </w:p>
    <w:p w14:paraId="7D950CFB" w14:textId="77777777" w:rsidR="00835FB9" w:rsidRPr="00874FBF" w:rsidRDefault="00835FB9">
      <w:pPr>
        <w:pStyle w:val="FootnoteText"/>
        <w:rPr>
          <w:rFonts w:cstheme="minorHAnsi"/>
          <w:sz w:val="16"/>
          <w:szCs w:val="16"/>
          <w:lang w:val="en-AU"/>
        </w:rPr>
      </w:pPr>
    </w:p>
  </w:footnote>
  <w:footnote w:id="135">
    <w:p w14:paraId="73B84D8C" w14:textId="71F4C1D3" w:rsidR="00991A77" w:rsidRPr="00874FBF" w:rsidRDefault="00991A77" w:rsidP="00A469EA">
      <w:pPr>
        <w:pStyle w:val="FootnoteText"/>
        <w:rPr>
          <w:rFonts w:cstheme="minorHAnsi"/>
          <w:sz w:val="16"/>
          <w:szCs w:val="16"/>
        </w:rPr>
      </w:pPr>
      <w:r w:rsidRPr="00874FBF">
        <w:rPr>
          <w:rStyle w:val="FootnoteReference"/>
          <w:rFonts w:cstheme="minorHAnsi"/>
          <w:sz w:val="16"/>
          <w:szCs w:val="16"/>
        </w:rPr>
        <w:footnoteRef/>
      </w:r>
      <w:r w:rsidRPr="00874FBF">
        <w:rPr>
          <w:rFonts w:cstheme="minorHAnsi"/>
          <w:sz w:val="16"/>
          <w:szCs w:val="16"/>
        </w:rPr>
        <w:t xml:space="preserve"> </w:t>
      </w:r>
      <w:r w:rsidR="00887977">
        <w:rPr>
          <w:rFonts w:cstheme="minorHAnsi"/>
          <w:sz w:val="16"/>
          <w:szCs w:val="16"/>
        </w:rPr>
        <w:t xml:space="preserve">KPMG </w:t>
      </w:r>
      <w:r w:rsidR="0043156E">
        <w:rPr>
          <w:rFonts w:cstheme="minorHAnsi"/>
          <w:sz w:val="16"/>
          <w:szCs w:val="16"/>
        </w:rPr>
        <w:t>r</w:t>
      </w:r>
      <w:r w:rsidRPr="00874FBF">
        <w:rPr>
          <w:rFonts w:cstheme="minorHAnsi"/>
          <w:sz w:val="16"/>
          <w:szCs w:val="16"/>
        </w:rPr>
        <w:t>eport at p.</w:t>
      </w:r>
      <w:r w:rsidR="008D03E1" w:rsidRPr="00874FBF">
        <w:rPr>
          <w:rFonts w:cstheme="minorHAnsi"/>
          <w:sz w:val="16"/>
          <w:szCs w:val="16"/>
        </w:rPr>
        <w:t>87 and following.</w:t>
      </w:r>
    </w:p>
    <w:p w14:paraId="388AAE3E" w14:textId="77777777" w:rsidR="00991A77" w:rsidRPr="00874FBF" w:rsidRDefault="00991A77" w:rsidP="00A469EA">
      <w:pPr>
        <w:pStyle w:val="FootnoteText"/>
        <w:rPr>
          <w:rFonts w:cstheme="minorHAnsi"/>
          <w:sz w:val="16"/>
          <w:szCs w:val="16"/>
          <w:lang w:val="en-AU"/>
        </w:rPr>
      </w:pPr>
    </w:p>
  </w:footnote>
  <w:footnote w:id="136">
    <w:p w14:paraId="6A4E3E2A" w14:textId="597CB4D3" w:rsidR="00BF3ED9" w:rsidRPr="00874FBF" w:rsidRDefault="00BF3ED9"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Pr="00874FBF">
        <w:rPr>
          <w:rFonts w:cstheme="minorHAnsi"/>
          <w:sz w:val="16"/>
          <w:szCs w:val="16"/>
          <w:lang w:val="en-AU"/>
        </w:rPr>
        <w:t>The copy does not include Appendices which may show calculations.</w:t>
      </w:r>
    </w:p>
    <w:p w14:paraId="29987993" w14:textId="77777777" w:rsidR="00BF3ED9" w:rsidRPr="00874FBF" w:rsidRDefault="00BF3ED9" w:rsidP="00A469EA">
      <w:pPr>
        <w:pStyle w:val="FootnoteText"/>
        <w:rPr>
          <w:rFonts w:cstheme="minorHAnsi"/>
          <w:sz w:val="16"/>
          <w:szCs w:val="16"/>
          <w:lang w:val="en-AU"/>
        </w:rPr>
      </w:pPr>
    </w:p>
  </w:footnote>
  <w:footnote w:id="137">
    <w:p w14:paraId="48434F8A" w14:textId="67FE018D" w:rsidR="004E3497" w:rsidRPr="00874FBF" w:rsidRDefault="004E3497"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Pr="00874FBF">
        <w:rPr>
          <w:rFonts w:cstheme="minorHAnsi"/>
          <w:sz w:val="16"/>
          <w:szCs w:val="16"/>
          <w:lang w:val="en-AU"/>
        </w:rPr>
        <w:t xml:space="preserve">Available capacity is determined in the Standard Working Timetable process, under the control of Transport for NSW.  The Entity, as recipient of access charges, has an incentive to oversell capacity.  Transport for NSW, which does not receive access revenue but is responsible for the overall transport system, has an incentive to underestimate capacity.  Their incentives are in conflict. </w:t>
      </w:r>
    </w:p>
    <w:p w14:paraId="2E050AF5" w14:textId="77777777" w:rsidR="004E3497" w:rsidRPr="00935367" w:rsidRDefault="004E3497" w:rsidP="00A469EA">
      <w:pPr>
        <w:pStyle w:val="FootnoteText"/>
        <w:rPr>
          <w:rFonts w:cstheme="minorHAnsi"/>
          <w:sz w:val="16"/>
          <w:szCs w:val="16"/>
          <w:lang w:val="en-AU"/>
        </w:rPr>
      </w:pPr>
    </w:p>
  </w:footnote>
  <w:footnote w:id="138">
    <w:p w14:paraId="11CC42AD" w14:textId="07254F19" w:rsidR="00935367" w:rsidRPr="00935367" w:rsidRDefault="00935367">
      <w:pPr>
        <w:pStyle w:val="FootnoteText"/>
        <w:rPr>
          <w:sz w:val="16"/>
          <w:szCs w:val="16"/>
        </w:rPr>
      </w:pPr>
      <w:r w:rsidRPr="00935367">
        <w:rPr>
          <w:rStyle w:val="FootnoteReference"/>
          <w:sz w:val="16"/>
          <w:szCs w:val="16"/>
        </w:rPr>
        <w:footnoteRef/>
      </w:r>
      <w:r w:rsidRPr="00935367">
        <w:rPr>
          <w:sz w:val="16"/>
          <w:szCs w:val="16"/>
        </w:rPr>
        <w:t xml:space="preserve"> </w:t>
      </w:r>
      <w:hyperlink r:id="rId148" w:history="1">
        <w:r w:rsidRPr="00935367">
          <w:rPr>
            <w:rStyle w:val="Hyperlink"/>
            <w:sz w:val="16"/>
            <w:szCs w:val="16"/>
          </w:rPr>
          <w:t>https://www.parliament.nsw.gov.au/lcdocs/transcripts/2784/Transcript%20-%20Uncorrected%20-%2016%20December%202021.pdf</w:t>
        </w:r>
      </w:hyperlink>
      <w:r w:rsidRPr="00935367">
        <w:rPr>
          <w:sz w:val="16"/>
          <w:szCs w:val="16"/>
        </w:rPr>
        <w:t xml:space="preserve"> at p.5.</w:t>
      </w:r>
    </w:p>
    <w:p w14:paraId="3D58142D" w14:textId="77777777" w:rsidR="00935367" w:rsidRPr="00935367" w:rsidRDefault="00935367">
      <w:pPr>
        <w:pStyle w:val="FootnoteText"/>
        <w:rPr>
          <w:lang w:val="en-AU"/>
        </w:rPr>
      </w:pPr>
    </w:p>
  </w:footnote>
  <w:footnote w:id="139">
    <w:p w14:paraId="236B1F82" w14:textId="3C8F78B2" w:rsidR="00DD4214" w:rsidRPr="00F82A7D" w:rsidRDefault="00DD4214">
      <w:pPr>
        <w:pStyle w:val="FootnoteText"/>
        <w:rPr>
          <w:sz w:val="16"/>
          <w:szCs w:val="16"/>
        </w:rPr>
      </w:pPr>
      <w:r w:rsidRPr="00F82A7D">
        <w:rPr>
          <w:rStyle w:val="FootnoteReference"/>
          <w:sz w:val="16"/>
          <w:szCs w:val="16"/>
        </w:rPr>
        <w:footnoteRef/>
      </w:r>
      <w:r w:rsidRPr="00F82A7D">
        <w:rPr>
          <w:sz w:val="16"/>
          <w:szCs w:val="16"/>
        </w:rPr>
        <w:t xml:space="preserve"> </w:t>
      </w:r>
      <w:hyperlink r:id="rId149" w:history="1">
        <w:r w:rsidR="004060B2" w:rsidRPr="00F82A7D">
          <w:rPr>
            <w:rStyle w:val="Hyperlink"/>
            <w:rFonts w:cstheme="minorHAnsi"/>
            <w:sz w:val="16"/>
            <w:szCs w:val="16"/>
          </w:rPr>
          <w:t>https://www.thejadebeagle.com/policy-spad.html</w:t>
        </w:r>
      </w:hyperlink>
      <w:r w:rsidR="00F82A7D">
        <w:rPr>
          <w:rStyle w:val="Hyperlink"/>
          <w:rFonts w:cstheme="minorHAnsi"/>
          <w:sz w:val="16"/>
          <w:szCs w:val="16"/>
        </w:rPr>
        <w:t xml:space="preserve"> </w:t>
      </w:r>
      <w:r w:rsidR="00886600" w:rsidRPr="00F82A7D">
        <w:rPr>
          <w:sz w:val="16"/>
          <w:szCs w:val="16"/>
        </w:rPr>
        <w:t>section 4.3.3</w:t>
      </w:r>
      <w:r w:rsidR="00F82A7D" w:rsidRPr="00F82A7D">
        <w:rPr>
          <w:sz w:val="16"/>
          <w:szCs w:val="16"/>
        </w:rPr>
        <w:t>; section 4.5.6 above</w:t>
      </w:r>
      <w:r w:rsidR="00886600" w:rsidRPr="00F82A7D">
        <w:rPr>
          <w:sz w:val="16"/>
          <w:szCs w:val="16"/>
        </w:rPr>
        <w:t>.</w:t>
      </w:r>
    </w:p>
    <w:p w14:paraId="74BD8DC9" w14:textId="77777777" w:rsidR="00F82A7D" w:rsidRPr="00F82A7D" w:rsidRDefault="00F82A7D">
      <w:pPr>
        <w:pStyle w:val="FootnoteText"/>
        <w:rPr>
          <w:sz w:val="16"/>
          <w:szCs w:val="16"/>
          <w:lang w:val="en-AU"/>
        </w:rPr>
      </w:pPr>
    </w:p>
  </w:footnote>
  <w:footnote w:id="140">
    <w:p w14:paraId="36925F07" w14:textId="7D0E69D8" w:rsidR="00D47908" w:rsidRPr="00F82A7D" w:rsidRDefault="00D47908" w:rsidP="00A469EA">
      <w:pPr>
        <w:pStyle w:val="FootnoteText"/>
        <w:rPr>
          <w:rFonts w:cstheme="minorHAnsi"/>
          <w:sz w:val="16"/>
          <w:szCs w:val="16"/>
        </w:rPr>
      </w:pPr>
      <w:r w:rsidRPr="00F82A7D">
        <w:rPr>
          <w:rStyle w:val="FootnoteReference"/>
          <w:rFonts w:cstheme="minorHAnsi"/>
          <w:sz w:val="16"/>
          <w:szCs w:val="16"/>
        </w:rPr>
        <w:footnoteRef/>
      </w:r>
      <w:r w:rsidRPr="00F82A7D">
        <w:rPr>
          <w:rFonts w:cstheme="minorHAnsi"/>
          <w:sz w:val="16"/>
          <w:szCs w:val="16"/>
        </w:rPr>
        <w:t xml:space="preserve"> </w:t>
      </w:r>
      <w:r w:rsidR="00887977">
        <w:rPr>
          <w:rFonts w:cstheme="minorHAnsi"/>
          <w:sz w:val="16"/>
          <w:szCs w:val="16"/>
        </w:rPr>
        <w:t>KPMG r</w:t>
      </w:r>
      <w:r w:rsidRPr="00F82A7D">
        <w:rPr>
          <w:rFonts w:cstheme="minorHAnsi"/>
          <w:sz w:val="16"/>
          <w:szCs w:val="16"/>
        </w:rPr>
        <w:t xml:space="preserve">eport </w:t>
      </w:r>
      <w:r w:rsidR="0043156E">
        <w:rPr>
          <w:rFonts w:cstheme="minorHAnsi"/>
          <w:sz w:val="16"/>
          <w:szCs w:val="16"/>
        </w:rPr>
        <w:t xml:space="preserve">at </w:t>
      </w:r>
      <w:r w:rsidRPr="00F82A7D">
        <w:rPr>
          <w:rFonts w:cstheme="minorHAnsi"/>
          <w:sz w:val="16"/>
          <w:szCs w:val="16"/>
        </w:rPr>
        <w:t>p.44</w:t>
      </w:r>
      <w:r w:rsidR="00887977">
        <w:rPr>
          <w:rFonts w:cstheme="minorHAnsi"/>
          <w:sz w:val="16"/>
          <w:szCs w:val="16"/>
        </w:rPr>
        <w:t>.</w:t>
      </w:r>
    </w:p>
    <w:p w14:paraId="7ADF865A" w14:textId="77777777" w:rsidR="00D47908" w:rsidRPr="00F82A7D" w:rsidRDefault="00D47908" w:rsidP="00A469EA">
      <w:pPr>
        <w:pStyle w:val="FootnoteText"/>
        <w:rPr>
          <w:rFonts w:cstheme="minorHAnsi"/>
          <w:sz w:val="16"/>
          <w:szCs w:val="16"/>
          <w:lang w:val="en-AU"/>
        </w:rPr>
      </w:pPr>
    </w:p>
  </w:footnote>
  <w:footnote w:id="141">
    <w:p w14:paraId="5E62888C" w14:textId="4EC9C188" w:rsidR="00AA3C1E" w:rsidRPr="00F82FC1" w:rsidRDefault="00AA3C1E" w:rsidP="00A469EA">
      <w:pPr>
        <w:pStyle w:val="FootnoteText"/>
        <w:rPr>
          <w:rFonts w:cstheme="minorHAnsi"/>
          <w:sz w:val="16"/>
          <w:szCs w:val="16"/>
        </w:rPr>
      </w:pPr>
      <w:r w:rsidRPr="00F82A7D">
        <w:rPr>
          <w:rStyle w:val="FootnoteReference"/>
          <w:rFonts w:cstheme="minorHAnsi"/>
          <w:sz w:val="16"/>
          <w:szCs w:val="16"/>
        </w:rPr>
        <w:footnoteRef/>
      </w:r>
      <w:r w:rsidRPr="00F82A7D">
        <w:rPr>
          <w:rFonts w:cstheme="minorHAnsi"/>
          <w:sz w:val="16"/>
          <w:szCs w:val="16"/>
        </w:rPr>
        <w:t xml:space="preserve"> </w:t>
      </w:r>
      <w:r w:rsidR="00887977">
        <w:rPr>
          <w:rFonts w:cstheme="minorHAnsi"/>
          <w:sz w:val="16"/>
          <w:szCs w:val="16"/>
        </w:rPr>
        <w:t>KPMG r</w:t>
      </w:r>
      <w:r w:rsidRPr="00F82A7D">
        <w:rPr>
          <w:rFonts w:cstheme="minorHAnsi"/>
          <w:sz w:val="16"/>
          <w:szCs w:val="16"/>
        </w:rPr>
        <w:t xml:space="preserve">eport </w:t>
      </w:r>
      <w:r w:rsidR="0043156E">
        <w:rPr>
          <w:rFonts w:cstheme="minorHAnsi"/>
          <w:sz w:val="16"/>
          <w:szCs w:val="16"/>
        </w:rPr>
        <w:t xml:space="preserve">at </w:t>
      </w:r>
      <w:r w:rsidRPr="00F82A7D">
        <w:rPr>
          <w:rFonts w:cstheme="minorHAnsi"/>
          <w:sz w:val="16"/>
          <w:szCs w:val="16"/>
        </w:rPr>
        <w:t>p.57</w:t>
      </w:r>
      <w:r w:rsidR="00887977">
        <w:rPr>
          <w:rFonts w:cstheme="minorHAnsi"/>
          <w:sz w:val="16"/>
          <w:szCs w:val="16"/>
        </w:rPr>
        <w:t>.</w:t>
      </w:r>
    </w:p>
    <w:p w14:paraId="7C7580EA" w14:textId="77777777" w:rsidR="00AA3C1E" w:rsidRPr="00F82FC1" w:rsidRDefault="00AA3C1E" w:rsidP="00A469EA">
      <w:pPr>
        <w:pStyle w:val="FootnoteText"/>
        <w:rPr>
          <w:rFonts w:cstheme="minorHAnsi"/>
          <w:sz w:val="16"/>
          <w:szCs w:val="16"/>
          <w:lang w:val="en-AU"/>
        </w:rPr>
      </w:pPr>
    </w:p>
  </w:footnote>
  <w:footnote w:id="142">
    <w:p w14:paraId="364392ED" w14:textId="1CAE1C53" w:rsidR="00F82FC1" w:rsidRPr="00F82FC1" w:rsidRDefault="00F82FC1">
      <w:pPr>
        <w:pStyle w:val="FootnoteText"/>
        <w:rPr>
          <w:lang w:val="en-AU"/>
        </w:rPr>
      </w:pPr>
      <w:r w:rsidRPr="00F82FC1">
        <w:rPr>
          <w:rStyle w:val="FootnoteReference"/>
          <w:sz w:val="16"/>
          <w:szCs w:val="16"/>
        </w:rPr>
        <w:footnoteRef/>
      </w:r>
      <w:r w:rsidRPr="00F82FC1">
        <w:rPr>
          <w:sz w:val="16"/>
          <w:szCs w:val="16"/>
        </w:rPr>
        <w:t xml:space="preserve"> </w:t>
      </w:r>
      <w:hyperlink r:id="rId150" w:history="1">
        <w:r w:rsidRPr="00F82FC1">
          <w:rPr>
            <w:rStyle w:val="Hyperlink"/>
            <w:sz w:val="16"/>
            <w:szCs w:val="16"/>
          </w:rPr>
          <w:t>https://www.parliament.nsw.gov.au/lcdocs/transcripts/2784/Transcript%20-%20Uncorrected%20-%2016%20December%202021.pdf</w:t>
        </w:r>
      </w:hyperlink>
      <w:r w:rsidRPr="00F82FC1">
        <w:rPr>
          <w:sz w:val="16"/>
          <w:szCs w:val="16"/>
        </w:rPr>
        <w:t xml:space="preserve"> p.5</w:t>
      </w:r>
    </w:p>
  </w:footnote>
  <w:footnote w:id="143">
    <w:p w14:paraId="5FEAA566" w14:textId="090DA612" w:rsidR="0032581F" w:rsidRPr="00874FBF" w:rsidRDefault="008D03E1" w:rsidP="00A469EA">
      <w:pPr>
        <w:pStyle w:val="FootnoteText"/>
        <w:rPr>
          <w:rFonts w:cstheme="minorHAnsi"/>
          <w:sz w:val="16"/>
          <w:szCs w:val="16"/>
        </w:rPr>
      </w:pPr>
      <w:r w:rsidRPr="00874FBF">
        <w:rPr>
          <w:rStyle w:val="FootnoteReference"/>
          <w:rFonts w:cstheme="minorHAnsi"/>
          <w:sz w:val="16"/>
          <w:szCs w:val="16"/>
        </w:rPr>
        <w:footnoteRef/>
      </w:r>
      <w:r w:rsidR="0032581F" w:rsidRPr="00874FBF">
        <w:rPr>
          <w:rFonts w:cstheme="minorHAnsi"/>
          <w:sz w:val="16"/>
          <w:szCs w:val="16"/>
        </w:rPr>
        <w:t xml:space="preserve"> </w:t>
      </w:r>
      <w:r w:rsidR="00887977">
        <w:rPr>
          <w:rFonts w:cstheme="minorHAnsi"/>
          <w:sz w:val="16"/>
          <w:szCs w:val="16"/>
        </w:rPr>
        <w:t>KPMG r</w:t>
      </w:r>
      <w:r w:rsidR="0032581F" w:rsidRPr="00874FBF">
        <w:rPr>
          <w:rFonts w:cstheme="minorHAnsi"/>
          <w:sz w:val="16"/>
          <w:szCs w:val="16"/>
        </w:rPr>
        <w:t xml:space="preserve">eport </w:t>
      </w:r>
      <w:r w:rsidR="0043156E">
        <w:rPr>
          <w:rFonts w:cstheme="minorHAnsi"/>
          <w:sz w:val="16"/>
          <w:szCs w:val="16"/>
        </w:rPr>
        <w:t xml:space="preserve">at </w:t>
      </w:r>
      <w:r w:rsidR="0032581F" w:rsidRPr="00874FBF">
        <w:rPr>
          <w:rFonts w:cstheme="minorHAnsi"/>
          <w:sz w:val="16"/>
          <w:szCs w:val="16"/>
        </w:rPr>
        <w:t>p.vii</w:t>
      </w:r>
      <w:r w:rsidR="00887977">
        <w:rPr>
          <w:rFonts w:cstheme="minorHAnsi"/>
          <w:sz w:val="16"/>
          <w:szCs w:val="16"/>
        </w:rPr>
        <w:t>.</w:t>
      </w:r>
    </w:p>
    <w:p w14:paraId="1B8B49EA" w14:textId="6CBB1391" w:rsidR="008D03E1" w:rsidRPr="00874FBF" w:rsidRDefault="008D03E1" w:rsidP="00A469EA">
      <w:pPr>
        <w:pStyle w:val="FootnoteText"/>
        <w:rPr>
          <w:rFonts w:cstheme="minorHAnsi"/>
          <w:sz w:val="16"/>
          <w:szCs w:val="16"/>
          <w:lang w:val="en-AU"/>
        </w:rPr>
      </w:pPr>
      <w:r w:rsidRPr="00874FBF">
        <w:rPr>
          <w:rFonts w:cstheme="minorHAnsi"/>
          <w:sz w:val="16"/>
          <w:szCs w:val="16"/>
        </w:rPr>
        <w:t xml:space="preserve"> </w:t>
      </w:r>
    </w:p>
  </w:footnote>
  <w:footnote w:id="144">
    <w:p w14:paraId="2D9363F8" w14:textId="0D2062E6" w:rsidR="00DC01B0" w:rsidRPr="00874FBF" w:rsidRDefault="00DC01B0"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Pr="00874FBF">
        <w:rPr>
          <w:rFonts w:cstheme="minorHAnsi"/>
          <w:sz w:val="16"/>
          <w:szCs w:val="16"/>
          <w:lang w:val="en-AU"/>
        </w:rPr>
        <w:t>K</w:t>
      </w:r>
      <w:r w:rsidR="00E946B8" w:rsidRPr="00874FBF">
        <w:rPr>
          <w:rFonts w:cstheme="minorHAnsi"/>
          <w:sz w:val="16"/>
          <w:szCs w:val="16"/>
          <w:lang w:val="en-AU"/>
        </w:rPr>
        <w:t>PMG</w:t>
      </w:r>
      <w:r w:rsidR="0032581F" w:rsidRPr="00874FBF">
        <w:rPr>
          <w:rFonts w:cstheme="minorHAnsi"/>
          <w:sz w:val="16"/>
          <w:szCs w:val="16"/>
          <w:lang w:val="en-AU"/>
        </w:rPr>
        <w:t>’s report</w:t>
      </w:r>
      <w:r w:rsidR="00E946B8" w:rsidRPr="00874FBF">
        <w:rPr>
          <w:rFonts w:cstheme="minorHAnsi"/>
          <w:sz w:val="16"/>
          <w:szCs w:val="16"/>
          <w:lang w:val="en-AU"/>
        </w:rPr>
        <w:t xml:space="preserve"> had $120m from </w:t>
      </w:r>
      <w:r w:rsidRPr="00874FBF">
        <w:rPr>
          <w:rFonts w:cstheme="minorHAnsi"/>
          <w:sz w:val="16"/>
          <w:szCs w:val="16"/>
          <w:lang w:val="en-AU"/>
        </w:rPr>
        <w:t>other operat</w:t>
      </w:r>
      <w:r w:rsidR="00E946B8" w:rsidRPr="00874FBF">
        <w:rPr>
          <w:rFonts w:cstheme="minorHAnsi"/>
          <w:sz w:val="16"/>
          <w:szCs w:val="16"/>
          <w:lang w:val="en-AU"/>
        </w:rPr>
        <w:t>ions.</w:t>
      </w:r>
    </w:p>
    <w:p w14:paraId="0FE89159" w14:textId="77777777" w:rsidR="00DC01B0" w:rsidRPr="00874FBF" w:rsidRDefault="00DC01B0" w:rsidP="00A469EA">
      <w:pPr>
        <w:pStyle w:val="FootnoteText"/>
        <w:rPr>
          <w:rFonts w:cstheme="minorHAnsi"/>
          <w:sz w:val="16"/>
          <w:szCs w:val="16"/>
          <w:lang w:val="en-AU"/>
        </w:rPr>
      </w:pPr>
    </w:p>
  </w:footnote>
  <w:footnote w:id="145">
    <w:p w14:paraId="4F306885" w14:textId="5FF48E7D" w:rsidR="00DC01B0" w:rsidRPr="00874FBF" w:rsidRDefault="00DC01B0" w:rsidP="00A469EA">
      <w:pPr>
        <w:pStyle w:val="FootnoteText"/>
        <w:rPr>
          <w:rFonts w:cstheme="minorHAnsi"/>
          <w:sz w:val="16"/>
          <w:szCs w:val="16"/>
        </w:rPr>
      </w:pPr>
      <w:r w:rsidRPr="00874FBF">
        <w:rPr>
          <w:rStyle w:val="FootnoteReference"/>
          <w:rFonts w:cstheme="minorHAnsi"/>
          <w:sz w:val="16"/>
          <w:szCs w:val="16"/>
        </w:rPr>
        <w:footnoteRef/>
      </w:r>
      <w:r w:rsidRPr="00874FBF">
        <w:rPr>
          <w:rFonts w:cstheme="minorHAnsi"/>
          <w:sz w:val="16"/>
          <w:szCs w:val="16"/>
        </w:rPr>
        <w:t xml:space="preserve"> </w:t>
      </w:r>
      <w:hyperlink r:id="rId151" w:history="1">
        <w:r w:rsidR="008B3384" w:rsidRPr="00874FBF">
          <w:rPr>
            <w:rStyle w:val="Hyperlink"/>
            <w:rFonts w:cstheme="minorHAnsi"/>
            <w:sz w:val="16"/>
            <w:szCs w:val="16"/>
          </w:rPr>
          <w:t>https://www.parliament.nsw.gov.au/lcdocs/other/16111/TRANSPORT_TENDER_002.pdf</w:t>
        </w:r>
      </w:hyperlink>
    </w:p>
    <w:p w14:paraId="6B612085" w14:textId="77777777" w:rsidR="00DC01B0" w:rsidRPr="00874FBF" w:rsidRDefault="00DC01B0" w:rsidP="00A469EA">
      <w:pPr>
        <w:pStyle w:val="FootnoteText"/>
        <w:rPr>
          <w:rFonts w:cstheme="minorHAnsi"/>
          <w:sz w:val="16"/>
          <w:szCs w:val="16"/>
          <w:lang w:val="en-AU"/>
        </w:rPr>
      </w:pPr>
    </w:p>
  </w:footnote>
  <w:footnote w:id="146">
    <w:p w14:paraId="7F3E5530" w14:textId="5517BD78" w:rsidR="00B7132D" w:rsidRPr="00874FBF" w:rsidRDefault="00B7132D" w:rsidP="00A469EA">
      <w:pPr>
        <w:pStyle w:val="FootnoteText"/>
        <w:rPr>
          <w:rFonts w:cstheme="minorHAnsi"/>
          <w:sz w:val="16"/>
          <w:szCs w:val="16"/>
          <w:lang w:val="en-AU"/>
        </w:rPr>
      </w:pPr>
      <w:r w:rsidRPr="00874FBF">
        <w:rPr>
          <w:rStyle w:val="FootnoteReference"/>
          <w:rFonts w:cstheme="minorHAnsi"/>
          <w:sz w:val="16"/>
          <w:szCs w:val="16"/>
        </w:rPr>
        <w:footnoteRef/>
      </w:r>
      <w:hyperlink r:id="rId152" w:history="1">
        <w:r w:rsidRPr="00874FBF">
          <w:rPr>
            <w:rStyle w:val="Hyperlink"/>
            <w:rFonts w:cstheme="minorHAnsi"/>
            <w:sz w:val="16"/>
            <w:szCs w:val="16"/>
            <w:lang w:val="en-AU"/>
          </w:rPr>
          <w:t>https://www.parliament.nsw.gov.au/lcdocs/other/16246/AQONS%20-%20Treasury%20NSW%20-%20received%205%20November%202021.pdf</w:t>
        </w:r>
      </w:hyperlink>
    </w:p>
    <w:p w14:paraId="0CE16991" w14:textId="77777777" w:rsidR="00B7132D" w:rsidRPr="00874FBF" w:rsidRDefault="00B7132D" w:rsidP="00A469EA">
      <w:pPr>
        <w:pStyle w:val="FootnoteText"/>
        <w:rPr>
          <w:rFonts w:cstheme="minorHAnsi"/>
          <w:sz w:val="16"/>
          <w:szCs w:val="16"/>
          <w:lang w:val="en-AU"/>
        </w:rPr>
      </w:pPr>
    </w:p>
  </w:footnote>
  <w:footnote w:id="147">
    <w:p w14:paraId="74FEF1EB" w14:textId="179E7E01" w:rsidR="00E718C6" w:rsidRPr="00874FBF" w:rsidRDefault="00E718C6" w:rsidP="00A469EA">
      <w:pPr>
        <w:pStyle w:val="FootnoteText"/>
        <w:rPr>
          <w:rFonts w:cstheme="minorHAnsi"/>
          <w:sz w:val="16"/>
          <w:szCs w:val="16"/>
        </w:rPr>
      </w:pPr>
      <w:r w:rsidRPr="00874FBF">
        <w:rPr>
          <w:rStyle w:val="FootnoteReference"/>
          <w:rFonts w:cstheme="minorHAnsi"/>
          <w:sz w:val="16"/>
          <w:szCs w:val="16"/>
        </w:rPr>
        <w:footnoteRef/>
      </w:r>
      <w:r w:rsidRPr="00874FBF">
        <w:rPr>
          <w:rFonts w:cstheme="minorHAnsi"/>
          <w:sz w:val="16"/>
          <w:szCs w:val="16"/>
        </w:rPr>
        <w:t xml:space="preserve"> </w:t>
      </w:r>
      <w:hyperlink r:id="rId153" w:history="1">
        <w:r w:rsidR="00881ED1" w:rsidRPr="00874FBF">
          <w:rPr>
            <w:rStyle w:val="Hyperlink"/>
            <w:rFonts w:cstheme="minorHAnsi"/>
            <w:sz w:val="16"/>
            <w:szCs w:val="16"/>
          </w:rPr>
          <w:t>https://www.vgls.vic.gov.au/client/en_AU/search/asset/1145203/0</w:t>
        </w:r>
      </w:hyperlink>
    </w:p>
    <w:p w14:paraId="22C065E0" w14:textId="77777777" w:rsidR="00881ED1" w:rsidRPr="00874FBF" w:rsidRDefault="00881ED1" w:rsidP="00A469EA">
      <w:pPr>
        <w:pStyle w:val="FootnoteText"/>
        <w:rPr>
          <w:rFonts w:cstheme="minorHAnsi"/>
          <w:sz w:val="16"/>
          <w:szCs w:val="16"/>
          <w:lang w:val="en-AU"/>
        </w:rPr>
      </w:pPr>
    </w:p>
  </w:footnote>
  <w:footnote w:id="148">
    <w:p w14:paraId="7C589CD6" w14:textId="23FC6D18" w:rsidR="00E50F8A" w:rsidRPr="00874FBF" w:rsidRDefault="00E50F8A" w:rsidP="00A469EA">
      <w:pPr>
        <w:pStyle w:val="FootnoteText"/>
        <w:rPr>
          <w:rFonts w:cstheme="minorHAnsi"/>
          <w:sz w:val="16"/>
          <w:szCs w:val="16"/>
        </w:rPr>
      </w:pPr>
      <w:r w:rsidRPr="00874FBF">
        <w:rPr>
          <w:rStyle w:val="FootnoteReference"/>
          <w:rFonts w:cstheme="minorHAnsi"/>
          <w:sz w:val="16"/>
          <w:szCs w:val="16"/>
        </w:rPr>
        <w:footnoteRef/>
      </w:r>
      <w:r w:rsidRPr="00874FBF">
        <w:rPr>
          <w:rFonts w:cstheme="minorHAnsi"/>
          <w:sz w:val="16"/>
          <w:szCs w:val="16"/>
        </w:rPr>
        <w:t xml:space="preserve"> </w:t>
      </w:r>
      <w:hyperlink r:id="rId154" w:history="1">
        <w:r w:rsidR="009E409A" w:rsidRPr="00874FBF">
          <w:rPr>
            <w:rStyle w:val="Hyperlink"/>
            <w:rFonts w:cstheme="minorHAnsi"/>
            <w:sz w:val="16"/>
            <w:szCs w:val="16"/>
          </w:rPr>
          <w:t>https://www.ipart.nsw.gov.au/Home/Industries/Transport/Reviews/Rail-Access/Rate-of-return-and-remaining-mine-life-from-1-July-2019</w:t>
        </w:r>
      </w:hyperlink>
    </w:p>
    <w:p w14:paraId="4FE70A22" w14:textId="77777777" w:rsidR="009E409A" w:rsidRPr="00874FBF" w:rsidRDefault="009E409A" w:rsidP="00A469EA">
      <w:pPr>
        <w:pStyle w:val="FootnoteText"/>
        <w:rPr>
          <w:rFonts w:cstheme="minorHAnsi"/>
          <w:sz w:val="16"/>
          <w:szCs w:val="16"/>
          <w:lang w:val="en-AU"/>
        </w:rPr>
      </w:pPr>
    </w:p>
  </w:footnote>
  <w:footnote w:id="149">
    <w:p w14:paraId="049A2DCB" w14:textId="6BBD931B" w:rsidR="009C1FD6" w:rsidRPr="00874FBF" w:rsidRDefault="009C1FD6" w:rsidP="00A469EA">
      <w:pPr>
        <w:pStyle w:val="FootnoteText"/>
        <w:rPr>
          <w:rFonts w:cstheme="minorHAnsi"/>
          <w:sz w:val="16"/>
          <w:szCs w:val="16"/>
        </w:rPr>
      </w:pPr>
      <w:r w:rsidRPr="00874FBF">
        <w:rPr>
          <w:rStyle w:val="FootnoteReference"/>
          <w:rFonts w:cstheme="minorHAnsi"/>
          <w:sz w:val="16"/>
          <w:szCs w:val="16"/>
        </w:rPr>
        <w:footnoteRef/>
      </w:r>
      <w:r w:rsidRPr="00874FBF">
        <w:rPr>
          <w:rFonts w:cstheme="minorHAnsi"/>
          <w:sz w:val="16"/>
          <w:szCs w:val="16"/>
        </w:rPr>
        <w:t xml:space="preserve"> </w:t>
      </w:r>
      <w:hyperlink r:id="rId155" w:history="1">
        <w:r w:rsidR="00881ED1" w:rsidRPr="00874FBF">
          <w:rPr>
            <w:rStyle w:val="Hyperlink"/>
            <w:rFonts w:cstheme="minorHAnsi"/>
            <w:sz w:val="16"/>
            <w:szCs w:val="16"/>
          </w:rPr>
          <w:t>https://www.artc.com.au/uploads/NSW-Lease-Annual-Condition-Report-20-21_FINAL.pdf</w:t>
        </w:r>
      </w:hyperlink>
    </w:p>
    <w:p w14:paraId="6B86FE9B" w14:textId="77777777" w:rsidR="00881ED1" w:rsidRPr="00874FBF" w:rsidRDefault="00881ED1" w:rsidP="00A469EA">
      <w:pPr>
        <w:pStyle w:val="FootnoteText"/>
        <w:rPr>
          <w:rFonts w:cstheme="minorHAnsi"/>
          <w:sz w:val="16"/>
          <w:szCs w:val="16"/>
          <w:lang w:val="en-AU"/>
        </w:rPr>
      </w:pPr>
    </w:p>
  </w:footnote>
  <w:footnote w:id="150">
    <w:p w14:paraId="6CB1DFB7" w14:textId="1D6260FD" w:rsidR="00ED3A6B" w:rsidRDefault="00ED3A6B"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Pr="00874FBF">
        <w:rPr>
          <w:rFonts w:cstheme="minorHAnsi"/>
          <w:sz w:val="16"/>
          <w:szCs w:val="16"/>
          <w:lang w:val="en-AU"/>
        </w:rPr>
        <w:t xml:space="preserve">It is possible to allow depreciation between inspection periods, and re-value (upwards) the assets if the inspection shows the assets have not degraded at the rate of the depreciation schedule.  However, the accounts would not provide an accurate snapshot of the business in any particular year.  For example, if asset value inspections were conducted every fifth year, reported profits would be depressed for four years and artificially boosted in the fifth – financial performance of the business could only be reasonably assessed by aggregating five years of data. </w:t>
      </w:r>
    </w:p>
    <w:p w14:paraId="622F8540" w14:textId="77777777" w:rsidR="00B2573D" w:rsidRPr="00874FBF" w:rsidRDefault="00B2573D" w:rsidP="00A469EA">
      <w:pPr>
        <w:pStyle w:val="FootnoteText"/>
        <w:rPr>
          <w:rFonts w:cstheme="minorHAnsi"/>
          <w:sz w:val="16"/>
          <w:szCs w:val="16"/>
          <w:lang w:val="en-AU"/>
        </w:rPr>
      </w:pPr>
    </w:p>
  </w:footnote>
  <w:footnote w:id="151">
    <w:p w14:paraId="1F228992" w14:textId="465D3EA7" w:rsidR="0043156E" w:rsidRPr="00013B65" w:rsidRDefault="0043156E">
      <w:pPr>
        <w:pStyle w:val="FootnoteText"/>
        <w:rPr>
          <w:sz w:val="16"/>
          <w:szCs w:val="16"/>
          <w:lang w:val="en-AU"/>
        </w:rPr>
      </w:pPr>
      <w:r w:rsidRPr="00013B65">
        <w:rPr>
          <w:rStyle w:val="FootnoteReference"/>
          <w:sz w:val="16"/>
          <w:szCs w:val="16"/>
        </w:rPr>
        <w:footnoteRef/>
      </w:r>
      <w:r w:rsidRPr="00013B65">
        <w:rPr>
          <w:sz w:val="16"/>
          <w:szCs w:val="16"/>
        </w:rPr>
        <w:t xml:space="preserve"> </w:t>
      </w:r>
      <w:r w:rsidRPr="00013B65">
        <w:rPr>
          <w:sz w:val="16"/>
          <w:szCs w:val="16"/>
          <w:lang w:val="en-AU"/>
        </w:rPr>
        <w:t xml:space="preserve">The arithmetic is: maintenance </w:t>
      </w:r>
      <w:r w:rsidR="00013B65">
        <w:rPr>
          <w:sz w:val="16"/>
          <w:szCs w:val="16"/>
          <w:lang w:val="en-AU"/>
        </w:rPr>
        <w:t>(</w:t>
      </w:r>
      <w:r w:rsidRPr="00013B65">
        <w:rPr>
          <w:sz w:val="16"/>
          <w:szCs w:val="16"/>
          <w:lang w:val="en-AU"/>
        </w:rPr>
        <w:t>timing</w:t>
      </w:r>
      <w:r w:rsidR="00013B65">
        <w:rPr>
          <w:sz w:val="16"/>
          <w:szCs w:val="16"/>
          <w:lang w:val="en-AU"/>
        </w:rPr>
        <w:t>)</w:t>
      </w:r>
      <w:r w:rsidRPr="00013B65">
        <w:rPr>
          <w:sz w:val="16"/>
          <w:szCs w:val="16"/>
          <w:lang w:val="en-AU"/>
        </w:rPr>
        <w:t xml:space="preserve"> is optimised when the combined cost of restoration and interruption</w:t>
      </w:r>
      <w:r w:rsidR="00013B65" w:rsidRPr="00013B65">
        <w:rPr>
          <w:sz w:val="16"/>
          <w:szCs w:val="16"/>
          <w:lang w:val="en-AU"/>
        </w:rPr>
        <w:t xml:space="preserve"> from deferral exceeds the cost of present work.</w:t>
      </w:r>
    </w:p>
    <w:p w14:paraId="6F274BAA" w14:textId="77777777" w:rsidR="00013B65" w:rsidRPr="00013B65" w:rsidRDefault="00013B65">
      <w:pPr>
        <w:pStyle w:val="FootnoteText"/>
        <w:rPr>
          <w:sz w:val="16"/>
          <w:szCs w:val="16"/>
          <w:lang w:val="en-AU"/>
        </w:rPr>
      </w:pPr>
    </w:p>
  </w:footnote>
  <w:footnote w:id="152">
    <w:p w14:paraId="2D0A3A7F" w14:textId="763DF39D" w:rsidR="00BC039D" w:rsidRPr="00874FBF" w:rsidRDefault="009C1FD6" w:rsidP="00A469EA">
      <w:pPr>
        <w:pStyle w:val="FootnoteText"/>
        <w:rPr>
          <w:rFonts w:cstheme="minorHAnsi"/>
          <w:sz w:val="16"/>
          <w:szCs w:val="16"/>
        </w:rPr>
      </w:pPr>
      <w:r w:rsidRPr="00874FBF">
        <w:rPr>
          <w:rStyle w:val="FootnoteReference"/>
          <w:rFonts w:cstheme="minorHAnsi"/>
          <w:sz w:val="16"/>
          <w:szCs w:val="16"/>
        </w:rPr>
        <w:footnoteRef/>
      </w:r>
      <w:r w:rsidRPr="00874FBF">
        <w:rPr>
          <w:rFonts w:cstheme="minorHAnsi"/>
          <w:sz w:val="16"/>
          <w:szCs w:val="16"/>
        </w:rPr>
        <w:t xml:space="preserve"> </w:t>
      </w:r>
      <w:r w:rsidR="008449E4" w:rsidRPr="00874FBF">
        <w:rPr>
          <w:rFonts w:cstheme="minorHAnsi"/>
          <w:sz w:val="16"/>
          <w:szCs w:val="16"/>
        </w:rPr>
        <w:t>A</w:t>
      </w:r>
      <w:r w:rsidR="006B0E16" w:rsidRPr="00874FBF">
        <w:rPr>
          <w:rFonts w:cstheme="minorHAnsi"/>
          <w:sz w:val="16"/>
          <w:szCs w:val="16"/>
        </w:rPr>
        <w:t xml:space="preserve">sset valuation based on </w:t>
      </w:r>
      <w:r w:rsidR="008449E4" w:rsidRPr="00874FBF">
        <w:rPr>
          <w:rFonts w:cstheme="minorHAnsi"/>
          <w:sz w:val="16"/>
          <w:szCs w:val="16"/>
        </w:rPr>
        <w:t xml:space="preserve">capital asset pricing model, would be a multiple (inverse) of the weighted average cost of capital.  If cost of capital was say 5%, the multiple would be 20.  If net revenue – after </w:t>
      </w:r>
      <w:r w:rsidR="00BC039D" w:rsidRPr="00874FBF">
        <w:rPr>
          <w:rFonts w:cstheme="minorHAnsi"/>
          <w:sz w:val="16"/>
          <w:szCs w:val="16"/>
        </w:rPr>
        <w:t xml:space="preserve">maintenance etc. </w:t>
      </w:r>
      <w:r w:rsidR="008449E4" w:rsidRPr="00874FBF">
        <w:rPr>
          <w:rFonts w:cstheme="minorHAnsi"/>
          <w:sz w:val="16"/>
          <w:szCs w:val="16"/>
        </w:rPr>
        <w:t>costs – was $100m, the asset value would be $2</w:t>
      </w:r>
      <w:r w:rsidR="00BC039D" w:rsidRPr="00874FBF">
        <w:rPr>
          <w:rFonts w:cstheme="minorHAnsi"/>
          <w:sz w:val="16"/>
          <w:szCs w:val="16"/>
        </w:rPr>
        <w:t>.0bn</w:t>
      </w:r>
      <w:r w:rsidR="008449E4" w:rsidRPr="00874FBF">
        <w:rPr>
          <w:rFonts w:cstheme="minorHAnsi"/>
          <w:sz w:val="16"/>
          <w:szCs w:val="16"/>
        </w:rPr>
        <w:t>.  Taking this in reverse, sustaining an asset value of $2</w:t>
      </w:r>
      <w:r w:rsidR="00BC039D" w:rsidRPr="00874FBF">
        <w:rPr>
          <w:rFonts w:cstheme="minorHAnsi"/>
          <w:sz w:val="16"/>
          <w:szCs w:val="16"/>
        </w:rPr>
        <w:t>.0bn</w:t>
      </w:r>
      <w:r w:rsidR="008449E4" w:rsidRPr="00874FBF">
        <w:rPr>
          <w:rFonts w:cstheme="minorHAnsi"/>
          <w:sz w:val="16"/>
          <w:szCs w:val="16"/>
        </w:rPr>
        <w:t xml:space="preserve"> would require </w:t>
      </w:r>
      <w:r w:rsidR="00BC039D" w:rsidRPr="00874FBF">
        <w:rPr>
          <w:rFonts w:cstheme="minorHAnsi"/>
          <w:sz w:val="16"/>
          <w:szCs w:val="16"/>
        </w:rPr>
        <w:t xml:space="preserve">revenue of $100m more than costs of maintenance etc. needed to prevent degradation.  </w:t>
      </w:r>
      <w:r w:rsidR="008449E4" w:rsidRPr="00874FBF">
        <w:rPr>
          <w:rFonts w:cstheme="minorHAnsi"/>
          <w:sz w:val="16"/>
          <w:szCs w:val="16"/>
        </w:rPr>
        <w:t xml:space="preserve">If maintenance costs were $500m, </w:t>
      </w:r>
      <w:r w:rsidR="00BC039D" w:rsidRPr="00874FBF">
        <w:rPr>
          <w:rFonts w:cstheme="minorHAnsi"/>
          <w:sz w:val="16"/>
          <w:szCs w:val="16"/>
        </w:rPr>
        <w:t xml:space="preserve">revenue would need to be $600m.  Applying the </w:t>
      </w:r>
      <w:r w:rsidR="008449E4" w:rsidRPr="00874FBF">
        <w:rPr>
          <w:rFonts w:cstheme="minorHAnsi"/>
          <w:sz w:val="16"/>
          <w:szCs w:val="16"/>
        </w:rPr>
        <w:t xml:space="preserve">traditional model </w:t>
      </w:r>
      <w:r w:rsidR="00BC039D" w:rsidRPr="00874FBF">
        <w:rPr>
          <w:rFonts w:cstheme="minorHAnsi"/>
          <w:sz w:val="16"/>
          <w:szCs w:val="16"/>
        </w:rPr>
        <w:t xml:space="preserve">to such a subsidised commuter railway </w:t>
      </w:r>
      <w:r w:rsidR="008449E4" w:rsidRPr="00874FBF">
        <w:rPr>
          <w:rFonts w:cstheme="minorHAnsi"/>
          <w:sz w:val="16"/>
          <w:szCs w:val="16"/>
        </w:rPr>
        <w:t xml:space="preserve">would </w:t>
      </w:r>
      <w:r w:rsidR="00BC039D" w:rsidRPr="00874FBF">
        <w:rPr>
          <w:rFonts w:cstheme="minorHAnsi"/>
          <w:sz w:val="16"/>
          <w:szCs w:val="16"/>
        </w:rPr>
        <w:t>require an increase in outlays of $100m, however, this would be reflected in profits of the same amount – provided maintenance was adequate to prevent depreciation.  For this framework to have any prospect of being effective in commuter rai</w:t>
      </w:r>
      <w:r w:rsidR="000123FC" w:rsidRPr="00874FBF">
        <w:rPr>
          <w:rFonts w:cstheme="minorHAnsi"/>
          <w:sz w:val="16"/>
          <w:szCs w:val="16"/>
        </w:rPr>
        <w:t>l</w:t>
      </w:r>
      <w:r w:rsidR="00BC039D" w:rsidRPr="00874FBF">
        <w:rPr>
          <w:rFonts w:cstheme="minorHAnsi"/>
          <w:sz w:val="16"/>
          <w:szCs w:val="16"/>
        </w:rPr>
        <w:t>, asset value would need to exceed $</w:t>
      </w:r>
      <w:r w:rsidR="000123FC" w:rsidRPr="00874FBF">
        <w:rPr>
          <w:rFonts w:cstheme="minorHAnsi"/>
          <w:sz w:val="16"/>
          <w:szCs w:val="16"/>
        </w:rPr>
        <w:t>12</w:t>
      </w:r>
      <w:r w:rsidR="00BC039D" w:rsidRPr="00874FBF">
        <w:rPr>
          <w:rFonts w:cstheme="minorHAnsi"/>
          <w:sz w:val="16"/>
          <w:szCs w:val="16"/>
        </w:rPr>
        <w:t>bn</w:t>
      </w:r>
      <w:r w:rsidR="000123FC" w:rsidRPr="00874FBF">
        <w:rPr>
          <w:rFonts w:cstheme="minorHAnsi"/>
          <w:sz w:val="16"/>
          <w:szCs w:val="16"/>
        </w:rPr>
        <w:t>, the additional $10bn resulting from the multiple</w:t>
      </w:r>
      <w:r w:rsidR="00AC7CB7" w:rsidRPr="00874FBF">
        <w:rPr>
          <w:rFonts w:cstheme="minorHAnsi"/>
          <w:sz w:val="16"/>
          <w:szCs w:val="16"/>
        </w:rPr>
        <w:t xml:space="preserve"> </w:t>
      </w:r>
      <w:r w:rsidR="000123FC" w:rsidRPr="00874FBF">
        <w:rPr>
          <w:rFonts w:cstheme="minorHAnsi"/>
          <w:sz w:val="16"/>
          <w:szCs w:val="16"/>
        </w:rPr>
        <w:t>app</w:t>
      </w:r>
      <w:r w:rsidR="00AC7CB7" w:rsidRPr="00874FBF">
        <w:rPr>
          <w:rFonts w:cstheme="minorHAnsi"/>
          <w:sz w:val="16"/>
          <w:szCs w:val="16"/>
        </w:rPr>
        <w:t>l</w:t>
      </w:r>
      <w:r w:rsidR="000123FC" w:rsidRPr="00874FBF">
        <w:rPr>
          <w:rFonts w:cstheme="minorHAnsi"/>
          <w:sz w:val="16"/>
          <w:szCs w:val="16"/>
        </w:rPr>
        <w:t>ied to maintenance.</w:t>
      </w:r>
      <w:r w:rsidR="00BC039D" w:rsidRPr="00874FBF">
        <w:rPr>
          <w:rFonts w:cstheme="minorHAnsi"/>
          <w:sz w:val="16"/>
          <w:szCs w:val="16"/>
        </w:rPr>
        <w:t xml:space="preserve"> </w:t>
      </w:r>
    </w:p>
    <w:p w14:paraId="297DB263" w14:textId="11BEE270" w:rsidR="00BC039D" w:rsidRPr="00874FBF" w:rsidRDefault="00BC039D" w:rsidP="00A469EA">
      <w:pPr>
        <w:pStyle w:val="FootnoteText"/>
        <w:rPr>
          <w:rFonts w:cstheme="minorHAnsi"/>
          <w:sz w:val="16"/>
          <w:szCs w:val="16"/>
        </w:rPr>
      </w:pPr>
      <w:r w:rsidRPr="00874FBF">
        <w:rPr>
          <w:rFonts w:cstheme="minorHAnsi"/>
          <w:sz w:val="16"/>
          <w:szCs w:val="16"/>
        </w:rPr>
        <w:t xml:space="preserve">KPMG reported network values to be $26.3bn.  </w:t>
      </w:r>
    </w:p>
    <w:p w14:paraId="4FC6C9E5" w14:textId="77777777" w:rsidR="008449E4" w:rsidRPr="00874FBF" w:rsidRDefault="008449E4" w:rsidP="00A469EA">
      <w:pPr>
        <w:pStyle w:val="FootnoteText"/>
        <w:rPr>
          <w:rFonts w:cstheme="minorHAnsi"/>
          <w:sz w:val="16"/>
          <w:szCs w:val="16"/>
          <w:lang w:val="en-AU"/>
        </w:rPr>
      </w:pPr>
    </w:p>
  </w:footnote>
  <w:footnote w:id="153">
    <w:p w14:paraId="48134024" w14:textId="7EF21FDD" w:rsidR="0013069B" w:rsidRPr="00874FBF" w:rsidRDefault="00340B56">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0027127F" w:rsidRPr="00874FBF">
        <w:rPr>
          <w:rFonts w:cstheme="minorHAnsi"/>
          <w:sz w:val="16"/>
          <w:szCs w:val="16"/>
        </w:rPr>
        <w:t>E.g.,</w:t>
      </w:r>
      <w:r w:rsidR="0013069B" w:rsidRPr="00874FBF">
        <w:rPr>
          <w:rFonts w:cstheme="minorHAnsi"/>
          <w:sz w:val="16"/>
          <w:szCs w:val="16"/>
        </w:rPr>
        <w:t xml:space="preserve"> </w:t>
      </w:r>
      <w:hyperlink r:id="rId156" w:history="1">
        <w:r w:rsidR="0013069B" w:rsidRPr="00874FBF">
          <w:rPr>
            <w:rStyle w:val="Hyperlink"/>
            <w:rFonts w:cstheme="minorHAnsi"/>
            <w:sz w:val="16"/>
            <w:szCs w:val="16"/>
          </w:rPr>
          <w:t>https://www.aasb.gov.au/admin/file/content105/c9/AASB136_07-04_COMPapr07_07-07.pdf</w:t>
        </w:r>
      </w:hyperlink>
    </w:p>
  </w:footnote>
  <w:footnote w:id="154">
    <w:p w14:paraId="336E8520" w14:textId="77777777" w:rsidR="00B2573D" w:rsidRDefault="00B2573D">
      <w:pPr>
        <w:pStyle w:val="FootnoteText"/>
        <w:rPr>
          <w:rFonts w:cstheme="minorHAnsi"/>
          <w:sz w:val="16"/>
          <w:szCs w:val="16"/>
        </w:rPr>
      </w:pPr>
    </w:p>
    <w:p w14:paraId="12CFA1B7" w14:textId="21C72E9A" w:rsidR="00340B56" w:rsidRPr="00013B65" w:rsidRDefault="00340B56">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Pr="00874FBF">
        <w:rPr>
          <w:rFonts w:cstheme="minorHAnsi"/>
          <w:sz w:val="16"/>
          <w:szCs w:val="16"/>
          <w:lang w:val="en-AU"/>
        </w:rPr>
        <w:t>Entity write down</w:t>
      </w:r>
      <w:r w:rsidR="0013069B" w:rsidRPr="00874FBF">
        <w:rPr>
          <w:rFonts w:cstheme="minorHAnsi"/>
          <w:sz w:val="16"/>
          <w:szCs w:val="16"/>
          <w:lang w:val="en-AU"/>
        </w:rPr>
        <w:t xml:space="preserve">: </w:t>
      </w:r>
      <w:hyperlink r:id="rId157" w:history="1">
        <w:r w:rsidR="0013069B" w:rsidRPr="00874FBF">
          <w:rPr>
            <w:rStyle w:val="Hyperlink"/>
            <w:rFonts w:cstheme="minorHAnsi"/>
            <w:sz w:val="16"/>
            <w:szCs w:val="16"/>
            <w:lang w:val="en-AU"/>
          </w:rPr>
          <w:t>https://www.parliament.nsw.gov.au/lcdocs/transcripts/2769/Transcript%20-%20TAHE%20-%20Uncorrected%20-%2015%20November%202021.pdf</w:t>
        </w:r>
      </w:hyperlink>
      <w:r w:rsidR="0013069B" w:rsidRPr="00874FBF">
        <w:rPr>
          <w:rFonts w:cstheme="minorHAnsi"/>
          <w:sz w:val="16"/>
          <w:szCs w:val="16"/>
          <w:lang w:val="en-AU"/>
        </w:rPr>
        <w:t xml:space="preserve"> at </w:t>
      </w:r>
      <w:r w:rsidR="0027127F" w:rsidRPr="00874FBF">
        <w:rPr>
          <w:rFonts w:cstheme="minorHAnsi"/>
          <w:sz w:val="16"/>
          <w:szCs w:val="16"/>
          <w:lang w:val="en-AU"/>
        </w:rPr>
        <w:t>e.g.,</w:t>
      </w:r>
      <w:r w:rsidR="0013069B" w:rsidRPr="00874FBF">
        <w:rPr>
          <w:rFonts w:cstheme="minorHAnsi"/>
          <w:sz w:val="16"/>
          <w:szCs w:val="16"/>
          <w:lang w:val="en-AU"/>
        </w:rPr>
        <w:t xml:space="preserve"> p.11</w:t>
      </w:r>
      <w:r w:rsidR="00013B65">
        <w:rPr>
          <w:rFonts w:cstheme="minorHAnsi"/>
          <w:sz w:val="16"/>
          <w:szCs w:val="16"/>
          <w:lang w:val="en-AU"/>
        </w:rPr>
        <w:t>.</w:t>
      </w:r>
      <w:r w:rsidR="00B2573D">
        <w:rPr>
          <w:rFonts w:cstheme="minorHAnsi"/>
          <w:sz w:val="16"/>
          <w:szCs w:val="16"/>
          <w:lang w:val="en-AU"/>
        </w:rPr>
        <w:t xml:space="preserve">  But see note 18</w:t>
      </w:r>
      <w:r w:rsidR="0079439C">
        <w:rPr>
          <w:rFonts w:cstheme="minorHAnsi"/>
          <w:sz w:val="16"/>
          <w:szCs w:val="16"/>
          <w:lang w:val="en-AU"/>
        </w:rPr>
        <w:t>5</w:t>
      </w:r>
      <w:r w:rsidR="00B2573D">
        <w:rPr>
          <w:rFonts w:cstheme="minorHAnsi"/>
          <w:sz w:val="16"/>
          <w:szCs w:val="16"/>
          <w:lang w:val="en-AU"/>
        </w:rPr>
        <w:t xml:space="preserve"> below for how such an approach was reversed by NSW Treasury after its contribution to the failure of the 1996 structure. </w:t>
      </w:r>
    </w:p>
    <w:p w14:paraId="1B3B326A" w14:textId="77777777" w:rsidR="00C950B5" w:rsidRPr="00013B65" w:rsidRDefault="00C950B5">
      <w:pPr>
        <w:pStyle w:val="FootnoteText"/>
        <w:rPr>
          <w:rFonts w:cstheme="minorHAnsi"/>
          <w:sz w:val="16"/>
          <w:szCs w:val="16"/>
          <w:lang w:val="en-AU"/>
        </w:rPr>
      </w:pPr>
    </w:p>
  </w:footnote>
  <w:footnote w:id="155">
    <w:p w14:paraId="70CAA7A0" w14:textId="1C6335E6" w:rsidR="00013B65" w:rsidRPr="00013B65" w:rsidRDefault="00013B65">
      <w:pPr>
        <w:pStyle w:val="FootnoteText"/>
        <w:rPr>
          <w:sz w:val="16"/>
          <w:szCs w:val="16"/>
        </w:rPr>
      </w:pPr>
      <w:r w:rsidRPr="00013B65">
        <w:rPr>
          <w:rStyle w:val="FootnoteReference"/>
          <w:sz w:val="16"/>
          <w:szCs w:val="16"/>
        </w:rPr>
        <w:footnoteRef/>
      </w:r>
      <w:r w:rsidRPr="00013B65">
        <w:rPr>
          <w:sz w:val="16"/>
          <w:szCs w:val="16"/>
        </w:rPr>
        <w:t xml:space="preserve"> </w:t>
      </w:r>
      <w:hyperlink r:id="rId158" w:history="1">
        <w:r w:rsidRPr="00013B65">
          <w:rPr>
            <w:rStyle w:val="Hyperlink"/>
            <w:sz w:val="16"/>
            <w:szCs w:val="16"/>
          </w:rPr>
          <w:t>https://www.thejadebeagle.com/policy-spad.html</w:t>
        </w:r>
      </w:hyperlink>
      <w:r w:rsidRPr="00013B65">
        <w:rPr>
          <w:sz w:val="16"/>
          <w:szCs w:val="16"/>
        </w:rPr>
        <w:t xml:space="preserve"> at section 2.8.4.</w:t>
      </w:r>
    </w:p>
    <w:p w14:paraId="68A8B92E" w14:textId="77777777" w:rsidR="00013B65" w:rsidRPr="00013B65" w:rsidRDefault="00013B65">
      <w:pPr>
        <w:pStyle w:val="FootnoteText"/>
        <w:rPr>
          <w:sz w:val="16"/>
          <w:szCs w:val="16"/>
          <w:lang w:val="en-AU"/>
        </w:rPr>
      </w:pPr>
    </w:p>
  </w:footnote>
  <w:footnote w:id="156">
    <w:p w14:paraId="36A521B9" w14:textId="17AA6F7F" w:rsidR="006B0E16" w:rsidRPr="00874FBF" w:rsidRDefault="006B0E16"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00CB5DC5" w:rsidRPr="00874FBF">
        <w:rPr>
          <w:rFonts w:cstheme="minorHAnsi"/>
          <w:sz w:val="16"/>
          <w:szCs w:val="16"/>
        </w:rPr>
        <w:t>Subject to a thorough and observed safety management system.  For example, deferred maintenance or reduced inspections should lead to slower running of trains because of the imposition of speed etc restrictions.</w:t>
      </w:r>
    </w:p>
  </w:footnote>
  <w:footnote w:id="157">
    <w:p w14:paraId="3E5F57A7" w14:textId="77777777" w:rsidR="00071B2C" w:rsidRPr="00874FBF" w:rsidRDefault="00071B2C" w:rsidP="00A469EA">
      <w:pPr>
        <w:pStyle w:val="FootnoteText"/>
        <w:rPr>
          <w:rFonts w:cstheme="minorHAnsi"/>
          <w:sz w:val="16"/>
          <w:szCs w:val="16"/>
        </w:rPr>
      </w:pPr>
    </w:p>
    <w:p w14:paraId="044E2F5E" w14:textId="053D32E5" w:rsidR="0082416A" w:rsidRPr="00874FBF" w:rsidRDefault="0082416A" w:rsidP="00A469EA">
      <w:pPr>
        <w:pStyle w:val="FootnoteText"/>
        <w:rPr>
          <w:rFonts w:cstheme="minorHAnsi"/>
          <w:sz w:val="16"/>
          <w:szCs w:val="16"/>
        </w:rPr>
      </w:pPr>
      <w:r w:rsidRPr="00874FBF">
        <w:rPr>
          <w:rStyle w:val="FootnoteReference"/>
          <w:rFonts w:cstheme="minorHAnsi"/>
          <w:sz w:val="16"/>
          <w:szCs w:val="16"/>
        </w:rPr>
        <w:footnoteRef/>
      </w:r>
      <w:r w:rsidRPr="00874FBF">
        <w:rPr>
          <w:rFonts w:cstheme="minorHAnsi"/>
          <w:sz w:val="16"/>
          <w:szCs w:val="16"/>
        </w:rPr>
        <w:t xml:space="preserve"> </w:t>
      </w:r>
      <w:r w:rsidR="00071B2C" w:rsidRPr="00874FBF">
        <w:rPr>
          <w:rFonts w:cstheme="minorHAnsi"/>
          <w:sz w:val="16"/>
          <w:szCs w:val="16"/>
        </w:rPr>
        <w:t>Open access allows a party other than the owner of the track access, whether or the owner is vertically integrated or separated.</w:t>
      </w:r>
    </w:p>
    <w:p w14:paraId="6FEAD4F4" w14:textId="77777777" w:rsidR="00071B2C" w:rsidRPr="00874FBF" w:rsidRDefault="00071B2C" w:rsidP="00A469EA">
      <w:pPr>
        <w:pStyle w:val="FootnoteText"/>
        <w:rPr>
          <w:rFonts w:cstheme="minorHAnsi"/>
          <w:sz w:val="16"/>
          <w:szCs w:val="16"/>
          <w:lang w:val="en-AU"/>
        </w:rPr>
      </w:pPr>
    </w:p>
  </w:footnote>
  <w:footnote w:id="158">
    <w:p w14:paraId="20DB27FD" w14:textId="0BCAC485" w:rsidR="00CB5DC5" w:rsidRPr="00874FBF" w:rsidRDefault="00CB5DC5" w:rsidP="00A469EA">
      <w:pPr>
        <w:pStyle w:val="FootnoteText"/>
        <w:rPr>
          <w:rFonts w:cstheme="minorHAnsi"/>
          <w:sz w:val="16"/>
          <w:szCs w:val="16"/>
        </w:rPr>
      </w:pPr>
      <w:r w:rsidRPr="00874FBF">
        <w:rPr>
          <w:rStyle w:val="FootnoteReference"/>
          <w:rFonts w:cstheme="minorHAnsi"/>
          <w:sz w:val="16"/>
          <w:szCs w:val="16"/>
        </w:rPr>
        <w:footnoteRef/>
      </w:r>
      <w:r w:rsidRPr="00874FBF">
        <w:rPr>
          <w:rFonts w:cstheme="minorHAnsi"/>
          <w:sz w:val="16"/>
          <w:szCs w:val="16"/>
        </w:rPr>
        <w:t xml:space="preserve"> As noted earlier, the monopolist constrains supply to ‘increase’ price.  Hence merely limiting prices is an inadequate regulatory response to monopoly.  The monopolist’s output must be reported.  For a rail network this output includes future asset condition.  Hence, the </w:t>
      </w:r>
      <w:r w:rsidR="00E54425">
        <w:rPr>
          <w:rFonts w:cstheme="minorHAnsi"/>
          <w:sz w:val="16"/>
          <w:szCs w:val="16"/>
        </w:rPr>
        <w:t xml:space="preserve">suggested </w:t>
      </w:r>
      <w:r w:rsidRPr="00874FBF">
        <w:rPr>
          <w:rFonts w:cstheme="minorHAnsi"/>
          <w:sz w:val="16"/>
          <w:szCs w:val="16"/>
        </w:rPr>
        <w:t>regulatory response is to have profits limited by reference to condition.  A deterioration in condition will lead to a decrease in permitted profits.  This further emphasises the need to monitor and report the physical – rather than accounting</w:t>
      </w:r>
      <w:r w:rsidR="00934D94" w:rsidRPr="00874FBF">
        <w:rPr>
          <w:rFonts w:cstheme="minorHAnsi"/>
          <w:sz w:val="16"/>
          <w:szCs w:val="16"/>
        </w:rPr>
        <w:t xml:space="preserve"> assumptions for – degradation of assets.</w:t>
      </w:r>
    </w:p>
    <w:p w14:paraId="1D8A6B88" w14:textId="468F8582" w:rsidR="00CB5DC5" w:rsidRPr="00874FBF" w:rsidRDefault="00CB5DC5" w:rsidP="00A469EA">
      <w:pPr>
        <w:pStyle w:val="FootnoteText"/>
        <w:rPr>
          <w:rFonts w:cstheme="minorHAnsi"/>
          <w:sz w:val="16"/>
          <w:szCs w:val="16"/>
          <w:lang w:val="en-AU"/>
        </w:rPr>
      </w:pPr>
    </w:p>
  </w:footnote>
  <w:footnote w:id="159">
    <w:p w14:paraId="7B0C3012" w14:textId="4683E0BB" w:rsidR="00934D94" w:rsidRPr="00874FBF" w:rsidRDefault="00934D94"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Pr="00874FBF">
        <w:rPr>
          <w:rFonts w:cstheme="minorHAnsi"/>
          <w:sz w:val="16"/>
          <w:szCs w:val="16"/>
          <w:lang w:val="en-AU"/>
        </w:rPr>
        <w:t xml:space="preserve">Recognised by KPMG in its discussion of an annual </w:t>
      </w:r>
      <w:r w:rsidR="002129A1" w:rsidRPr="00874FBF">
        <w:rPr>
          <w:rFonts w:cstheme="minorHAnsi"/>
          <w:sz w:val="16"/>
          <w:szCs w:val="16"/>
          <w:lang w:val="en-AU"/>
        </w:rPr>
        <w:t>flag fall</w:t>
      </w:r>
      <w:r w:rsidRPr="00874FBF">
        <w:rPr>
          <w:rFonts w:cstheme="minorHAnsi"/>
          <w:sz w:val="16"/>
          <w:szCs w:val="16"/>
          <w:lang w:val="en-AU"/>
        </w:rPr>
        <w:t xml:space="preserve"> charge – report p</w:t>
      </w:r>
      <w:r w:rsidR="003E05A6" w:rsidRPr="00874FBF">
        <w:rPr>
          <w:rFonts w:cstheme="minorHAnsi"/>
          <w:sz w:val="16"/>
          <w:szCs w:val="16"/>
          <w:lang w:val="en-AU"/>
        </w:rPr>
        <w:t>.</w:t>
      </w:r>
      <w:r w:rsidRPr="00874FBF">
        <w:rPr>
          <w:rFonts w:cstheme="minorHAnsi"/>
          <w:sz w:val="16"/>
          <w:szCs w:val="16"/>
          <w:lang w:val="en-AU"/>
        </w:rPr>
        <w:t>17.</w:t>
      </w:r>
    </w:p>
    <w:p w14:paraId="552471BA" w14:textId="77777777" w:rsidR="00934D94" w:rsidRPr="00874FBF" w:rsidRDefault="00934D94" w:rsidP="00A469EA">
      <w:pPr>
        <w:pStyle w:val="FootnoteText"/>
        <w:rPr>
          <w:rFonts w:cstheme="minorHAnsi"/>
          <w:sz w:val="16"/>
          <w:szCs w:val="16"/>
          <w:lang w:val="en-AU"/>
        </w:rPr>
      </w:pPr>
    </w:p>
  </w:footnote>
  <w:footnote w:id="160">
    <w:p w14:paraId="55278DE1" w14:textId="3B963AB9" w:rsidR="00FF445D" w:rsidRPr="00874FBF" w:rsidRDefault="00FF445D"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Pr="00874FBF">
        <w:rPr>
          <w:rFonts w:cstheme="minorHAnsi"/>
          <w:sz w:val="16"/>
          <w:szCs w:val="16"/>
          <w:lang w:val="en-AU"/>
        </w:rPr>
        <w:t>Commuter rail does not compete for track space because of the passenger priority provisions, and issues associated with scheduling and train control.</w:t>
      </w:r>
    </w:p>
    <w:p w14:paraId="0D57ABDE" w14:textId="77777777" w:rsidR="00FF445D" w:rsidRPr="00E35913" w:rsidRDefault="00FF445D" w:rsidP="00A469EA">
      <w:pPr>
        <w:pStyle w:val="FootnoteText"/>
        <w:rPr>
          <w:rFonts w:cstheme="minorHAnsi"/>
          <w:sz w:val="16"/>
          <w:szCs w:val="16"/>
          <w:lang w:val="en-AU"/>
        </w:rPr>
      </w:pPr>
    </w:p>
  </w:footnote>
  <w:footnote w:id="161">
    <w:p w14:paraId="37D3C148" w14:textId="2B0AE964" w:rsidR="00E35913" w:rsidRPr="00E35913" w:rsidRDefault="00E35913">
      <w:pPr>
        <w:pStyle w:val="FootnoteText"/>
        <w:rPr>
          <w:lang w:val="en-AU"/>
        </w:rPr>
      </w:pPr>
      <w:r w:rsidRPr="00E35913">
        <w:rPr>
          <w:rStyle w:val="FootnoteReference"/>
          <w:sz w:val="16"/>
          <w:szCs w:val="16"/>
        </w:rPr>
        <w:footnoteRef/>
      </w:r>
      <w:r w:rsidRPr="00E35913">
        <w:rPr>
          <w:sz w:val="16"/>
          <w:szCs w:val="16"/>
        </w:rPr>
        <w:t xml:space="preserve"> </w:t>
      </w:r>
      <w:r w:rsidRPr="00E35913">
        <w:rPr>
          <w:sz w:val="16"/>
          <w:szCs w:val="16"/>
          <w:lang w:val="en-AU"/>
        </w:rPr>
        <w:t>See section 8.1 and note 18</w:t>
      </w:r>
      <w:r w:rsidR="0079439C">
        <w:rPr>
          <w:sz w:val="16"/>
          <w:szCs w:val="16"/>
          <w:lang w:val="en-AU"/>
        </w:rPr>
        <w:t>5</w:t>
      </w:r>
      <w:r w:rsidRPr="00E35913">
        <w:rPr>
          <w:sz w:val="16"/>
          <w:szCs w:val="16"/>
          <w:lang w:val="en-AU"/>
        </w:rPr>
        <w:t xml:space="preserve"> below.</w:t>
      </w:r>
      <w:r>
        <w:rPr>
          <w:lang w:val="en-AU"/>
        </w:rPr>
        <w:t xml:space="preserve"> </w:t>
      </w:r>
    </w:p>
  </w:footnote>
  <w:footnote w:id="162">
    <w:p w14:paraId="0DC485A7" w14:textId="77777777" w:rsidR="00CA7496" w:rsidRPr="00874FBF" w:rsidRDefault="00CA7496"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Negotiation can also be in </w:t>
      </w:r>
      <w:r w:rsidRPr="00874FBF">
        <w:rPr>
          <w:rFonts w:cstheme="minorHAnsi"/>
          <w:sz w:val="16"/>
          <w:szCs w:val="16"/>
          <w:lang w:val="en-AU"/>
        </w:rPr>
        <w:t>relation to vehicle interactions with infrastructure – the physical dimensions of trains with alterations in charges due to train lengths, weights, wheel profiles etc.</w:t>
      </w:r>
    </w:p>
    <w:p w14:paraId="47481EA0" w14:textId="77777777" w:rsidR="00CA7496" w:rsidRPr="00874FBF" w:rsidRDefault="00CA7496" w:rsidP="00A469EA">
      <w:pPr>
        <w:pStyle w:val="FootnoteText"/>
        <w:rPr>
          <w:rFonts w:cstheme="minorHAnsi"/>
          <w:sz w:val="16"/>
          <w:szCs w:val="16"/>
          <w:lang w:val="en-AU"/>
        </w:rPr>
      </w:pPr>
    </w:p>
  </w:footnote>
  <w:footnote w:id="163">
    <w:p w14:paraId="7B0D3CF3" w14:textId="03C4F912" w:rsidR="00CA7496" w:rsidRPr="00874FBF" w:rsidRDefault="00CA7496"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Permitted profits relate </w:t>
      </w:r>
      <w:r w:rsidRPr="00874FBF">
        <w:rPr>
          <w:rFonts w:cstheme="minorHAnsi"/>
          <w:sz w:val="16"/>
          <w:szCs w:val="16"/>
          <w:lang w:val="en-AU"/>
        </w:rPr>
        <w:t xml:space="preserve">to depreciated optimised replacement cost (DORC).  This is estimated first by establishing what infrastructure is hypothetically needed for the traffic task of the asset seeker – ‘optimised’ network </w:t>
      </w:r>
      <w:r w:rsidR="002129A1" w:rsidRPr="00874FBF">
        <w:rPr>
          <w:rFonts w:cstheme="minorHAnsi"/>
          <w:sz w:val="16"/>
          <w:szCs w:val="16"/>
          <w:lang w:val="en-AU"/>
        </w:rPr>
        <w:t>e.g.,</w:t>
      </w:r>
      <w:r w:rsidRPr="00874FBF">
        <w:rPr>
          <w:rFonts w:cstheme="minorHAnsi"/>
          <w:sz w:val="16"/>
          <w:szCs w:val="16"/>
          <w:lang w:val="en-AU"/>
        </w:rPr>
        <w:t xml:space="preserve"> overhead wiring is not needed for diesel locomotives and would be excluded from the relevant asset base.  Next is an assessment of the replacement cost of this infrastructure.  Next is an assessment of the expected life of asset components </w:t>
      </w:r>
      <w:r w:rsidR="00DF5228" w:rsidRPr="00874FBF">
        <w:rPr>
          <w:rFonts w:cstheme="minorHAnsi"/>
          <w:sz w:val="16"/>
          <w:szCs w:val="16"/>
          <w:lang w:val="en-AU"/>
        </w:rPr>
        <w:t>e.g.,</w:t>
      </w:r>
      <w:r w:rsidRPr="00874FBF">
        <w:rPr>
          <w:rFonts w:cstheme="minorHAnsi"/>
          <w:sz w:val="16"/>
          <w:szCs w:val="16"/>
          <w:lang w:val="en-AU"/>
        </w:rPr>
        <w:t xml:space="preserve"> rail </w:t>
      </w:r>
      <w:r w:rsidR="00BC401D" w:rsidRPr="00874FBF">
        <w:rPr>
          <w:rFonts w:cstheme="minorHAnsi"/>
          <w:sz w:val="16"/>
          <w:szCs w:val="16"/>
          <w:lang w:val="en-AU"/>
        </w:rPr>
        <w:t>5</w:t>
      </w:r>
      <w:r w:rsidRPr="00874FBF">
        <w:rPr>
          <w:rFonts w:cstheme="minorHAnsi"/>
          <w:sz w:val="16"/>
          <w:szCs w:val="16"/>
          <w:lang w:val="en-AU"/>
        </w:rPr>
        <w:t>00 m</w:t>
      </w:r>
      <w:r w:rsidR="00BC401D" w:rsidRPr="00874FBF">
        <w:rPr>
          <w:rFonts w:cstheme="minorHAnsi"/>
          <w:sz w:val="16"/>
          <w:szCs w:val="16"/>
          <w:lang w:val="en-AU"/>
        </w:rPr>
        <w:t xml:space="preserve">illion gross </w:t>
      </w:r>
      <w:r w:rsidRPr="00874FBF">
        <w:rPr>
          <w:rFonts w:cstheme="minorHAnsi"/>
          <w:sz w:val="16"/>
          <w:szCs w:val="16"/>
          <w:lang w:val="en-AU"/>
        </w:rPr>
        <w:t>ton</w:t>
      </w:r>
      <w:r w:rsidR="00BC401D" w:rsidRPr="00874FBF">
        <w:rPr>
          <w:rFonts w:cstheme="minorHAnsi"/>
          <w:sz w:val="16"/>
          <w:szCs w:val="16"/>
          <w:lang w:val="en-AU"/>
        </w:rPr>
        <w:t>s</w:t>
      </w:r>
      <w:r w:rsidR="00135A8A" w:rsidRPr="00874FBF">
        <w:rPr>
          <w:rFonts w:cstheme="minorHAnsi"/>
          <w:sz w:val="16"/>
          <w:szCs w:val="16"/>
          <w:lang w:val="en-AU"/>
        </w:rPr>
        <w:t>, tunnels 100 years</w:t>
      </w:r>
      <w:r w:rsidRPr="00874FBF">
        <w:rPr>
          <w:rFonts w:cstheme="minorHAnsi"/>
          <w:sz w:val="16"/>
          <w:szCs w:val="16"/>
          <w:lang w:val="en-AU"/>
        </w:rPr>
        <w:t>.  Finally, there is a</w:t>
      </w:r>
      <w:r w:rsidR="00135A8A" w:rsidRPr="00874FBF">
        <w:rPr>
          <w:rFonts w:cstheme="minorHAnsi"/>
          <w:sz w:val="16"/>
          <w:szCs w:val="16"/>
          <w:lang w:val="en-AU"/>
        </w:rPr>
        <w:t xml:space="preserve"> field</w:t>
      </w:r>
      <w:r w:rsidRPr="00874FBF">
        <w:rPr>
          <w:rFonts w:cstheme="minorHAnsi"/>
          <w:sz w:val="16"/>
          <w:szCs w:val="16"/>
          <w:lang w:val="en-AU"/>
        </w:rPr>
        <w:t xml:space="preserve"> assessment of the remaining life </w:t>
      </w:r>
      <w:r w:rsidR="00135A8A" w:rsidRPr="00874FBF">
        <w:rPr>
          <w:rFonts w:cstheme="minorHAnsi"/>
          <w:sz w:val="16"/>
          <w:szCs w:val="16"/>
          <w:lang w:val="en-AU"/>
        </w:rPr>
        <w:t xml:space="preserve">of the assets </w:t>
      </w:r>
      <w:r w:rsidR="002129A1" w:rsidRPr="00874FBF">
        <w:rPr>
          <w:rFonts w:cstheme="minorHAnsi"/>
          <w:sz w:val="16"/>
          <w:szCs w:val="16"/>
          <w:lang w:val="en-AU"/>
        </w:rPr>
        <w:t>e.g.,</w:t>
      </w:r>
      <w:r w:rsidR="00135A8A" w:rsidRPr="00874FBF">
        <w:rPr>
          <w:rFonts w:cstheme="minorHAnsi"/>
          <w:sz w:val="16"/>
          <w:szCs w:val="16"/>
          <w:lang w:val="en-AU"/>
        </w:rPr>
        <w:t xml:space="preserve"> rail </w:t>
      </w:r>
      <w:r w:rsidR="00BC401D" w:rsidRPr="00874FBF">
        <w:rPr>
          <w:rFonts w:cstheme="minorHAnsi"/>
          <w:sz w:val="16"/>
          <w:szCs w:val="16"/>
          <w:lang w:val="en-AU"/>
        </w:rPr>
        <w:t>200</w:t>
      </w:r>
      <w:r w:rsidR="00135A8A" w:rsidRPr="00874FBF">
        <w:rPr>
          <w:rFonts w:cstheme="minorHAnsi"/>
          <w:sz w:val="16"/>
          <w:szCs w:val="16"/>
          <w:lang w:val="en-AU"/>
        </w:rPr>
        <w:t xml:space="preserve"> m</w:t>
      </w:r>
      <w:r w:rsidR="00BC401D" w:rsidRPr="00874FBF">
        <w:rPr>
          <w:rFonts w:cstheme="minorHAnsi"/>
          <w:sz w:val="16"/>
          <w:szCs w:val="16"/>
          <w:lang w:val="en-AU"/>
        </w:rPr>
        <w:t>gt</w:t>
      </w:r>
      <w:r w:rsidR="00135A8A" w:rsidRPr="00874FBF">
        <w:rPr>
          <w:rFonts w:cstheme="minorHAnsi"/>
          <w:sz w:val="16"/>
          <w:szCs w:val="16"/>
          <w:lang w:val="en-AU"/>
        </w:rPr>
        <w:t xml:space="preserve"> (40%), tunnels 50 years (50%).  The percentages are applied to replacement cost, to generate DORC.</w:t>
      </w:r>
      <w:r w:rsidRPr="00874FBF">
        <w:rPr>
          <w:rFonts w:cstheme="minorHAnsi"/>
          <w:sz w:val="16"/>
          <w:szCs w:val="16"/>
          <w:lang w:val="en-AU"/>
        </w:rPr>
        <w:t xml:space="preserve">   </w:t>
      </w:r>
    </w:p>
    <w:p w14:paraId="765BE736" w14:textId="77777777" w:rsidR="00CA7496" w:rsidRPr="00874FBF" w:rsidRDefault="00CA7496" w:rsidP="00A469EA">
      <w:pPr>
        <w:pStyle w:val="FootnoteText"/>
        <w:rPr>
          <w:rFonts w:cstheme="minorHAnsi"/>
          <w:sz w:val="16"/>
          <w:szCs w:val="16"/>
          <w:lang w:val="en-AU"/>
        </w:rPr>
      </w:pPr>
    </w:p>
  </w:footnote>
  <w:footnote w:id="164">
    <w:p w14:paraId="0C83AC79" w14:textId="0C4E6C1E" w:rsidR="00677529" w:rsidRPr="00874FBF" w:rsidRDefault="00677529" w:rsidP="00A469EA">
      <w:pPr>
        <w:pStyle w:val="FootnoteText"/>
        <w:rPr>
          <w:rFonts w:cstheme="minorHAnsi"/>
          <w:sz w:val="16"/>
          <w:szCs w:val="16"/>
        </w:rPr>
      </w:pPr>
      <w:r w:rsidRPr="00874FBF">
        <w:rPr>
          <w:rStyle w:val="FootnoteReference"/>
          <w:rFonts w:cstheme="minorHAnsi"/>
          <w:sz w:val="16"/>
          <w:szCs w:val="16"/>
        </w:rPr>
        <w:footnoteRef/>
      </w:r>
      <w:r w:rsidRPr="00874FBF">
        <w:rPr>
          <w:rFonts w:cstheme="minorHAnsi"/>
          <w:sz w:val="16"/>
          <w:szCs w:val="16"/>
        </w:rPr>
        <w:t xml:space="preserve"> </w:t>
      </w:r>
      <w:hyperlink r:id="rId159" w:history="1">
        <w:r w:rsidRPr="00874FBF">
          <w:rPr>
            <w:rStyle w:val="Hyperlink"/>
            <w:rFonts w:cstheme="minorHAnsi"/>
            <w:sz w:val="16"/>
            <w:szCs w:val="16"/>
          </w:rPr>
          <w:t>https://www.transport.nsw.gov.au/sites/default/files/media/documents/2017/nsw-rail-access-undertaking.pdf</w:t>
        </w:r>
      </w:hyperlink>
    </w:p>
    <w:p w14:paraId="6EDEBE6E" w14:textId="3CABCE9C" w:rsidR="00A67AAA" w:rsidRPr="00874FBF" w:rsidRDefault="00A67AAA" w:rsidP="00A469EA">
      <w:pPr>
        <w:pStyle w:val="FootnoteText"/>
        <w:rPr>
          <w:rFonts w:cstheme="minorHAnsi"/>
          <w:sz w:val="16"/>
          <w:szCs w:val="16"/>
          <w:lang w:val="en-AU"/>
        </w:rPr>
      </w:pPr>
    </w:p>
  </w:footnote>
  <w:footnote w:id="165">
    <w:p w14:paraId="73E48B2B" w14:textId="08167B19" w:rsidR="00AC7AE7" w:rsidRPr="004925B3" w:rsidRDefault="00AC7AE7">
      <w:pPr>
        <w:pStyle w:val="FootnoteText"/>
        <w:rPr>
          <w:sz w:val="16"/>
          <w:szCs w:val="16"/>
        </w:rPr>
      </w:pPr>
      <w:r w:rsidRPr="004925B3">
        <w:rPr>
          <w:rStyle w:val="FootnoteReference"/>
          <w:sz w:val="16"/>
          <w:szCs w:val="16"/>
        </w:rPr>
        <w:footnoteRef/>
      </w:r>
      <w:r w:rsidRPr="004925B3">
        <w:rPr>
          <w:sz w:val="16"/>
          <w:szCs w:val="16"/>
        </w:rPr>
        <w:t xml:space="preserve"> </w:t>
      </w:r>
      <w:hyperlink r:id="rId160" w:history="1">
        <w:r w:rsidR="004925B3" w:rsidRPr="004925B3">
          <w:rPr>
            <w:rStyle w:val="Hyperlink"/>
            <w:sz w:val="16"/>
            <w:szCs w:val="16"/>
          </w:rPr>
          <w:t>https://www.parliament.nsw.gov.au/lcdocs/other/16115/TREASURY_TENDER_003.pdf</w:t>
        </w:r>
        <w:r w:rsidR="004925B3" w:rsidRPr="004925B3">
          <w:rPr>
            <w:rStyle w:val="Hyperlink"/>
            <w:sz w:val="16"/>
            <w:szCs w:val="16"/>
          </w:rPr>
          <w:t xml:space="preserve"> </w:t>
        </w:r>
      </w:hyperlink>
    </w:p>
    <w:p w14:paraId="172424D2" w14:textId="77777777" w:rsidR="00AC7AE7" w:rsidRPr="004925B3" w:rsidRDefault="00AC7AE7">
      <w:pPr>
        <w:pStyle w:val="FootnoteText"/>
        <w:rPr>
          <w:sz w:val="16"/>
          <w:szCs w:val="16"/>
          <w:lang w:val="en-AU"/>
        </w:rPr>
      </w:pPr>
    </w:p>
  </w:footnote>
  <w:footnote w:id="166">
    <w:p w14:paraId="152EBA22" w14:textId="56FFD023" w:rsidR="00677072" w:rsidRPr="00874FBF" w:rsidRDefault="00677072"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00EF725C">
        <w:rPr>
          <w:rFonts w:cstheme="minorHAnsi"/>
          <w:sz w:val="16"/>
          <w:szCs w:val="16"/>
        </w:rPr>
        <w:t>KPMG r</w:t>
      </w:r>
      <w:proofErr w:type="spellStart"/>
      <w:r w:rsidRPr="00874FBF">
        <w:rPr>
          <w:rFonts w:cstheme="minorHAnsi"/>
          <w:sz w:val="16"/>
          <w:szCs w:val="16"/>
          <w:lang w:val="en-AU"/>
        </w:rPr>
        <w:t>eport</w:t>
      </w:r>
      <w:proofErr w:type="spellEnd"/>
      <w:r w:rsidRPr="00874FBF">
        <w:rPr>
          <w:rFonts w:cstheme="minorHAnsi"/>
          <w:sz w:val="16"/>
          <w:szCs w:val="16"/>
          <w:lang w:val="en-AU"/>
        </w:rPr>
        <w:t xml:space="preserve"> </w:t>
      </w:r>
      <w:r w:rsidR="00EF725C">
        <w:rPr>
          <w:rFonts w:cstheme="minorHAnsi"/>
          <w:sz w:val="16"/>
          <w:szCs w:val="16"/>
          <w:lang w:val="en-AU"/>
        </w:rPr>
        <w:t xml:space="preserve">at </w:t>
      </w:r>
      <w:r w:rsidRPr="00874FBF">
        <w:rPr>
          <w:rFonts w:cstheme="minorHAnsi"/>
          <w:sz w:val="16"/>
          <w:szCs w:val="16"/>
          <w:lang w:val="en-AU"/>
        </w:rPr>
        <w:t>p.73, 76</w:t>
      </w:r>
      <w:r w:rsidR="00EF725C">
        <w:rPr>
          <w:rFonts w:cstheme="minorHAnsi"/>
          <w:sz w:val="16"/>
          <w:szCs w:val="16"/>
          <w:lang w:val="en-AU"/>
        </w:rPr>
        <w:t>.</w:t>
      </w:r>
    </w:p>
    <w:p w14:paraId="76F8B46E" w14:textId="77777777" w:rsidR="00BF3ED9" w:rsidRPr="00874FBF" w:rsidRDefault="00BF3ED9" w:rsidP="00A469EA">
      <w:pPr>
        <w:pStyle w:val="FootnoteText"/>
        <w:rPr>
          <w:rFonts w:cstheme="minorHAnsi"/>
          <w:sz w:val="16"/>
          <w:szCs w:val="16"/>
          <w:lang w:val="en-AU"/>
        </w:rPr>
      </w:pPr>
    </w:p>
  </w:footnote>
  <w:footnote w:id="167">
    <w:p w14:paraId="362D3C88" w14:textId="24437646" w:rsidR="00BF3ED9" w:rsidRPr="00874FBF" w:rsidRDefault="00BF3ED9"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Pr="00874FBF">
        <w:rPr>
          <w:rFonts w:cstheme="minorHAnsi"/>
          <w:sz w:val="16"/>
          <w:szCs w:val="16"/>
          <w:lang w:val="en-AU"/>
        </w:rPr>
        <w:t xml:space="preserve">Given that track maintenance in the early 2000s was around $500m for a steady state of asset condition, presumably the $1.2bn also relates to other maintenance </w:t>
      </w:r>
      <w:r w:rsidR="002129A1" w:rsidRPr="00874FBF">
        <w:rPr>
          <w:rFonts w:cstheme="minorHAnsi"/>
          <w:sz w:val="16"/>
          <w:szCs w:val="16"/>
          <w:lang w:val="en-AU"/>
        </w:rPr>
        <w:t>e.g.,</w:t>
      </w:r>
      <w:r w:rsidRPr="00874FBF">
        <w:rPr>
          <w:rFonts w:cstheme="minorHAnsi"/>
          <w:sz w:val="16"/>
          <w:szCs w:val="16"/>
          <w:lang w:val="en-AU"/>
        </w:rPr>
        <w:t xml:space="preserve"> fleet, stations, yards. </w:t>
      </w:r>
    </w:p>
  </w:footnote>
  <w:footnote w:id="168">
    <w:p w14:paraId="74FBAA9C" w14:textId="77777777" w:rsidR="00AC1CCE" w:rsidRPr="00874FBF" w:rsidRDefault="00AC1CCE" w:rsidP="00A469EA">
      <w:pPr>
        <w:pStyle w:val="FootnoteText"/>
        <w:rPr>
          <w:rFonts w:cstheme="minorHAnsi"/>
          <w:sz w:val="16"/>
          <w:szCs w:val="16"/>
        </w:rPr>
      </w:pPr>
    </w:p>
    <w:p w14:paraId="74BA5D76" w14:textId="4D87989B" w:rsidR="00677072" w:rsidRPr="00874FBF" w:rsidRDefault="00677072"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00BF3ED9" w:rsidRPr="00874FBF">
        <w:rPr>
          <w:rFonts w:cstheme="minorHAnsi"/>
          <w:sz w:val="16"/>
          <w:szCs w:val="16"/>
        </w:rPr>
        <w:t xml:space="preserve">This may be a fault in the copy of the </w:t>
      </w:r>
      <w:r w:rsidR="00EF725C">
        <w:rPr>
          <w:rFonts w:cstheme="minorHAnsi"/>
          <w:sz w:val="16"/>
          <w:szCs w:val="16"/>
        </w:rPr>
        <w:t>KPMG re</w:t>
      </w:r>
      <w:r w:rsidRPr="00874FBF">
        <w:rPr>
          <w:rFonts w:cstheme="minorHAnsi"/>
          <w:sz w:val="16"/>
          <w:szCs w:val="16"/>
          <w:lang w:val="en-AU"/>
        </w:rPr>
        <w:t xml:space="preserve">port </w:t>
      </w:r>
      <w:r w:rsidR="00BF3ED9" w:rsidRPr="00874FBF">
        <w:rPr>
          <w:rFonts w:cstheme="minorHAnsi"/>
          <w:sz w:val="16"/>
          <w:szCs w:val="16"/>
          <w:lang w:val="en-AU"/>
        </w:rPr>
        <w:t xml:space="preserve">at the site – </w:t>
      </w:r>
      <w:r w:rsidR="002129A1" w:rsidRPr="00874FBF">
        <w:rPr>
          <w:rFonts w:cstheme="minorHAnsi"/>
          <w:sz w:val="16"/>
          <w:szCs w:val="16"/>
          <w:lang w:val="en-AU"/>
        </w:rPr>
        <w:t>note.</w:t>
      </w:r>
      <w:r w:rsidR="00BF3ED9" w:rsidRPr="00874FBF">
        <w:rPr>
          <w:rFonts w:cstheme="minorHAnsi"/>
          <w:sz w:val="16"/>
          <w:szCs w:val="16"/>
          <w:lang w:val="en-AU"/>
        </w:rPr>
        <w:t xml:space="preserve">  See also report </w:t>
      </w:r>
      <w:r w:rsidRPr="00874FBF">
        <w:rPr>
          <w:rFonts w:cstheme="minorHAnsi"/>
          <w:sz w:val="16"/>
          <w:szCs w:val="16"/>
          <w:lang w:val="en-AU"/>
        </w:rPr>
        <w:t>p.73.</w:t>
      </w:r>
    </w:p>
    <w:p w14:paraId="524F9160" w14:textId="77777777" w:rsidR="00677072" w:rsidRPr="00874FBF" w:rsidRDefault="00677072" w:rsidP="00A469EA">
      <w:pPr>
        <w:pStyle w:val="FootnoteText"/>
        <w:rPr>
          <w:rFonts w:cstheme="minorHAnsi"/>
          <w:sz w:val="16"/>
          <w:szCs w:val="16"/>
          <w:lang w:val="en-AU"/>
        </w:rPr>
      </w:pPr>
    </w:p>
  </w:footnote>
  <w:footnote w:id="169">
    <w:p w14:paraId="19417F97" w14:textId="50651326" w:rsidR="00677072" w:rsidRPr="00874FBF" w:rsidRDefault="00677072"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00AC1CCE" w:rsidRPr="00874FBF">
        <w:rPr>
          <w:rFonts w:cstheme="minorHAnsi"/>
          <w:sz w:val="16"/>
          <w:szCs w:val="16"/>
        </w:rPr>
        <w:t xml:space="preserve">Assuming O&amp;M is operations and maintenance, MRN is the metropolitan rail network, NSWT is Transport for NSW.  </w:t>
      </w:r>
      <w:r w:rsidR="00EF725C">
        <w:rPr>
          <w:rFonts w:cstheme="minorHAnsi"/>
          <w:sz w:val="16"/>
          <w:szCs w:val="16"/>
        </w:rPr>
        <w:t>KPMG r</w:t>
      </w:r>
      <w:r w:rsidRPr="00874FBF">
        <w:rPr>
          <w:rFonts w:cstheme="minorHAnsi"/>
          <w:sz w:val="16"/>
          <w:szCs w:val="16"/>
          <w:lang w:val="en-AU"/>
        </w:rPr>
        <w:t xml:space="preserve">eport </w:t>
      </w:r>
      <w:r w:rsidR="00EF725C">
        <w:rPr>
          <w:rFonts w:cstheme="minorHAnsi"/>
          <w:sz w:val="16"/>
          <w:szCs w:val="16"/>
          <w:lang w:val="en-AU"/>
        </w:rPr>
        <w:t xml:space="preserve">at </w:t>
      </w:r>
      <w:r w:rsidRPr="00874FBF">
        <w:rPr>
          <w:rFonts w:cstheme="minorHAnsi"/>
          <w:sz w:val="16"/>
          <w:szCs w:val="16"/>
          <w:lang w:val="en-AU"/>
        </w:rPr>
        <w:t>p.</w:t>
      </w:r>
      <w:r w:rsidR="00AC1CCE" w:rsidRPr="00874FBF">
        <w:rPr>
          <w:rFonts w:cstheme="minorHAnsi"/>
          <w:sz w:val="16"/>
          <w:szCs w:val="16"/>
          <w:lang w:val="en-AU"/>
        </w:rPr>
        <w:t>14, p.v, note 2.</w:t>
      </w:r>
    </w:p>
    <w:p w14:paraId="42A025E0" w14:textId="77777777" w:rsidR="00AC1CCE" w:rsidRPr="00A11EB0" w:rsidRDefault="00AC1CCE" w:rsidP="00A469EA">
      <w:pPr>
        <w:pStyle w:val="FootnoteText"/>
        <w:rPr>
          <w:rFonts w:cstheme="minorHAnsi"/>
          <w:sz w:val="16"/>
          <w:szCs w:val="16"/>
          <w:lang w:val="en-AU"/>
        </w:rPr>
      </w:pPr>
    </w:p>
  </w:footnote>
  <w:footnote w:id="170">
    <w:p w14:paraId="6E187D28" w14:textId="7D3807A8" w:rsidR="00CF2230" w:rsidRPr="00A11EB0" w:rsidRDefault="00CF2230" w:rsidP="00A469EA">
      <w:pPr>
        <w:pStyle w:val="FootnoteText"/>
        <w:rPr>
          <w:rFonts w:cstheme="minorHAnsi"/>
          <w:sz w:val="16"/>
          <w:szCs w:val="16"/>
          <w:lang w:val="en-AU"/>
        </w:rPr>
      </w:pPr>
      <w:r w:rsidRPr="00A11EB0">
        <w:rPr>
          <w:rStyle w:val="FootnoteReference"/>
          <w:rFonts w:cstheme="minorHAnsi"/>
          <w:sz w:val="16"/>
          <w:szCs w:val="16"/>
        </w:rPr>
        <w:footnoteRef/>
      </w:r>
      <w:r w:rsidRPr="00A11EB0">
        <w:rPr>
          <w:rFonts w:cstheme="minorHAnsi"/>
          <w:sz w:val="16"/>
          <w:szCs w:val="16"/>
        </w:rPr>
        <w:t xml:space="preserve"> </w:t>
      </w:r>
      <w:hyperlink r:id="rId161" w:history="1">
        <w:r w:rsidRPr="00A11EB0">
          <w:rPr>
            <w:rStyle w:val="Hyperlink"/>
            <w:rFonts w:cstheme="minorHAnsi"/>
            <w:sz w:val="16"/>
            <w:szCs w:val="16"/>
          </w:rPr>
          <w:t>https://www.transport.nsw.gov.au/sites/default/files/media/documents/2017/nsw-rail-access-undertaking.pdf</w:t>
        </w:r>
      </w:hyperlink>
      <w:r w:rsidRPr="00A11EB0">
        <w:rPr>
          <w:rFonts w:cstheme="minorHAnsi"/>
          <w:sz w:val="16"/>
          <w:szCs w:val="16"/>
        </w:rPr>
        <w:t xml:space="preserve"> schedule 3</w:t>
      </w:r>
    </w:p>
  </w:footnote>
  <w:footnote w:id="171">
    <w:p w14:paraId="771F9612" w14:textId="048C1246" w:rsidR="00A11EB0" w:rsidRPr="00A11EB0" w:rsidRDefault="00A11EB0">
      <w:pPr>
        <w:pStyle w:val="FootnoteText"/>
        <w:rPr>
          <w:lang w:val="en-AU"/>
        </w:rPr>
      </w:pPr>
      <w:r w:rsidRPr="00A11EB0">
        <w:rPr>
          <w:rStyle w:val="FootnoteReference"/>
          <w:sz w:val="16"/>
          <w:szCs w:val="16"/>
        </w:rPr>
        <w:footnoteRef/>
      </w:r>
      <w:r w:rsidRPr="00A11EB0">
        <w:rPr>
          <w:sz w:val="16"/>
          <w:szCs w:val="16"/>
        </w:rPr>
        <w:t xml:space="preserve"> </w:t>
      </w:r>
      <w:hyperlink r:id="rId162" w:history="1">
        <w:r w:rsidRPr="00A11EB0">
          <w:rPr>
            <w:rStyle w:val="Hyperlink"/>
            <w:sz w:val="16"/>
            <w:szCs w:val="16"/>
          </w:rPr>
          <w:t>https://www.thejadebeagle.com/policy-spad.html</w:t>
        </w:r>
      </w:hyperlink>
      <w:r w:rsidRPr="00A11EB0">
        <w:rPr>
          <w:sz w:val="16"/>
          <w:szCs w:val="16"/>
        </w:rPr>
        <w:t xml:space="preserve"> section 4.1.</w:t>
      </w:r>
    </w:p>
  </w:footnote>
  <w:footnote w:id="172">
    <w:p w14:paraId="19951ACD" w14:textId="57739FF0" w:rsidR="007B7CF6" w:rsidRPr="00A559C1" w:rsidRDefault="007B7CF6">
      <w:pPr>
        <w:pStyle w:val="FootnoteText"/>
        <w:rPr>
          <w:sz w:val="16"/>
          <w:szCs w:val="16"/>
        </w:rPr>
      </w:pPr>
      <w:r w:rsidRPr="00A559C1">
        <w:rPr>
          <w:rStyle w:val="FootnoteReference"/>
          <w:sz w:val="16"/>
          <w:szCs w:val="16"/>
        </w:rPr>
        <w:footnoteRef/>
      </w:r>
      <w:r w:rsidRPr="00A559C1">
        <w:rPr>
          <w:sz w:val="16"/>
          <w:szCs w:val="16"/>
        </w:rPr>
        <w:t xml:space="preserve"> </w:t>
      </w:r>
      <w:hyperlink r:id="rId163" w:history="1">
        <w:r w:rsidRPr="00A559C1">
          <w:rPr>
            <w:rStyle w:val="Hyperlink"/>
            <w:sz w:val="16"/>
            <w:szCs w:val="16"/>
          </w:rPr>
          <w:t>https://www.parliament.nsw.gov.au/lcdocs/transcripts/2784/Transcript%20-%20Uncorrected%20-%2016%20December%202021.pdf</w:t>
        </w:r>
      </w:hyperlink>
    </w:p>
    <w:p w14:paraId="2376900B" w14:textId="77777777" w:rsidR="007B7CF6" w:rsidRPr="00A559C1" w:rsidRDefault="007B7CF6">
      <w:pPr>
        <w:pStyle w:val="FootnoteText"/>
        <w:rPr>
          <w:sz w:val="16"/>
          <w:szCs w:val="16"/>
          <w:lang w:val="en-AU"/>
        </w:rPr>
      </w:pPr>
    </w:p>
  </w:footnote>
  <w:footnote w:id="173">
    <w:p w14:paraId="34072B12" w14:textId="77777777" w:rsidR="00F468CF" w:rsidRPr="00874FBF" w:rsidRDefault="00F468CF" w:rsidP="00F468CF">
      <w:pPr>
        <w:spacing w:after="0"/>
        <w:rPr>
          <w:rFonts w:cstheme="minorHAnsi"/>
          <w:i/>
          <w:iCs/>
          <w:sz w:val="16"/>
          <w:szCs w:val="16"/>
          <w:lang w:val="en-AU" w:eastAsia="en-AU"/>
        </w:rPr>
      </w:pPr>
      <w:r w:rsidRPr="00874FBF">
        <w:rPr>
          <w:rStyle w:val="FootnoteReference"/>
          <w:rFonts w:cstheme="minorHAnsi"/>
          <w:sz w:val="16"/>
          <w:szCs w:val="16"/>
        </w:rPr>
        <w:footnoteRef/>
      </w:r>
      <w:r w:rsidRPr="00874FBF">
        <w:rPr>
          <w:rFonts w:cstheme="minorHAnsi"/>
          <w:sz w:val="16"/>
          <w:szCs w:val="16"/>
        </w:rPr>
        <w:t xml:space="preserve"> </w:t>
      </w:r>
      <w:r w:rsidRPr="00874FBF">
        <w:rPr>
          <w:rFonts w:cstheme="minorHAnsi"/>
          <w:i/>
          <w:iCs/>
          <w:sz w:val="16"/>
          <w:szCs w:val="16"/>
          <w:lang w:val="en-AU" w:eastAsia="en-AU"/>
        </w:rPr>
        <w:t>36A   Objectives of Sydney Trains</w:t>
      </w:r>
    </w:p>
    <w:p w14:paraId="120C326D" w14:textId="77777777" w:rsidR="00F468CF" w:rsidRPr="00874FBF" w:rsidRDefault="00F468CF" w:rsidP="00F468CF">
      <w:pPr>
        <w:spacing w:after="0"/>
        <w:ind w:left="720"/>
        <w:rPr>
          <w:rFonts w:cstheme="minorHAnsi"/>
          <w:i/>
          <w:iCs/>
          <w:sz w:val="16"/>
          <w:szCs w:val="16"/>
          <w:lang w:val="en-AU" w:eastAsia="en-AU"/>
        </w:rPr>
      </w:pPr>
      <w:r w:rsidRPr="00874FBF">
        <w:rPr>
          <w:rFonts w:cstheme="minorHAnsi"/>
          <w:i/>
          <w:iCs/>
          <w:sz w:val="16"/>
          <w:szCs w:val="16"/>
          <w:lang w:val="en-AU" w:eastAsia="en-AU"/>
        </w:rPr>
        <w:t>(1)  The principal objective of Sydney Trains is to deliver safe and reliable railway passenger services in an efficient, effective and financially responsible manner.</w:t>
      </w:r>
    </w:p>
    <w:p w14:paraId="78F72DC0" w14:textId="77777777" w:rsidR="00F468CF" w:rsidRPr="00874FBF" w:rsidRDefault="00F468CF" w:rsidP="00F468CF">
      <w:pPr>
        <w:spacing w:after="0"/>
        <w:ind w:firstLine="720"/>
        <w:rPr>
          <w:rFonts w:cstheme="minorHAnsi"/>
          <w:i/>
          <w:iCs/>
          <w:sz w:val="16"/>
          <w:szCs w:val="16"/>
          <w:lang w:val="en-AU" w:eastAsia="en-AU"/>
        </w:rPr>
      </w:pPr>
      <w:r w:rsidRPr="00874FBF">
        <w:rPr>
          <w:rFonts w:cstheme="minorHAnsi"/>
          <w:i/>
          <w:iCs/>
          <w:sz w:val="16"/>
          <w:szCs w:val="16"/>
          <w:lang w:val="en-AU" w:eastAsia="en-AU"/>
        </w:rPr>
        <w:t>(2)  The other objectives of Sydney Trains are as follows—</w:t>
      </w:r>
    </w:p>
    <w:p w14:paraId="3DA31AC2" w14:textId="77777777" w:rsidR="00F468CF" w:rsidRPr="00874FBF" w:rsidRDefault="00F468CF" w:rsidP="00F468CF">
      <w:pPr>
        <w:spacing w:after="0"/>
        <w:ind w:firstLine="720"/>
        <w:rPr>
          <w:rFonts w:cstheme="minorHAnsi"/>
          <w:i/>
          <w:iCs/>
          <w:sz w:val="16"/>
          <w:szCs w:val="16"/>
          <w:lang w:val="en-AU" w:eastAsia="en-AU"/>
        </w:rPr>
      </w:pPr>
      <w:r w:rsidRPr="00874FBF">
        <w:rPr>
          <w:rFonts w:cstheme="minorHAnsi"/>
          <w:i/>
          <w:iCs/>
          <w:sz w:val="16"/>
          <w:szCs w:val="16"/>
          <w:lang w:val="en-AU" w:eastAsia="en-AU"/>
        </w:rPr>
        <w:t>(a)  to be a successful business and, to that end—</w:t>
      </w:r>
    </w:p>
    <w:p w14:paraId="35464FA1" w14:textId="77777777" w:rsidR="00F468CF" w:rsidRPr="00874FBF" w:rsidRDefault="00F468CF" w:rsidP="00F468CF">
      <w:pPr>
        <w:spacing w:after="0"/>
        <w:ind w:firstLine="720"/>
        <w:rPr>
          <w:rFonts w:cstheme="minorHAnsi"/>
          <w:i/>
          <w:iCs/>
          <w:sz w:val="16"/>
          <w:szCs w:val="16"/>
          <w:lang w:val="en-AU" w:eastAsia="en-AU"/>
        </w:rPr>
      </w:pPr>
      <w:r w:rsidRPr="00874FBF">
        <w:rPr>
          <w:rFonts w:cstheme="minorHAnsi"/>
          <w:i/>
          <w:iCs/>
          <w:sz w:val="16"/>
          <w:szCs w:val="16"/>
          <w:lang w:val="en-AU" w:eastAsia="en-AU"/>
        </w:rPr>
        <w:t>(i)  to operate at least as efficiently as any comparable business, and</w:t>
      </w:r>
    </w:p>
    <w:p w14:paraId="6569B472" w14:textId="77777777" w:rsidR="00F468CF" w:rsidRPr="00874FBF" w:rsidRDefault="00F468CF" w:rsidP="00F468CF">
      <w:pPr>
        <w:pStyle w:val="FootnoteText"/>
        <w:ind w:firstLine="720"/>
        <w:rPr>
          <w:rFonts w:cstheme="minorHAnsi"/>
          <w:sz w:val="16"/>
          <w:szCs w:val="16"/>
        </w:rPr>
      </w:pPr>
      <w:r w:rsidRPr="00874FBF">
        <w:rPr>
          <w:rFonts w:cstheme="minorHAnsi"/>
          <w:i/>
          <w:iCs/>
          <w:sz w:val="16"/>
          <w:szCs w:val="16"/>
          <w:lang w:val="en-AU" w:eastAsia="en-AU"/>
        </w:rPr>
        <w:t>(ii)  to maximise the net worth of the State’s investment in Sydney Trains</w:t>
      </w:r>
      <w:r w:rsidRPr="00874FBF">
        <w:rPr>
          <w:rFonts w:cstheme="minorHAnsi"/>
          <w:sz w:val="16"/>
          <w:szCs w:val="16"/>
        </w:rPr>
        <w:t xml:space="preserve"> </w:t>
      </w:r>
      <w:hyperlink r:id="rId164" w:anchor="sec.36A" w:history="1">
        <w:r w:rsidRPr="00874FBF">
          <w:rPr>
            <w:rStyle w:val="Hyperlink"/>
            <w:rFonts w:cstheme="minorHAnsi"/>
            <w:sz w:val="16"/>
            <w:szCs w:val="16"/>
          </w:rPr>
          <w:t>https://legislation.nsw.gov.au/view/html/inforce/current/act-1988-109#sec.36A</w:t>
        </w:r>
      </w:hyperlink>
    </w:p>
    <w:p w14:paraId="233C54E7" w14:textId="77777777" w:rsidR="00F468CF" w:rsidRPr="00874FBF" w:rsidRDefault="00F468CF" w:rsidP="00F468CF">
      <w:pPr>
        <w:pStyle w:val="FootnoteText"/>
        <w:rPr>
          <w:rFonts w:cstheme="minorHAnsi"/>
          <w:sz w:val="16"/>
          <w:szCs w:val="16"/>
          <w:lang w:val="en-AU"/>
        </w:rPr>
      </w:pPr>
    </w:p>
  </w:footnote>
  <w:footnote w:id="174">
    <w:p w14:paraId="2515AB33" w14:textId="365C738E" w:rsidR="00F468CF" w:rsidRPr="00874FBF" w:rsidRDefault="00F468CF">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Pr="00874FBF">
        <w:rPr>
          <w:rFonts w:cstheme="minorHAnsi"/>
          <w:sz w:val="16"/>
          <w:szCs w:val="16"/>
          <w:lang w:val="en-AU"/>
        </w:rPr>
        <w:t xml:space="preserve">See </w:t>
      </w:r>
      <w:r w:rsidR="0080217B" w:rsidRPr="00874FBF">
        <w:rPr>
          <w:rFonts w:cstheme="minorHAnsi"/>
          <w:sz w:val="16"/>
          <w:szCs w:val="16"/>
          <w:lang w:val="en-AU"/>
        </w:rPr>
        <w:t>note 52.</w:t>
      </w:r>
    </w:p>
    <w:p w14:paraId="0CE94883" w14:textId="77777777" w:rsidR="00F468CF" w:rsidRPr="00874FBF" w:rsidRDefault="00F468CF">
      <w:pPr>
        <w:pStyle w:val="FootnoteText"/>
        <w:rPr>
          <w:rFonts w:cstheme="minorHAnsi"/>
          <w:sz w:val="16"/>
          <w:szCs w:val="16"/>
          <w:lang w:val="en-AU"/>
        </w:rPr>
      </w:pPr>
    </w:p>
  </w:footnote>
  <w:footnote w:id="175">
    <w:p w14:paraId="461108FA" w14:textId="341FBC05" w:rsidR="008471F9" w:rsidRPr="00874FBF" w:rsidRDefault="008471F9"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0009154E" w:rsidRPr="00874FBF">
        <w:rPr>
          <w:rFonts w:cstheme="minorHAnsi"/>
          <w:sz w:val="16"/>
          <w:szCs w:val="16"/>
        </w:rPr>
        <w:t>Note 44 at s</w:t>
      </w:r>
      <w:r w:rsidRPr="00874FBF">
        <w:rPr>
          <w:rFonts w:cstheme="minorHAnsi"/>
          <w:sz w:val="16"/>
          <w:szCs w:val="16"/>
          <w:lang w:val="en-AU"/>
        </w:rPr>
        <w:t>.3G</w:t>
      </w:r>
    </w:p>
    <w:p w14:paraId="0D45DC73" w14:textId="77777777" w:rsidR="0009154E" w:rsidRPr="00874FBF" w:rsidRDefault="0009154E" w:rsidP="00A469EA">
      <w:pPr>
        <w:pStyle w:val="FootnoteText"/>
        <w:rPr>
          <w:rFonts w:cstheme="minorHAnsi"/>
          <w:sz w:val="16"/>
          <w:szCs w:val="16"/>
          <w:lang w:val="en-AU"/>
        </w:rPr>
      </w:pPr>
    </w:p>
  </w:footnote>
  <w:footnote w:id="176">
    <w:p w14:paraId="77A0DB0A" w14:textId="09C1FB2D" w:rsidR="001447BC" w:rsidRPr="00874FBF" w:rsidRDefault="001447BC">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Pr="00874FBF">
        <w:rPr>
          <w:rFonts w:cstheme="minorHAnsi"/>
          <w:sz w:val="16"/>
          <w:szCs w:val="16"/>
          <w:lang w:val="en-AU"/>
        </w:rPr>
        <w:t xml:space="preserve">Asset value at say </w:t>
      </w:r>
      <w:r w:rsidR="00C62628" w:rsidRPr="00874FBF">
        <w:rPr>
          <w:rFonts w:cstheme="minorHAnsi"/>
          <w:sz w:val="16"/>
          <w:szCs w:val="16"/>
          <w:lang w:val="en-AU"/>
        </w:rPr>
        <w:t xml:space="preserve">TfNSW books at $44.8bn.  If ceiling rate of return was 5%, necessary profit is $2.4bn pa.   To this add efficient costs of maintenance and train control, say $600m, necessary access charges are $3.0bn pa.  </w:t>
      </w:r>
      <w:r w:rsidR="00B00F5C" w:rsidRPr="00874FBF">
        <w:rPr>
          <w:rFonts w:cstheme="minorHAnsi"/>
          <w:sz w:val="16"/>
          <w:szCs w:val="16"/>
          <w:lang w:val="en-AU"/>
        </w:rPr>
        <w:t>There is no depreciation as there is infinite system life and no degradation.</w:t>
      </w:r>
    </w:p>
    <w:p w14:paraId="71CDB43A" w14:textId="77777777" w:rsidR="00B00F5C" w:rsidRPr="00874FBF" w:rsidRDefault="00B00F5C">
      <w:pPr>
        <w:pStyle w:val="FootnoteText"/>
        <w:rPr>
          <w:rFonts w:cstheme="minorHAnsi"/>
          <w:sz w:val="16"/>
          <w:szCs w:val="16"/>
          <w:lang w:val="en-AU"/>
        </w:rPr>
      </w:pPr>
    </w:p>
  </w:footnote>
  <w:footnote w:id="177">
    <w:p w14:paraId="2B9B2D13" w14:textId="61F325A9" w:rsidR="00415D05" w:rsidRPr="00874FBF" w:rsidRDefault="00415D05"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00A559C1">
        <w:rPr>
          <w:rFonts w:cstheme="minorHAnsi"/>
          <w:sz w:val="16"/>
          <w:szCs w:val="16"/>
        </w:rPr>
        <w:t>KPMG r</w:t>
      </w:r>
      <w:r w:rsidR="0009154E" w:rsidRPr="00874FBF">
        <w:rPr>
          <w:rFonts w:cstheme="minorHAnsi"/>
          <w:sz w:val="16"/>
          <w:szCs w:val="16"/>
        </w:rPr>
        <w:t xml:space="preserve">eport </w:t>
      </w:r>
      <w:r w:rsidR="00CB75EE">
        <w:rPr>
          <w:rFonts w:cstheme="minorHAnsi"/>
          <w:sz w:val="16"/>
          <w:szCs w:val="16"/>
        </w:rPr>
        <w:t xml:space="preserve">p.18, </w:t>
      </w:r>
      <w:r w:rsidRPr="00874FBF">
        <w:rPr>
          <w:rFonts w:cstheme="minorHAnsi"/>
          <w:sz w:val="16"/>
          <w:szCs w:val="16"/>
          <w:lang w:val="en-AU"/>
        </w:rPr>
        <w:t>66-67.</w:t>
      </w:r>
    </w:p>
    <w:p w14:paraId="08600DAE" w14:textId="77777777" w:rsidR="0009154E" w:rsidRPr="00874FBF" w:rsidRDefault="0009154E" w:rsidP="00A469EA">
      <w:pPr>
        <w:pStyle w:val="FootnoteText"/>
        <w:rPr>
          <w:rFonts w:cstheme="minorHAnsi"/>
          <w:sz w:val="16"/>
          <w:szCs w:val="16"/>
          <w:lang w:val="en-AU"/>
        </w:rPr>
      </w:pPr>
    </w:p>
  </w:footnote>
  <w:footnote w:id="178">
    <w:p w14:paraId="68E3AD5C" w14:textId="2B164387" w:rsidR="00415D05" w:rsidRPr="00874FBF" w:rsidRDefault="00415D05"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00CB75EE">
        <w:rPr>
          <w:rFonts w:cstheme="minorHAnsi"/>
          <w:sz w:val="16"/>
          <w:szCs w:val="16"/>
        </w:rPr>
        <w:t>KPMG r</w:t>
      </w:r>
      <w:r w:rsidR="0009154E" w:rsidRPr="00874FBF">
        <w:rPr>
          <w:rFonts w:cstheme="minorHAnsi"/>
          <w:sz w:val="16"/>
          <w:szCs w:val="16"/>
        </w:rPr>
        <w:t xml:space="preserve">eport </w:t>
      </w:r>
      <w:r w:rsidR="00CB75EE">
        <w:rPr>
          <w:rFonts w:cstheme="minorHAnsi"/>
          <w:sz w:val="16"/>
          <w:szCs w:val="16"/>
        </w:rPr>
        <w:t xml:space="preserve">at </w:t>
      </w:r>
      <w:r w:rsidR="00AD7949" w:rsidRPr="00874FBF">
        <w:rPr>
          <w:rFonts w:cstheme="minorHAnsi"/>
          <w:sz w:val="16"/>
          <w:szCs w:val="16"/>
        </w:rPr>
        <w:t>p.</w:t>
      </w:r>
      <w:r w:rsidRPr="00874FBF">
        <w:rPr>
          <w:rFonts w:cstheme="minorHAnsi"/>
          <w:sz w:val="16"/>
          <w:szCs w:val="16"/>
          <w:lang w:val="en-AU"/>
        </w:rPr>
        <w:t>27</w:t>
      </w:r>
      <w:r w:rsidR="00CB75EE">
        <w:rPr>
          <w:rFonts w:cstheme="minorHAnsi"/>
          <w:sz w:val="16"/>
          <w:szCs w:val="16"/>
          <w:lang w:val="en-AU"/>
        </w:rPr>
        <w:t>.</w:t>
      </w:r>
    </w:p>
    <w:p w14:paraId="7A0CE3B6" w14:textId="77777777" w:rsidR="00AD7949" w:rsidRPr="00874FBF" w:rsidRDefault="00AD7949" w:rsidP="00A469EA">
      <w:pPr>
        <w:pStyle w:val="FootnoteText"/>
        <w:rPr>
          <w:rFonts w:cstheme="minorHAnsi"/>
          <w:sz w:val="16"/>
          <w:szCs w:val="16"/>
          <w:lang w:val="en-AU"/>
        </w:rPr>
      </w:pPr>
    </w:p>
  </w:footnote>
  <w:footnote w:id="179">
    <w:p w14:paraId="3540FFD5" w14:textId="10296537" w:rsidR="00AD7949" w:rsidRPr="00874FBF" w:rsidRDefault="00AD7949" w:rsidP="00A469EA">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r w:rsidRPr="00874FBF">
        <w:rPr>
          <w:rFonts w:cstheme="minorHAnsi"/>
          <w:sz w:val="16"/>
          <w:szCs w:val="16"/>
          <w:lang w:val="en-AU"/>
        </w:rPr>
        <w:t>See note 33</w:t>
      </w:r>
      <w:r w:rsidR="00CB75EE">
        <w:rPr>
          <w:rFonts w:cstheme="minorHAnsi"/>
          <w:sz w:val="16"/>
          <w:szCs w:val="16"/>
          <w:lang w:val="en-AU"/>
        </w:rPr>
        <w:t>.</w:t>
      </w:r>
    </w:p>
    <w:p w14:paraId="5C4EACF0" w14:textId="77777777" w:rsidR="00B90FCA" w:rsidRPr="00874FBF" w:rsidRDefault="00B90FCA" w:rsidP="00A469EA">
      <w:pPr>
        <w:pStyle w:val="FootnoteText"/>
        <w:rPr>
          <w:rFonts w:cstheme="minorHAnsi"/>
          <w:sz w:val="16"/>
          <w:szCs w:val="16"/>
          <w:lang w:val="en-AU"/>
        </w:rPr>
      </w:pPr>
    </w:p>
  </w:footnote>
  <w:footnote w:id="180">
    <w:p w14:paraId="3020EC0B" w14:textId="092E72C8" w:rsidR="00F92742" w:rsidRPr="00874FBF" w:rsidRDefault="00F92742">
      <w:pPr>
        <w:pStyle w:val="FootnoteText"/>
        <w:rPr>
          <w:rFonts w:cstheme="minorHAnsi"/>
          <w:sz w:val="16"/>
          <w:szCs w:val="16"/>
          <w:lang w:val="en-AU"/>
        </w:rPr>
      </w:pPr>
      <w:r w:rsidRPr="00874FBF">
        <w:rPr>
          <w:rStyle w:val="FootnoteReference"/>
          <w:rFonts w:cstheme="minorHAnsi"/>
          <w:sz w:val="16"/>
          <w:szCs w:val="16"/>
        </w:rPr>
        <w:footnoteRef/>
      </w:r>
      <w:r w:rsidRPr="00874FBF">
        <w:rPr>
          <w:rFonts w:cstheme="minorHAnsi"/>
          <w:sz w:val="16"/>
          <w:szCs w:val="16"/>
        </w:rPr>
        <w:t xml:space="preserve"> </w:t>
      </w:r>
      <w:hyperlink r:id="rId165" w:history="1">
        <w:r w:rsidR="00B90FCA" w:rsidRPr="00874FBF">
          <w:rPr>
            <w:rStyle w:val="Hyperlink"/>
            <w:rFonts w:cstheme="minorHAnsi"/>
            <w:sz w:val="16"/>
            <w:szCs w:val="16"/>
          </w:rPr>
          <w:t>https://www.ipart.nsw.gov.au/sites/default/files/cm9_documents/NSW-Rail-Access-Undertaking-%28original%29.PDF</w:t>
        </w:r>
      </w:hyperlink>
      <w:r w:rsidR="00B90FCA" w:rsidRPr="00874FBF">
        <w:rPr>
          <w:rFonts w:cstheme="minorHAnsi"/>
          <w:sz w:val="16"/>
          <w:szCs w:val="16"/>
        </w:rPr>
        <w:t xml:space="preserve">  at clause 4.d</w:t>
      </w:r>
    </w:p>
  </w:footnote>
  <w:footnote w:id="181">
    <w:p w14:paraId="3E1B9D31" w14:textId="77777777" w:rsidR="000D0832" w:rsidRPr="00874FBF" w:rsidRDefault="000D0832">
      <w:pPr>
        <w:pStyle w:val="FootnoteText"/>
        <w:rPr>
          <w:rFonts w:cstheme="minorHAnsi"/>
          <w:sz w:val="16"/>
          <w:szCs w:val="16"/>
        </w:rPr>
      </w:pPr>
    </w:p>
    <w:p w14:paraId="5E89DBEE" w14:textId="58E3B392" w:rsidR="00B90FCA" w:rsidRPr="00874FBF" w:rsidRDefault="00B90FCA">
      <w:pPr>
        <w:pStyle w:val="FootnoteText"/>
        <w:rPr>
          <w:rFonts w:cstheme="minorHAnsi"/>
          <w:sz w:val="16"/>
          <w:szCs w:val="16"/>
        </w:rPr>
      </w:pPr>
      <w:r w:rsidRPr="00874FBF">
        <w:rPr>
          <w:rStyle w:val="FootnoteReference"/>
          <w:rFonts w:cstheme="minorHAnsi"/>
          <w:sz w:val="16"/>
          <w:szCs w:val="16"/>
        </w:rPr>
        <w:footnoteRef/>
      </w:r>
      <w:r w:rsidRPr="00874FBF">
        <w:rPr>
          <w:rFonts w:cstheme="minorHAnsi"/>
          <w:sz w:val="16"/>
          <w:szCs w:val="16"/>
        </w:rPr>
        <w:t xml:space="preserve"> </w:t>
      </w:r>
      <w:r w:rsidR="00CB75EE">
        <w:rPr>
          <w:rFonts w:cstheme="minorHAnsi"/>
          <w:sz w:val="16"/>
          <w:szCs w:val="16"/>
        </w:rPr>
        <w:t xml:space="preserve">See noted 152 and </w:t>
      </w:r>
      <w:hyperlink r:id="rId166" w:history="1">
        <w:r w:rsidR="00A45529" w:rsidRPr="00B1597F">
          <w:rPr>
            <w:rStyle w:val="Hyperlink"/>
            <w:rFonts w:cstheme="minorHAnsi"/>
            <w:sz w:val="16"/>
            <w:szCs w:val="16"/>
          </w:rPr>
          <w:t>https://www.parliament.nsw.gov.au/lcdocs/transcripts/2768/Transcript%20-%20TAHE%20-%20Uncorrected%20-%208%20November%202021.pdf</w:t>
        </w:r>
      </w:hyperlink>
      <w:r w:rsidR="000D0832" w:rsidRPr="00874FBF">
        <w:rPr>
          <w:rFonts w:cstheme="minorHAnsi"/>
          <w:sz w:val="16"/>
          <w:szCs w:val="16"/>
        </w:rPr>
        <w:t xml:space="preserve"> at </w:t>
      </w:r>
      <w:r w:rsidR="00DF5228" w:rsidRPr="00874FBF">
        <w:rPr>
          <w:rFonts w:cstheme="minorHAnsi"/>
          <w:sz w:val="16"/>
          <w:szCs w:val="16"/>
        </w:rPr>
        <w:t>e.g.,</w:t>
      </w:r>
      <w:r w:rsidR="000D0832" w:rsidRPr="00874FBF">
        <w:rPr>
          <w:rFonts w:cstheme="minorHAnsi"/>
          <w:sz w:val="16"/>
          <w:szCs w:val="16"/>
        </w:rPr>
        <w:t xml:space="preserve"> p.39</w:t>
      </w:r>
    </w:p>
    <w:p w14:paraId="606953B3" w14:textId="77777777" w:rsidR="000D0832" w:rsidRPr="00B90FCA" w:rsidRDefault="000D0832">
      <w:pPr>
        <w:pStyle w:val="FootnoteText"/>
        <w:rPr>
          <w:lang w:val="en-AU"/>
        </w:rPr>
      </w:pPr>
    </w:p>
  </w:footnote>
  <w:footnote w:id="182">
    <w:p w14:paraId="4002DD49" w14:textId="77777777" w:rsidR="009A300F" w:rsidRPr="00264F6E" w:rsidRDefault="009A300F" w:rsidP="009A300F">
      <w:pPr>
        <w:pStyle w:val="FootnoteText"/>
        <w:rPr>
          <w:sz w:val="16"/>
          <w:szCs w:val="16"/>
        </w:rPr>
      </w:pPr>
      <w:r w:rsidRPr="00264F6E">
        <w:rPr>
          <w:rStyle w:val="FootnoteReference"/>
          <w:sz w:val="16"/>
          <w:szCs w:val="16"/>
        </w:rPr>
        <w:footnoteRef/>
      </w:r>
      <w:r w:rsidRPr="00264F6E">
        <w:rPr>
          <w:sz w:val="16"/>
          <w:szCs w:val="16"/>
        </w:rPr>
        <w:t xml:space="preserve"> </w:t>
      </w:r>
      <w:hyperlink r:id="rId167" w:history="1">
        <w:r w:rsidRPr="00264F6E">
          <w:rPr>
            <w:rStyle w:val="Hyperlink"/>
            <w:sz w:val="16"/>
            <w:szCs w:val="16"/>
          </w:rPr>
          <w:t>https://www.bitre.gov.au/sites/default/files/sp_002_pittfalls_in_competitve_tendering.pdf</w:t>
        </w:r>
      </w:hyperlink>
    </w:p>
    <w:p w14:paraId="48F01921" w14:textId="77777777" w:rsidR="009A300F" w:rsidRPr="00264F6E" w:rsidRDefault="009A300F" w:rsidP="009A300F">
      <w:pPr>
        <w:pStyle w:val="FootnoteText"/>
        <w:rPr>
          <w:sz w:val="16"/>
          <w:szCs w:val="16"/>
          <w:lang w:val="en-AU"/>
        </w:rPr>
      </w:pPr>
      <w:r w:rsidRPr="00264F6E">
        <w:rPr>
          <w:sz w:val="16"/>
          <w:szCs w:val="16"/>
          <w:lang w:val="en-AU"/>
        </w:rPr>
        <w:t xml:space="preserve">The failure of the Treasury franchising model is outlined by Mees at e.g. </w:t>
      </w:r>
      <w:hyperlink r:id="rId168" w:history="1">
        <w:r w:rsidRPr="00264F6E">
          <w:rPr>
            <w:rStyle w:val="Hyperlink"/>
            <w:sz w:val="16"/>
            <w:szCs w:val="16"/>
            <w:lang w:val="en-AU"/>
          </w:rPr>
          <w:t>https://apo.org.au/sites/default/files/resource-files/apo-nid309595.pdf</w:t>
        </w:r>
      </w:hyperlink>
      <w:r w:rsidRPr="00264F6E">
        <w:rPr>
          <w:sz w:val="16"/>
          <w:szCs w:val="16"/>
          <w:lang w:val="en-AU"/>
        </w:rPr>
        <w:t xml:space="preserve"> and the Audit Office: </w:t>
      </w:r>
      <w:hyperlink r:id="rId169" w:history="1">
        <w:r w:rsidRPr="00264F6E">
          <w:rPr>
            <w:rStyle w:val="Hyperlink"/>
            <w:sz w:val="16"/>
            <w:szCs w:val="16"/>
            <w:lang w:val="en-AU"/>
          </w:rPr>
          <w:t>https://www.parliament.vic.gov.au/papers/govpub/VPARL2003-06No154.pdf</w:t>
        </w:r>
      </w:hyperlink>
      <w:r w:rsidRPr="00264F6E">
        <w:rPr>
          <w:sz w:val="16"/>
          <w:szCs w:val="16"/>
          <w:lang w:val="en-AU"/>
        </w:rPr>
        <w:t xml:space="preserve"> </w:t>
      </w:r>
    </w:p>
    <w:p w14:paraId="3E00D823" w14:textId="77777777" w:rsidR="009A300F" w:rsidRPr="00264F6E" w:rsidRDefault="009A300F" w:rsidP="009A300F">
      <w:pPr>
        <w:pStyle w:val="FootnoteText"/>
        <w:rPr>
          <w:sz w:val="16"/>
          <w:szCs w:val="16"/>
          <w:lang w:val="en-AU"/>
        </w:rPr>
      </w:pPr>
    </w:p>
  </w:footnote>
  <w:footnote w:id="183">
    <w:p w14:paraId="3065D9A8" w14:textId="1A29BE39" w:rsidR="00DC5305" w:rsidRPr="00264F6E" w:rsidRDefault="00DC5305" w:rsidP="00DC5305">
      <w:pPr>
        <w:pStyle w:val="FootnoteText"/>
        <w:rPr>
          <w:sz w:val="16"/>
          <w:szCs w:val="16"/>
        </w:rPr>
      </w:pPr>
      <w:r w:rsidRPr="00264F6E">
        <w:rPr>
          <w:rStyle w:val="FootnoteReference"/>
          <w:sz w:val="16"/>
          <w:szCs w:val="16"/>
        </w:rPr>
        <w:footnoteRef/>
      </w:r>
      <w:r w:rsidRPr="00264F6E">
        <w:rPr>
          <w:sz w:val="16"/>
          <w:szCs w:val="16"/>
        </w:rPr>
        <w:t xml:space="preserve"> </w:t>
      </w:r>
      <w:hyperlink r:id="rId170" w:history="1">
        <w:r w:rsidR="00264F6E" w:rsidRPr="00264F6E">
          <w:rPr>
            <w:rStyle w:val="Hyperlink"/>
            <w:sz w:val="16"/>
            <w:szCs w:val="16"/>
          </w:rPr>
          <w:t>https://www.thejadebeagle.com/policy-spad.html at section 6</w:t>
        </w:r>
      </w:hyperlink>
      <w:r w:rsidRPr="00264F6E">
        <w:rPr>
          <w:sz w:val="16"/>
          <w:szCs w:val="16"/>
        </w:rPr>
        <w:t>.</w:t>
      </w:r>
    </w:p>
    <w:p w14:paraId="5E3E8475" w14:textId="77777777" w:rsidR="00264F6E" w:rsidRPr="00264F6E" w:rsidRDefault="00264F6E" w:rsidP="00DC5305">
      <w:pPr>
        <w:pStyle w:val="FootnoteText"/>
        <w:rPr>
          <w:sz w:val="16"/>
          <w:szCs w:val="16"/>
          <w:lang w:val="en-AU"/>
        </w:rPr>
      </w:pPr>
    </w:p>
  </w:footnote>
  <w:footnote w:id="184">
    <w:p w14:paraId="3F87C30C" w14:textId="618B2A00" w:rsidR="00264F6E" w:rsidRPr="00264F6E" w:rsidRDefault="00264F6E">
      <w:pPr>
        <w:pStyle w:val="FootnoteText"/>
        <w:rPr>
          <w:sz w:val="16"/>
          <w:szCs w:val="16"/>
        </w:rPr>
      </w:pPr>
      <w:r w:rsidRPr="00264F6E">
        <w:rPr>
          <w:rStyle w:val="FootnoteReference"/>
          <w:sz w:val="16"/>
          <w:szCs w:val="16"/>
        </w:rPr>
        <w:footnoteRef/>
      </w:r>
      <w:r w:rsidRPr="00264F6E">
        <w:rPr>
          <w:sz w:val="16"/>
          <w:szCs w:val="16"/>
        </w:rPr>
        <w:t xml:space="preserve"> </w:t>
      </w:r>
      <w:hyperlink r:id="rId171" w:history="1">
        <w:r w:rsidRPr="00264F6E">
          <w:rPr>
            <w:rStyle w:val="Hyperlink"/>
            <w:sz w:val="16"/>
            <w:szCs w:val="16"/>
          </w:rPr>
          <w:t>https://sustainable.unimelb.edu.au/__data/assets/pdf_file/0010/2756872/MSSI-IssuesPaper-8_StoneAshmoreKirk_2017.pdf</w:t>
        </w:r>
      </w:hyperlink>
    </w:p>
    <w:p w14:paraId="0BC282F5" w14:textId="77777777" w:rsidR="00264F6E" w:rsidRPr="00264F6E" w:rsidRDefault="00264F6E">
      <w:pPr>
        <w:pStyle w:val="FootnoteText"/>
        <w:rPr>
          <w:lang w:val="en-AU"/>
        </w:rPr>
      </w:pPr>
    </w:p>
  </w:footnote>
  <w:footnote w:id="185">
    <w:p w14:paraId="33221B54" w14:textId="56581E93" w:rsidR="00A73C08" w:rsidRPr="005D1220" w:rsidRDefault="00A73C08">
      <w:pPr>
        <w:pStyle w:val="FootnoteText"/>
        <w:rPr>
          <w:sz w:val="16"/>
          <w:szCs w:val="16"/>
        </w:rPr>
      </w:pPr>
      <w:r w:rsidRPr="00004B5D">
        <w:rPr>
          <w:rStyle w:val="FootnoteReference"/>
          <w:sz w:val="16"/>
          <w:szCs w:val="16"/>
        </w:rPr>
        <w:footnoteRef/>
      </w:r>
      <w:r w:rsidRPr="00004B5D">
        <w:rPr>
          <w:sz w:val="16"/>
          <w:szCs w:val="16"/>
        </w:rPr>
        <w:t xml:space="preserve"> </w:t>
      </w:r>
      <w:r w:rsidR="00604FF7" w:rsidRPr="00004B5D">
        <w:rPr>
          <w:sz w:val="16"/>
          <w:szCs w:val="16"/>
        </w:rPr>
        <w:t xml:space="preserve">See e.g. </w:t>
      </w:r>
      <w:hyperlink r:id="rId172" w:history="1">
        <w:r w:rsidR="00604FF7" w:rsidRPr="00004B5D">
          <w:rPr>
            <w:rStyle w:val="Hyperlink"/>
            <w:sz w:val="16"/>
            <w:szCs w:val="16"/>
          </w:rPr>
          <w:t>https://www.pc.gov.au/research/completed/government-trading-enterprises/perf9697/perf9697.pdf</w:t>
        </w:r>
      </w:hyperlink>
      <w:r w:rsidR="00004B5D" w:rsidRPr="00004B5D">
        <w:rPr>
          <w:sz w:val="16"/>
          <w:szCs w:val="16"/>
        </w:rPr>
        <w:t xml:space="preserve"> and the measured economic rate of return generally exceeding the accounting rate of return, with both below satisfactory levels for many government trading enterprises, in part due to Government not properly funding community services </w:t>
      </w:r>
      <w:r w:rsidR="00D34CB9" w:rsidRPr="00004B5D">
        <w:rPr>
          <w:sz w:val="16"/>
          <w:szCs w:val="16"/>
        </w:rPr>
        <w:t>e.g.</w:t>
      </w:r>
      <w:r w:rsidR="00004B5D" w:rsidRPr="00004B5D">
        <w:rPr>
          <w:sz w:val="16"/>
          <w:szCs w:val="16"/>
        </w:rPr>
        <w:t xml:space="preserve"> not including payment for an adequate return on assets needed for community services </w:t>
      </w:r>
      <w:hyperlink r:id="rId173" w:history="1">
        <w:r w:rsidR="00004B5D" w:rsidRPr="00004B5D">
          <w:rPr>
            <w:rStyle w:val="Hyperlink"/>
            <w:sz w:val="16"/>
            <w:szCs w:val="16"/>
          </w:rPr>
          <w:t>https://www.pc.gov.au/research/completed/gte0607/gte-2006-07.pdf</w:t>
        </w:r>
      </w:hyperlink>
      <w:r w:rsidR="00004B5D" w:rsidRPr="00004B5D">
        <w:rPr>
          <w:sz w:val="16"/>
          <w:szCs w:val="16"/>
        </w:rPr>
        <w:t xml:space="preserve">: </w:t>
      </w:r>
      <w:r w:rsidR="00004B5D" w:rsidRPr="00004B5D">
        <w:rPr>
          <w:i/>
          <w:iCs/>
          <w:sz w:val="16"/>
          <w:szCs w:val="16"/>
        </w:rPr>
        <w:t>‘</w:t>
      </w:r>
      <w:r w:rsidR="00004B5D" w:rsidRPr="00004B5D">
        <w:rPr>
          <w:i/>
          <w:iCs/>
          <w:sz w:val="16"/>
          <w:szCs w:val="16"/>
        </w:rPr>
        <w:t>• Inadequate funding for provision of CSOs affects a GTE’s financial performance and can result in inadequate or misallocated investment, price increases for non-CSO services, and/or lower quality service provision. • Poor profitability can lead to inadequate investment and asset maintenance, which can in turn reduce the future profitability of GTEs. Without a return to commercially sustainable operations, t</w:t>
      </w:r>
      <w:r w:rsidR="00004B5D" w:rsidRPr="005D1220">
        <w:rPr>
          <w:i/>
          <w:iCs/>
          <w:sz w:val="16"/>
          <w:szCs w:val="16"/>
        </w:rPr>
        <w:t>his cycle can persist.</w:t>
      </w:r>
      <w:r w:rsidR="00004B5D" w:rsidRPr="005D1220">
        <w:rPr>
          <w:i/>
          <w:iCs/>
          <w:sz w:val="16"/>
          <w:szCs w:val="16"/>
        </w:rPr>
        <w:t>’</w:t>
      </w:r>
    </w:p>
    <w:p w14:paraId="1A5A16B7" w14:textId="5552FBBE" w:rsidR="00004B5D" w:rsidRPr="005D1220" w:rsidRDefault="00011B08">
      <w:pPr>
        <w:pStyle w:val="FootnoteText"/>
        <w:rPr>
          <w:sz w:val="16"/>
          <w:szCs w:val="16"/>
        </w:rPr>
      </w:pPr>
      <w:r>
        <w:rPr>
          <w:sz w:val="16"/>
          <w:szCs w:val="16"/>
        </w:rPr>
        <w:t>Also of interest is</w:t>
      </w:r>
      <w:r w:rsidR="005D1220" w:rsidRPr="005D1220">
        <w:rPr>
          <w:sz w:val="16"/>
          <w:szCs w:val="16"/>
        </w:rPr>
        <w:t xml:space="preserve"> </w:t>
      </w:r>
      <w:hyperlink r:id="rId174" w:history="1">
        <w:r w:rsidR="005D1220" w:rsidRPr="005D1220">
          <w:rPr>
            <w:rStyle w:val="Hyperlink"/>
            <w:sz w:val="16"/>
            <w:szCs w:val="16"/>
          </w:rPr>
          <w:t>https://www.pc.gov.au/research/completed/government-trading-enterprises/gte0304/gte0304.pdf</w:t>
        </w:r>
        <w:r w:rsidR="005D1220" w:rsidRPr="005D1220">
          <w:rPr>
            <w:rStyle w:val="Hyperlink"/>
            <w:sz w:val="16"/>
            <w:szCs w:val="16"/>
          </w:rPr>
          <w:t xml:space="preserve"> </w:t>
        </w:r>
        <w:r w:rsidR="005D1220" w:rsidRPr="00011B08">
          <w:rPr>
            <w:sz w:val="16"/>
            <w:szCs w:val="16"/>
          </w:rPr>
          <w:t>p.249</w:t>
        </w:r>
      </w:hyperlink>
      <w:r w:rsidR="005D1220" w:rsidRPr="005D1220">
        <w:rPr>
          <w:sz w:val="16"/>
          <w:szCs w:val="16"/>
        </w:rPr>
        <w:t xml:space="preserve"> </w:t>
      </w:r>
      <w:r>
        <w:rPr>
          <w:sz w:val="16"/>
          <w:szCs w:val="16"/>
        </w:rPr>
        <w:t>– variation in measured performance, increase in Government funding for regional infrastructure and</w:t>
      </w:r>
      <w:r w:rsidR="005D1220" w:rsidRPr="005D1220">
        <w:rPr>
          <w:sz w:val="16"/>
          <w:szCs w:val="16"/>
        </w:rPr>
        <w:t xml:space="preserve"> Treasury </w:t>
      </w:r>
      <w:r w:rsidR="005738E5">
        <w:rPr>
          <w:sz w:val="16"/>
          <w:szCs w:val="16"/>
        </w:rPr>
        <w:t xml:space="preserve">accounting and valuation </w:t>
      </w:r>
      <w:r w:rsidR="005D1220" w:rsidRPr="005D1220">
        <w:rPr>
          <w:sz w:val="16"/>
          <w:szCs w:val="16"/>
        </w:rPr>
        <w:t xml:space="preserve">policy </w:t>
      </w:r>
      <w:r w:rsidR="002C2E92">
        <w:rPr>
          <w:sz w:val="16"/>
          <w:szCs w:val="16"/>
        </w:rPr>
        <w:t xml:space="preserve">to be applied by the NSW rail State-owned corporations </w:t>
      </w:r>
      <w:r w:rsidR="005D1220" w:rsidRPr="005D1220">
        <w:rPr>
          <w:sz w:val="16"/>
          <w:szCs w:val="16"/>
        </w:rPr>
        <w:t xml:space="preserve">after </w:t>
      </w:r>
      <w:r w:rsidR="002C2E92">
        <w:rPr>
          <w:sz w:val="16"/>
          <w:szCs w:val="16"/>
        </w:rPr>
        <w:t xml:space="preserve">(during?) </w:t>
      </w:r>
      <w:r w:rsidR="005D1220">
        <w:rPr>
          <w:sz w:val="16"/>
          <w:szCs w:val="16"/>
        </w:rPr>
        <w:t>correction of the 1996 rail</w:t>
      </w:r>
      <w:r w:rsidR="005D1220" w:rsidRPr="005D1220">
        <w:rPr>
          <w:sz w:val="16"/>
          <w:szCs w:val="16"/>
        </w:rPr>
        <w:t xml:space="preserve"> policy SPAD.</w:t>
      </w:r>
    </w:p>
    <w:p w14:paraId="7DF217A1" w14:textId="77777777" w:rsidR="00604FF7" w:rsidRPr="00A73C08" w:rsidRDefault="00604FF7">
      <w:pPr>
        <w:pStyle w:val="FootnoteText"/>
        <w:rPr>
          <w:lang w:val="en-AU"/>
        </w:rPr>
      </w:pPr>
    </w:p>
  </w:footnote>
  <w:footnote w:id="186">
    <w:p w14:paraId="332EFF40" w14:textId="2EB3854C" w:rsidR="00395F98" w:rsidRPr="00836396" w:rsidRDefault="00395F98" w:rsidP="00395F98">
      <w:pPr>
        <w:pStyle w:val="FootnoteText"/>
        <w:rPr>
          <w:sz w:val="16"/>
          <w:szCs w:val="16"/>
        </w:rPr>
      </w:pPr>
      <w:r w:rsidRPr="00836396">
        <w:rPr>
          <w:rStyle w:val="FootnoteReference"/>
          <w:sz w:val="16"/>
          <w:szCs w:val="16"/>
        </w:rPr>
        <w:footnoteRef/>
      </w:r>
      <w:r w:rsidRPr="00836396">
        <w:rPr>
          <w:sz w:val="16"/>
          <w:szCs w:val="16"/>
        </w:rPr>
        <w:t xml:space="preserve"> See </w:t>
      </w:r>
      <w:r w:rsidR="00DF5228" w:rsidRPr="00836396">
        <w:rPr>
          <w:sz w:val="16"/>
          <w:szCs w:val="16"/>
        </w:rPr>
        <w:t>e.g.,</w:t>
      </w:r>
      <w:r w:rsidRPr="00836396">
        <w:rPr>
          <w:sz w:val="16"/>
          <w:szCs w:val="16"/>
        </w:rPr>
        <w:t xml:space="preserve"> accident at Beresfield 1997 </w:t>
      </w:r>
      <w:hyperlink r:id="rId175" w:history="1">
        <w:r w:rsidRPr="00836396">
          <w:rPr>
            <w:rStyle w:val="Hyperlink"/>
            <w:sz w:val="16"/>
            <w:szCs w:val="16"/>
          </w:rPr>
          <w:t>https://www.atsb.gov.au/publications/investigation_reports/1998/rair/rair1998001/</w:t>
        </w:r>
      </w:hyperlink>
    </w:p>
    <w:p w14:paraId="2D03106B" w14:textId="77777777" w:rsidR="00395F98" w:rsidRPr="001257A9" w:rsidRDefault="00395F98" w:rsidP="00395F98">
      <w:pPr>
        <w:pStyle w:val="FootnoteText"/>
        <w:rPr>
          <w:sz w:val="16"/>
          <w:szCs w:val="16"/>
          <w:lang w:val="en-AU"/>
        </w:rPr>
      </w:pPr>
    </w:p>
  </w:footnote>
  <w:footnote w:id="187">
    <w:p w14:paraId="48B47D92" w14:textId="0B6FBEF2" w:rsidR="004807BA" w:rsidRDefault="005266ED">
      <w:pPr>
        <w:pStyle w:val="FootnoteText"/>
        <w:rPr>
          <w:sz w:val="16"/>
          <w:szCs w:val="16"/>
        </w:rPr>
      </w:pPr>
      <w:r w:rsidRPr="005266ED">
        <w:rPr>
          <w:rStyle w:val="FootnoteReference"/>
          <w:sz w:val="16"/>
          <w:szCs w:val="16"/>
        </w:rPr>
        <w:footnoteRef/>
      </w:r>
      <w:r w:rsidRPr="005266ED">
        <w:rPr>
          <w:sz w:val="16"/>
          <w:szCs w:val="16"/>
        </w:rPr>
        <w:t xml:space="preserve"> </w:t>
      </w:r>
      <w:hyperlink r:id="rId176" w:history="1">
        <w:r w:rsidR="004807BA" w:rsidRPr="00B1597F">
          <w:rPr>
            <w:rStyle w:val="Hyperlink"/>
            <w:sz w:val="16"/>
            <w:szCs w:val="16"/>
          </w:rPr>
          <w:t>https://johnmenadue.com/the-curious-case-of-the-new-airports-metro/</w:t>
        </w:r>
      </w:hyperlink>
    </w:p>
    <w:p w14:paraId="00DC89FF" w14:textId="5ED242DF" w:rsidR="005266ED" w:rsidRPr="005266ED" w:rsidRDefault="004807BA">
      <w:pPr>
        <w:pStyle w:val="FootnoteText"/>
        <w:rPr>
          <w:sz w:val="16"/>
          <w:szCs w:val="16"/>
          <w:lang w:val="en-AU"/>
        </w:rPr>
      </w:pPr>
      <w:r>
        <w:rPr>
          <w:sz w:val="16"/>
          <w:szCs w:val="16"/>
        </w:rPr>
        <w:t xml:space="preserve">Siberia: </w:t>
      </w:r>
      <w:hyperlink r:id="rId177" w:history="1">
        <w:r w:rsidRPr="00B1597F">
          <w:rPr>
            <w:rStyle w:val="Hyperlink"/>
            <w:sz w:val="16"/>
            <w:szCs w:val="16"/>
          </w:rPr>
          <w:t>https://www.youtube.com/watch?v=bhYGwPBY3eU&amp;ab_channel=PowerPlayChess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6ABA" w14:textId="77777777" w:rsidR="00C17FD7" w:rsidRDefault="00C17F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35817" w14:textId="77777777" w:rsidR="00C17FD7" w:rsidRDefault="00C17F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54A2F" w14:textId="77777777" w:rsidR="00C17FD7" w:rsidRDefault="00C17F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C6092C"/>
    <w:multiLevelType w:val="hybridMultilevel"/>
    <w:tmpl w:val="ABBE2902"/>
    <w:lvl w:ilvl="0" w:tplc="0C09000F">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BD0711"/>
    <w:multiLevelType w:val="hybridMultilevel"/>
    <w:tmpl w:val="F3467C7E"/>
    <w:lvl w:ilvl="0" w:tplc="0C09000F">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9A70482"/>
    <w:multiLevelType w:val="hybridMultilevel"/>
    <w:tmpl w:val="4F9EE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DB6327B"/>
    <w:multiLevelType w:val="hybridMultilevel"/>
    <w:tmpl w:val="8178728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0CB644C"/>
    <w:multiLevelType w:val="hybridMultilevel"/>
    <w:tmpl w:val="05BEAE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5C18E1"/>
    <w:multiLevelType w:val="hybridMultilevel"/>
    <w:tmpl w:val="FDCAC8F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48A22679"/>
    <w:multiLevelType w:val="hybridMultilevel"/>
    <w:tmpl w:val="02863228"/>
    <w:lvl w:ilvl="0" w:tplc="0C09000F">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64387F2F"/>
    <w:multiLevelType w:val="hybridMultilevel"/>
    <w:tmpl w:val="05D4E760"/>
    <w:lvl w:ilvl="0" w:tplc="0C090019">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6C280BD1"/>
    <w:multiLevelType w:val="hybridMultilevel"/>
    <w:tmpl w:val="1EF86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61972C2"/>
    <w:multiLevelType w:val="hybridMultilevel"/>
    <w:tmpl w:val="7A405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7"/>
  </w:num>
  <w:num w:numId="4">
    <w:abstractNumId w:val="2"/>
  </w:num>
  <w:num w:numId="5">
    <w:abstractNumId w:val="8"/>
  </w:num>
  <w:num w:numId="6">
    <w:abstractNumId w:val="5"/>
  </w:num>
  <w:num w:numId="7">
    <w:abstractNumId w:val="4"/>
  </w:num>
  <w:num w:numId="8">
    <w:abstractNumId w:val="6"/>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368B"/>
    <w:rsid w:val="000025B1"/>
    <w:rsid w:val="00003B02"/>
    <w:rsid w:val="00004B5D"/>
    <w:rsid w:val="000052F2"/>
    <w:rsid w:val="00007A31"/>
    <w:rsid w:val="000101D5"/>
    <w:rsid w:val="0001031D"/>
    <w:rsid w:val="0001095A"/>
    <w:rsid w:val="00011B08"/>
    <w:rsid w:val="000123FC"/>
    <w:rsid w:val="00012C6C"/>
    <w:rsid w:val="00013B65"/>
    <w:rsid w:val="00014545"/>
    <w:rsid w:val="000211BB"/>
    <w:rsid w:val="00021819"/>
    <w:rsid w:val="00022ED5"/>
    <w:rsid w:val="000230B4"/>
    <w:rsid w:val="000246CE"/>
    <w:rsid w:val="00026A4D"/>
    <w:rsid w:val="000304EF"/>
    <w:rsid w:val="00030726"/>
    <w:rsid w:val="00031714"/>
    <w:rsid w:val="000355DE"/>
    <w:rsid w:val="00043411"/>
    <w:rsid w:val="00044525"/>
    <w:rsid w:val="00047347"/>
    <w:rsid w:val="000543A5"/>
    <w:rsid w:val="0005606D"/>
    <w:rsid w:val="000629A1"/>
    <w:rsid w:val="000631F0"/>
    <w:rsid w:val="000661BB"/>
    <w:rsid w:val="00071B2C"/>
    <w:rsid w:val="000761E2"/>
    <w:rsid w:val="00076205"/>
    <w:rsid w:val="00090844"/>
    <w:rsid w:val="0009154E"/>
    <w:rsid w:val="00091C44"/>
    <w:rsid w:val="00093332"/>
    <w:rsid w:val="000949EF"/>
    <w:rsid w:val="00094B51"/>
    <w:rsid w:val="000A3189"/>
    <w:rsid w:val="000A34DA"/>
    <w:rsid w:val="000B0A49"/>
    <w:rsid w:val="000B66A1"/>
    <w:rsid w:val="000B7A76"/>
    <w:rsid w:val="000C05E2"/>
    <w:rsid w:val="000C399B"/>
    <w:rsid w:val="000C3B84"/>
    <w:rsid w:val="000D0832"/>
    <w:rsid w:val="000D5BF8"/>
    <w:rsid w:val="000D697C"/>
    <w:rsid w:val="000E260E"/>
    <w:rsid w:val="000E3203"/>
    <w:rsid w:val="000E5AAF"/>
    <w:rsid w:val="000F3360"/>
    <w:rsid w:val="000F5C9C"/>
    <w:rsid w:val="0010045B"/>
    <w:rsid w:val="00102103"/>
    <w:rsid w:val="001112A9"/>
    <w:rsid w:val="00111CA9"/>
    <w:rsid w:val="00113DB9"/>
    <w:rsid w:val="0012423A"/>
    <w:rsid w:val="001257A9"/>
    <w:rsid w:val="0013069B"/>
    <w:rsid w:val="00130E80"/>
    <w:rsid w:val="00131604"/>
    <w:rsid w:val="00131C7C"/>
    <w:rsid w:val="00131F7C"/>
    <w:rsid w:val="00133FF2"/>
    <w:rsid w:val="00135A8A"/>
    <w:rsid w:val="00136BE3"/>
    <w:rsid w:val="001416F0"/>
    <w:rsid w:val="001447BC"/>
    <w:rsid w:val="00144ACD"/>
    <w:rsid w:val="001460E1"/>
    <w:rsid w:val="001506BC"/>
    <w:rsid w:val="00151A2E"/>
    <w:rsid w:val="00152933"/>
    <w:rsid w:val="00152F65"/>
    <w:rsid w:val="0015421C"/>
    <w:rsid w:val="00157D92"/>
    <w:rsid w:val="0016292D"/>
    <w:rsid w:val="0016444F"/>
    <w:rsid w:val="0016632E"/>
    <w:rsid w:val="00173478"/>
    <w:rsid w:val="001757BB"/>
    <w:rsid w:val="00185FCB"/>
    <w:rsid w:val="00190B21"/>
    <w:rsid w:val="00190CBB"/>
    <w:rsid w:val="00192266"/>
    <w:rsid w:val="00194A84"/>
    <w:rsid w:val="001969AC"/>
    <w:rsid w:val="001A4912"/>
    <w:rsid w:val="001A4933"/>
    <w:rsid w:val="001B6184"/>
    <w:rsid w:val="001B6519"/>
    <w:rsid w:val="001B6B2C"/>
    <w:rsid w:val="001B79EF"/>
    <w:rsid w:val="001D056A"/>
    <w:rsid w:val="001D23EA"/>
    <w:rsid w:val="001E153F"/>
    <w:rsid w:val="001E1B36"/>
    <w:rsid w:val="001E33BA"/>
    <w:rsid w:val="001E3412"/>
    <w:rsid w:val="001E43B2"/>
    <w:rsid w:val="001E4AF8"/>
    <w:rsid w:val="001E6304"/>
    <w:rsid w:val="001E7C10"/>
    <w:rsid w:val="001F2B57"/>
    <w:rsid w:val="001F57BD"/>
    <w:rsid w:val="00201087"/>
    <w:rsid w:val="002048A2"/>
    <w:rsid w:val="002065DD"/>
    <w:rsid w:val="00206AFB"/>
    <w:rsid w:val="00210F0C"/>
    <w:rsid w:val="002125F3"/>
    <w:rsid w:val="002129A1"/>
    <w:rsid w:val="00212E02"/>
    <w:rsid w:val="0021493E"/>
    <w:rsid w:val="00216253"/>
    <w:rsid w:val="00216D4B"/>
    <w:rsid w:val="002175EB"/>
    <w:rsid w:val="0022024D"/>
    <w:rsid w:val="0023025A"/>
    <w:rsid w:val="00242E45"/>
    <w:rsid w:val="002437A4"/>
    <w:rsid w:val="002448DC"/>
    <w:rsid w:val="00250CFC"/>
    <w:rsid w:val="00251DF3"/>
    <w:rsid w:val="002529C1"/>
    <w:rsid w:val="00252B82"/>
    <w:rsid w:val="0025307E"/>
    <w:rsid w:val="00253A27"/>
    <w:rsid w:val="00253C25"/>
    <w:rsid w:val="00256CF7"/>
    <w:rsid w:val="00257237"/>
    <w:rsid w:val="0026411D"/>
    <w:rsid w:val="00264F6E"/>
    <w:rsid w:val="00270266"/>
    <w:rsid w:val="0027127F"/>
    <w:rsid w:val="0027254C"/>
    <w:rsid w:val="002827B9"/>
    <w:rsid w:val="00284FB0"/>
    <w:rsid w:val="002851A1"/>
    <w:rsid w:val="0028727C"/>
    <w:rsid w:val="00295B7E"/>
    <w:rsid w:val="002A4709"/>
    <w:rsid w:val="002A4ED5"/>
    <w:rsid w:val="002A6E7E"/>
    <w:rsid w:val="002B5D1E"/>
    <w:rsid w:val="002B6CCB"/>
    <w:rsid w:val="002C0871"/>
    <w:rsid w:val="002C0F86"/>
    <w:rsid w:val="002C2338"/>
    <w:rsid w:val="002C2E92"/>
    <w:rsid w:val="002C3DED"/>
    <w:rsid w:val="002D178C"/>
    <w:rsid w:val="002E405C"/>
    <w:rsid w:val="002E5732"/>
    <w:rsid w:val="002F4D6B"/>
    <w:rsid w:val="002F5550"/>
    <w:rsid w:val="003014E6"/>
    <w:rsid w:val="003044DF"/>
    <w:rsid w:val="00305348"/>
    <w:rsid w:val="0030759C"/>
    <w:rsid w:val="0032581F"/>
    <w:rsid w:val="00331A29"/>
    <w:rsid w:val="00333EE5"/>
    <w:rsid w:val="00334E75"/>
    <w:rsid w:val="00337BB2"/>
    <w:rsid w:val="00340B56"/>
    <w:rsid w:val="003442A8"/>
    <w:rsid w:val="0034583C"/>
    <w:rsid w:val="00347BAB"/>
    <w:rsid w:val="003522F0"/>
    <w:rsid w:val="00356B64"/>
    <w:rsid w:val="003577B9"/>
    <w:rsid w:val="00363F17"/>
    <w:rsid w:val="00367667"/>
    <w:rsid w:val="003737B9"/>
    <w:rsid w:val="00373988"/>
    <w:rsid w:val="00377FE8"/>
    <w:rsid w:val="00381367"/>
    <w:rsid w:val="00381477"/>
    <w:rsid w:val="00382F62"/>
    <w:rsid w:val="00383707"/>
    <w:rsid w:val="00383BAC"/>
    <w:rsid w:val="00383F90"/>
    <w:rsid w:val="00385C4D"/>
    <w:rsid w:val="00393617"/>
    <w:rsid w:val="003937C6"/>
    <w:rsid w:val="003959D0"/>
    <w:rsid w:val="00395F98"/>
    <w:rsid w:val="0039740C"/>
    <w:rsid w:val="003A242E"/>
    <w:rsid w:val="003A6454"/>
    <w:rsid w:val="003B2410"/>
    <w:rsid w:val="003B36A0"/>
    <w:rsid w:val="003B4166"/>
    <w:rsid w:val="003B638E"/>
    <w:rsid w:val="003B63AC"/>
    <w:rsid w:val="003B67CB"/>
    <w:rsid w:val="003C2169"/>
    <w:rsid w:val="003C3906"/>
    <w:rsid w:val="003C3C15"/>
    <w:rsid w:val="003C69F6"/>
    <w:rsid w:val="003C7068"/>
    <w:rsid w:val="003D1D8A"/>
    <w:rsid w:val="003D2DA8"/>
    <w:rsid w:val="003D3F7C"/>
    <w:rsid w:val="003D4FAD"/>
    <w:rsid w:val="003D6C0A"/>
    <w:rsid w:val="003E05A6"/>
    <w:rsid w:val="003E36A1"/>
    <w:rsid w:val="003F32C0"/>
    <w:rsid w:val="003F3827"/>
    <w:rsid w:val="003F5005"/>
    <w:rsid w:val="003F5614"/>
    <w:rsid w:val="003F56E1"/>
    <w:rsid w:val="003F7A35"/>
    <w:rsid w:val="00402E88"/>
    <w:rsid w:val="004042FE"/>
    <w:rsid w:val="004060B2"/>
    <w:rsid w:val="00415D05"/>
    <w:rsid w:val="004179CC"/>
    <w:rsid w:val="00423A49"/>
    <w:rsid w:val="00424303"/>
    <w:rsid w:val="00424DFE"/>
    <w:rsid w:val="004304BD"/>
    <w:rsid w:val="0043156E"/>
    <w:rsid w:val="00431DD5"/>
    <w:rsid w:val="00432891"/>
    <w:rsid w:val="0043442B"/>
    <w:rsid w:val="00440E91"/>
    <w:rsid w:val="004441B7"/>
    <w:rsid w:val="00445D22"/>
    <w:rsid w:val="004514AD"/>
    <w:rsid w:val="00455E5F"/>
    <w:rsid w:val="00456424"/>
    <w:rsid w:val="004619C1"/>
    <w:rsid w:val="00475E50"/>
    <w:rsid w:val="004807BA"/>
    <w:rsid w:val="00483C34"/>
    <w:rsid w:val="00487244"/>
    <w:rsid w:val="00487C19"/>
    <w:rsid w:val="00491249"/>
    <w:rsid w:val="00491790"/>
    <w:rsid w:val="004925B3"/>
    <w:rsid w:val="00492A8B"/>
    <w:rsid w:val="00492CBA"/>
    <w:rsid w:val="00494495"/>
    <w:rsid w:val="00495859"/>
    <w:rsid w:val="004A1851"/>
    <w:rsid w:val="004A57E0"/>
    <w:rsid w:val="004B0337"/>
    <w:rsid w:val="004B127B"/>
    <w:rsid w:val="004B15CB"/>
    <w:rsid w:val="004B1749"/>
    <w:rsid w:val="004B194F"/>
    <w:rsid w:val="004B2FEE"/>
    <w:rsid w:val="004B5A10"/>
    <w:rsid w:val="004B6B19"/>
    <w:rsid w:val="004C0F1A"/>
    <w:rsid w:val="004C1C60"/>
    <w:rsid w:val="004C3BE7"/>
    <w:rsid w:val="004C4B1E"/>
    <w:rsid w:val="004D3482"/>
    <w:rsid w:val="004D432F"/>
    <w:rsid w:val="004D602B"/>
    <w:rsid w:val="004E3497"/>
    <w:rsid w:val="004E4044"/>
    <w:rsid w:val="004E58D2"/>
    <w:rsid w:val="004F23C4"/>
    <w:rsid w:val="004F4EA7"/>
    <w:rsid w:val="004F677E"/>
    <w:rsid w:val="004F6D91"/>
    <w:rsid w:val="004F6F10"/>
    <w:rsid w:val="0050365A"/>
    <w:rsid w:val="005074CA"/>
    <w:rsid w:val="0050784A"/>
    <w:rsid w:val="00510921"/>
    <w:rsid w:val="00510B9E"/>
    <w:rsid w:val="00512384"/>
    <w:rsid w:val="00514D66"/>
    <w:rsid w:val="0051574B"/>
    <w:rsid w:val="005162FF"/>
    <w:rsid w:val="00517034"/>
    <w:rsid w:val="0052095D"/>
    <w:rsid w:val="00521C9E"/>
    <w:rsid w:val="005231BE"/>
    <w:rsid w:val="00523D09"/>
    <w:rsid w:val="00525D42"/>
    <w:rsid w:val="00526592"/>
    <w:rsid w:val="005266ED"/>
    <w:rsid w:val="00532D0E"/>
    <w:rsid w:val="00533B18"/>
    <w:rsid w:val="00534A30"/>
    <w:rsid w:val="00536E85"/>
    <w:rsid w:val="00547BE3"/>
    <w:rsid w:val="0055581B"/>
    <w:rsid w:val="005608CC"/>
    <w:rsid w:val="00561527"/>
    <w:rsid w:val="005616E2"/>
    <w:rsid w:val="00564945"/>
    <w:rsid w:val="00566A74"/>
    <w:rsid w:val="005670B5"/>
    <w:rsid w:val="00567788"/>
    <w:rsid w:val="005703AF"/>
    <w:rsid w:val="00570750"/>
    <w:rsid w:val="005738E5"/>
    <w:rsid w:val="00574CBD"/>
    <w:rsid w:val="00574CE3"/>
    <w:rsid w:val="0057706E"/>
    <w:rsid w:val="005840E5"/>
    <w:rsid w:val="00584AB6"/>
    <w:rsid w:val="0058606A"/>
    <w:rsid w:val="00591AD3"/>
    <w:rsid w:val="00593AF5"/>
    <w:rsid w:val="00593D32"/>
    <w:rsid w:val="00597D26"/>
    <w:rsid w:val="005A1E8B"/>
    <w:rsid w:val="005A5AE3"/>
    <w:rsid w:val="005B0825"/>
    <w:rsid w:val="005B1AA7"/>
    <w:rsid w:val="005B5933"/>
    <w:rsid w:val="005B5B35"/>
    <w:rsid w:val="005B7AD6"/>
    <w:rsid w:val="005C00A1"/>
    <w:rsid w:val="005C198B"/>
    <w:rsid w:val="005C1A48"/>
    <w:rsid w:val="005C1C6A"/>
    <w:rsid w:val="005C2248"/>
    <w:rsid w:val="005C2DA0"/>
    <w:rsid w:val="005C516E"/>
    <w:rsid w:val="005D110E"/>
    <w:rsid w:val="005D1220"/>
    <w:rsid w:val="005D14D1"/>
    <w:rsid w:val="005D358E"/>
    <w:rsid w:val="005D3BE7"/>
    <w:rsid w:val="005D517F"/>
    <w:rsid w:val="005D7A38"/>
    <w:rsid w:val="005E17EC"/>
    <w:rsid w:val="005E2D01"/>
    <w:rsid w:val="005E3574"/>
    <w:rsid w:val="005E567F"/>
    <w:rsid w:val="005F2369"/>
    <w:rsid w:val="005F3E15"/>
    <w:rsid w:val="005F438F"/>
    <w:rsid w:val="005F7CE0"/>
    <w:rsid w:val="00600D2B"/>
    <w:rsid w:val="006016A2"/>
    <w:rsid w:val="00601DC6"/>
    <w:rsid w:val="00604FF7"/>
    <w:rsid w:val="0060536F"/>
    <w:rsid w:val="00614050"/>
    <w:rsid w:val="006143E9"/>
    <w:rsid w:val="00617673"/>
    <w:rsid w:val="00627B19"/>
    <w:rsid w:val="006306DC"/>
    <w:rsid w:val="00634DA7"/>
    <w:rsid w:val="00640045"/>
    <w:rsid w:val="006427DA"/>
    <w:rsid w:val="00647D25"/>
    <w:rsid w:val="00647D29"/>
    <w:rsid w:val="00651541"/>
    <w:rsid w:val="00651760"/>
    <w:rsid w:val="0065374F"/>
    <w:rsid w:val="00653ED4"/>
    <w:rsid w:val="00654DAC"/>
    <w:rsid w:val="00655405"/>
    <w:rsid w:val="00660B97"/>
    <w:rsid w:val="00663347"/>
    <w:rsid w:val="0066649C"/>
    <w:rsid w:val="006675EF"/>
    <w:rsid w:val="00677072"/>
    <w:rsid w:val="00677529"/>
    <w:rsid w:val="00686C99"/>
    <w:rsid w:val="0069317A"/>
    <w:rsid w:val="006953CF"/>
    <w:rsid w:val="00697982"/>
    <w:rsid w:val="006A0B5E"/>
    <w:rsid w:val="006A48E4"/>
    <w:rsid w:val="006A64E0"/>
    <w:rsid w:val="006A69B5"/>
    <w:rsid w:val="006A74F3"/>
    <w:rsid w:val="006B055A"/>
    <w:rsid w:val="006B0E16"/>
    <w:rsid w:val="006B2ED5"/>
    <w:rsid w:val="006B33D7"/>
    <w:rsid w:val="006B4EFB"/>
    <w:rsid w:val="006C205C"/>
    <w:rsid w:val="006C244B"/>
    <w:rsid w:val="006C644F"/>
    <w:rsid w:val="006C7230"/>
    <w:rsid w:val="006D2355"/>
    <w:rsid w:val="006D4E9D"/>
    <w:rsid w:val="006E1779"/>
    <w:rsid w:val="006E563C"/>
    <w:rsid w:val="006E7DB3"/>
    <w:rsid w:val="006F4680"/>
    <w:rsid w:val="00711031"/>
    <w:rsid w:val="007113AB"/>
    <w:rsid w:val="00715447"/>
    <w:rsid w:val="00716EFF"/>
    <w:rsid w:val="00722411"/>
    <w:rsid w:val="00724072"/>
    <w:rsid w:val="00725221"/>
    <w:rsid w:val="00726FC5"/>
    <w:rsid w:val="007278FE"/>
    <w:rsid w:val="00731900"/>
    <w:rsid w:val="00734760"/>
    <w:rsid w:val="00747570"/>
    <w:rsid w:val="00752483"/>
    <w:rsid w:val="0076022F"/>
    <w:rsid w:val="00760340"/>
    <w:rsid w:val="00761526"/>
    <w:rsid w:val="007615E0"/>
    <w:rsid w:val="00765331"/>
    <w:rsid w:val="007709C5"/>
    <w:rsid w:val="00771115"/>
    <w:rsid w:val="00773B22"/>
    <w:rsid w:val="00775618"/>
    <w:rsid w:val="00775764"/>
    <w:rsid w:val="00784D60"/>
    <w:rsid w:val="00785BD1"/>
    <w:rsid w:val="00791AB0"/>
    <w:rsid w:val="00791B0C"/>
    <w:rsid w:val="0079439C"/>
    <w:rsid w:val="00794563"/>
    <w:rsid w:val="00794DC1"/>
    <w:rsid w:val="00795E64"/>
    <w:rsid w:val="007A066D"/>
    <w:rsid w:val="007B6373"/>
    <w:rsid w:val="007B7417"/>
    <w:rsid w:val="007B7CF6"/>
    <w:rsid w:val="007C366D"/>
    <w:rsid w:val="007D1122"/>
    <w:rsid w:val="007D2E71"/>
    <w:rsid w:val="007D4AB8"/>
    <w:rsid w:val="007D74FD"/>
    <w:rsid w:val="007E09F0"/>
    <w:rsid w:val="007E1B02"/>
    <w:rsid w:val="007E407F"/>
    <w:rsid w:val="007E6727"/>
    <w:rsid w:val="007F39B7"/>
    <w:rsid w:val="007F77A6"/>
    <w:rsid w:val="00801C2F"/>
    <w:rsid w:val="00801C99"/>
    <w:rsid w:val="0080217B"/>
    <w:rsid w:val="008232DE"/>
    <w:rsid w:val="0082416A"/>
    <w:rsid w:val="00827086"/>
    <w:rsid w:val="008308A9"/>
    <w:rsid w:val="00834FED"/>
    <w:rsid w:val="00835FB9"/>
    <w:rsid w:val="00836396"/>
    <w:rsid w:val="008405FB"/>
    <w:rsid w:val="00840BA1"/>
    <w:rsid w:val="00841908"/>
    <w:rsid w:val="0084482E"/>
    <w:rsid w:val="008449E4"/>
    <w:rsid w:val="00845852"/>
    <w:rsid w:val="008471F9"/>
    <w:rsid w:val="0085368B"/>
    <w:rsid w:val="00854501"/>
    <w:rsid w:val="008546F6"/>
    <w:rsid w:val="0085791D"/>
    <w:rsid w:val="0086428B"/>
    <w:rsid w:val="00865C58"/>
    <w:rsid w:val="00867F06"/>
    <w:rsid w:val="0087281B"/>
    <w:rsid w:val="00874FBF"/>
    <w:rsid w:val="0088058E"/>
    <w:rsid w:val="008818F4"/>
    <w:rsid w:val="00881ED1"/>
    <w:rsid w:val="0088319B"/>
    <w:rsid w:val="00883206"/>
    <w:rsid w:val="008847F5"/>
    <w:rsid w:val="00884BFC"/>
    <w:rsid w:val="00885751"/>
    <w:rsid w:val="00886600"/>
    <w:rsid w:val="00887977"/>
    <w:rsid w:val="008918BB"/>
    <w:rsid w:val="00891A2C"/>
    <w:rsid w:val="008930DD"/>
    <w:rsid w:val="008971F6"/>
    <w:rsid w:val="008A4864"/>
    <w:rsid w:val="008A7A02"/>
    <w:rsid w:val="008B018F"/>
    <w:rsid w:val="008B332E"/>
    <w:rsid w:val="008B3384"/>
    <w:rsid w:val="008C0DD3"/>
    <w:rsid w:val="008C28FD"/>
    <w:rsid w:val="008C7645"/>
    <w:rsid w:val="008D0243"/>
    <w:rsid w:val="008D03E1"/>
    <w:rsid w:val="008D0573"/>
    <w:rsid w:val="008D0630"/>
    <w:rsid w:val="008E1868"/>
    <w:rsid w:val="008E1C91"/>
    <w:rsid w:val="008E472D"/>
    <w:rsid w:val="008E71C1"/>
    <w:rsid w:val="008F0CD9"/>
    <w:rsid w:val="008F4934"/>
    <w:rsid w:val="008F5968"/>
    <w:rsid w:val="008F7C47"/>
    <w:rsid w:val="00905242"/>
    <w:rsid w:val="009068E6"/>
    <w:rsid w:val="009074CA"/>
    <w:rsid w:val="009104EA"/>
    <w:rsid w:val="009125D7"/>
    <w:rsid w:val="00912E35"/>
    <w:rsid w:val="00913214"/>
    <w:rsid w:val="00913578"/>
    <w:rsid w:val="00915853"/>
    <w:rsid w:val="0092532D"/>
    <w:rsid w:val="009316F9"/>
    <w:rsid w:val="00931719"/>
    <w:rsid w:val="00931787"/>
    <w:rsid w:val="00934D94"/>
    <w:rsid w:val="00935367"/>
    <w:rsid w:val="009365E8"/>
    <w:rsid w:val="009406DC"/>
    <w:rsid w:val="009444DD"/>
    <w:rsid w:val="00954ADE"/>
    <w:rsid w:val="009559C0"/>
    <w:rsid w:val="00957073"/>
    <w:rsid w:val="00963C57"/>
    <w:rsid w:val="009744EF"/>
    <w:rsid w:val="0098223F"/>
    <w:rsid w:val="00983340"/>
    <w:rsid w:val="00983D56"/>
    <w:rsid w:val="009849A5"/>
    <w:rsid w:val="00991929"/>
    <w:rsid w:val="00991A77"/>
    <w:rsid w:val="00996C6A"/>
    <w:rsid w:val="009A1CF2"/>
    <w:rsid w:val="009A2661"/>
    <w:rsid w:val="009A300F"/>
    <w:rsid w:val="009B124A"/>
    <w:rsid w:val="009B4DA6"/>
    <w:rsid w:val="009B530E"/>
    <w:rsid w:val="009B5582"/>
    <w:rsid w:val="009B57C2"/>
    <w:rsid w:val="009B7B4D"/>
    <w:rsid w:val="009C1FD6"/>
    <w:rsid w:val="009C6D19"/>
    <w:rsid w:val="009D3560"/>
    <w:rsid w:val="009D5EAB"/>
    <w:rsid w:val="009D6A34"/>
    <w:rsid w:val="009E409A"/>
    <w:rsid w:val="009E453B"/>
    <w:rsid w:val="009E59F6"/>
    <w:rsid w:val="009E6F18"/>
    <w:rsid w:val="009F3BA3"/>
    <w:rsid w:val="009F4688"/>
    <w:rsid w:val="009F6922"/>
    <w:rsid w:val="00A053B1"/>
    <w:rsid w:val="00A07275"/>
    <w:rsid w:val="00A11E56"/>
    <w:rsid w:val="00A11EB0"/>
    <w:rsid w:val="00A15B39"/>
    <w:rsid w:val="00A174DD"/>
    <w:rsid w:val="00A20327"/>
    <w:rsid w:val="00A20B49"/>
    <w:rsid w:val="00A22263"/>
    <w:rsid w:val="00A22CBF"/>
    <w:rsid w:val="00A2435E"/>
    <w:rsid w:val="00A25356"/>
    <w:rsid w:val="00A2726F"/>
    <w:rsid w:val="00A31738"/>
    <w:rsid w:val="00A31C93"/>
    <w:rsid w:val="00A3375E"/>
    <w:rsid w:val="00A4046D"/>
    <w:rsid w:val="00A45529"/>
    <w:rsid w:val="00A46094"/>
    <w:rsid w:val="00A46551"/>
    <w:rsid w:val="00A469EA"/>
    <w:rsid w:val="00A47689"/>
    <w:rsid w:val="00A55181"/>
    <w:rsid w:val="00A55777"/>
    <w:rsid w:val="00A559C1"/>
    <w:rsid w:val="00A60F67"/>
    <w:rsid w:val="00A6109B"/>
    <w:rsid w:val="00A612B1"/>
    <w:rsid w:val="00A663F3"/>
    <w:rsid w:val="00A6676D"/>
    <w:rsid w:val="00A67AAA"/>
    <w:rsid w:val="00A73C08"/>
    <w:rsid w:val="00A73F29"/>
    <w:rsid w:val="00A74FA7"/>
    <w:rsid w:val="00A752BF"/>
    <w:rsid w:val="00A8418D"/>
    <w:rsid w:val="00A9118A"/>
    <w:rsid w:val="00A939C6"/>
    <w:rsid w:val="00A94D02"/>
    <w:rsid w:val="00A95625"/>
    <w:rsid w:val="00A95C27"/>
    <w:rsid w:val="00AA3627"/>
    <w:rsid w:val="00AA3C1E"/>
    <w:rsid w:val="00AA7AED"/>
    <w:rsid w:val="00AB6E50"/>
    <w:rsid w:val="00AB72DF"/>
    <w:rsid w:val="00AC00F4"/>
    <w:rsid w:val="00AC022A"/>
    <w:rsid w:val="00AC15C0"/>
    <w:rsid w:val="00AC1CCE"/>
    <w:rsid w:val="00AC21B0"/>
    <w:rsid w:val="00AC403B"/>
    <w:rsid w:val="00AC698B"/>
    <w:rsid w:val="00AC7AE7"/>
    <w:rsid w:val="00AC7CB7"/>
    <w:rsid w:val="00AD1825"/>
    <w:rsid w:val="00AD320E"/>
    <w:rsid w:val="00AD3DD9"/>
    <w:rsid w:val="00AD49E3"/>
    <w:rsid w:val="00AD51A6"/>
    <w:rsid w:val="00AD7871"/>
    <w:rsid w:val="00AD7949"/>
    <w:rsid w:val="00AE4094"/>
    <w:rsid w:val="00AE5AB2"/>
    <w:rsid w:val="00AE5DC0"/>
    <w:rsid w:val="00AE7400"/>
    <w:rsid w:val="00AF1215"/>
    <w:rsid w:val="00AF1E26"/>
    <w:rsid w:val="00AF4CE4"/>
    <w:rsid w:val="00AF6CB8"/>
    <w:rsid w:val="00AF6D8A"/>
    <w:rsid w:val="00AF75C7"/>
    <w:rsid w:val="00B00F5C"/>
    <w:rsid w:val="00B019B1"/>
    <w:rsid w:val="00B06092"/>
    <w:rsid w:val="00B06378"/>
    <w:rsid w:val="00B070B1"/>
    <w:rsid w:val="00B108DD"/>
    <w:rsid w:val="00B1225B"/>
    <w:rsid w:val="00B14745"/>
    <w:rsid w:val="00B15D12"/>
    <w:rsid w:val="00B15D89"/>
    <w:rsid w:val="00B208FE"/>
    <w:rsid w:val="00B2105E"/>
    <w:rsid w:val="00B229E9"/>
    <w:rsid w:val="00B23D00"/>
    <w:rsid w:val="00B2573D"/>
    <w:rsid w:val="00B31828"/>
    <w:rsid w:val="00B3516A"/>
    <w:rsid w:val="00B40CFF"/>
    <w:rsid w:val="00B40F53"/>
    <w:rsid w:val="00B443CC"/>
    <w:rsid w:val="00B45B2D"/>
    <w:rsid w:val="00B47EA0"/>
    <w:rsid w:val="00B50A5D"/>
    <w:rsid w:val="00B51AB0"/>
    <w:rsid w:val="00B53AB5"/>
    <w:rsid w:val="00B54BEB"/>
    <w:rsid w:val="00B5510B"/>
    <w:rsid w:val="00B621A8"/>
    <w:rsid w:val="00B62A3D"/>
    <w:rsid w:val="00B62B87"/>
    <w:rsid w:val="00B64422"/>
    <w:rsid w:val="00B679B1"/>
    <w:rsid w:val="00B71145"/>
    <w:rsid w:val="00B7132D"/>
    <w:rsid w:val="00B71B9F"/>
    <w:rsid w:val="00B72CA3"/>
    <w:rsid w:val="00B73C91"/>
    <w:rsid w:val="00B73D60"/>
    <w:rsid w:val="00B747AE"/>
    <w:rsid w:val="00B80541"/>
    <w:rsid w:val="00B80659"/>
    <w:rsid w:val="00B82906"/>
    <w:rsid w:val="00B82F8D"/>
    <w:rsid w:val="00B8360F"/>
    <w:rsid w:val="00B8632A"/>
    <w:rsid w:val="00B90FCA"/>
    <w:rsid w:val="00B936E2"/>
    <w:rsid w:val="00B94165"/>
    <w:rsid w:val="00B94EE4"/>
    <w:rsid w:val="00BC039D"/>
    <w:rsid w:val="00BC0D59"/>
    <w:rsid w:val="00BC2039"/>
    <w:rsid w:val="00BC401D"/>
    <w:rsid w:val="00BC4DC9"/>
    <w:rsid w:val="00BC5345"/>
    <w:rsid w:val="00BC5CDD"/>
    <w:rsid w:val="00BD3802"/>
    <w:rsid w:val="00BD4268"/>
    <w:rsid w:val="00BD74F4"/>
    <w:rsid w:val="00BE1E50"/>
    <w:rsid w:val="00BE2FDB"/>
    <w:rsid w:val="00BE61D5"/>
    <w:rsid w:val="00BF3ED9"/>
    <w:rsid w:val="00C01892"/>
    <w:rsid w:val="00C073C4"/>
    <w:rsid w:val="00C113BB"/>
    <w:rsid w:val="00C15412"/>
    <w:rsid w:val="00C15AE9"/>
    <w:rsid w:val="00C17FD7"/>
    <w:rsid w:val="00C21BDE"/>
    <w:rsid w:val="00C22883"/>
    <w:rsid w:val="00C231EE"/>
    <w:rsid w:val="00C232F9"/>
    <w:rsid w:val="00C25187"/>
    <w:rsid w:val="00C255E8"/>
    <w:rsid w:val="00C26294"/>
    <w:rsid w:val="00C31370"/>
    <w:rsid w:val="00C318FD"/>
    <w:rsid w:val="00C33CA2"/>
    <w:rsid w:val="00C3527C"/>
    <w:rsid w:val="00C360A7"/>
    <w:rsid w:val="00C3690D"/>
    <w:rsid w:val="00C37363"/>
    <w:rsid w:val="00C37AAB"/>
    <w:rsid w:val="00C40B5C"/>
    <w:rsid w:val="00C44C8B"/>
    <w:rsid w:val="00C455C1"/>
    <w:rsid w:val="00C460C8"/>
    <w:rsid w:val="00C505C8"/>
    <w:rsid w:val="00C54E6F"/>
    <w:rsid w:val="00C62628"/>
    <w:rsid w:val="00C62CFB"/>
    <w:rsid w:val="00C6307D"/>
    <w:rsid w:val="00C67F26"/>
    <w:rsid w:val="00C70C94"/>
    <w:rsid w:val="00C712D8"/>
    <w:rsid w:val="00C7197B"/>
    <w:rsid w:val="00C72D5A"/>
    <w:rsid w:val="00C766E6"/>
    <w:rsid w:val="00C77260"/>
    <w:rsid w:val="00C77DAE"/>
    <w:rsid w:val="00C806B7"/>
    <w:rsid w:val="00C84C4B"/>
    <w:rsid w:val="00C914F5"/>
    <w:rsid w:val="00C91FA2"/>
    <w:rsid w:val="00C94239"/>
    <w:rsid w:val="00C950B5"/>
    <w:rsid w:val="00C97305"/>
    <w:rsid w:val="00CA3353"/>
    <w:rsid w:val="00CA414A"/>
    <w:rsid w:val="00CA7496"/>
    <w:rsid w:val="00CA7D42"/>
    <w:rsid w:val="00CB5DC5"/>
    <w:rsid w:val="00CB6140"/>
    <w:rsid w:val="00CB75EE"/>
    <w:rsid w:val="00CC315C"/>
    <w:rsid w:val="00CC3696"/>
    <w:rsid w:val="00CC3DB7"/>
    <w:rsid w:val="00CC7A4E"/>
    <w:rsid w:val="00CD6576"/>
    <w:rsid w:val="00CE6C96"/>
    <w:rsid w:val="00CF2230"/>
    <w:rsid w:val="00CF44EA"/>
    <w:rsid w:val="00CF60EC"/>
    <w:rsid w:val="00CF7682"/>
    <w:rsid w:val="00D00858"/>
    <w:rsid w:val="00D00E81"/>
    <w:rsid w:val="00D04165"/>
    <w:rsid w:val="00D23631"/>
    <w:rsid w:val="00D26BDC"/>
    <w:rsid w:val="00D31549"/>
    <w:rsid w:val="00D3189D"/>
    <w:rsid w:val="00D32A10"/>
    <w:rsid w:val="00D335A6"/>
    <w:rsid w:val="00D3399E"/>
    <w:rsid w:val="00D34CB9"/>
    <w:rsid w:val="00D36836"/>
    <w:rsid w:val="00D4067A"/>
    <w:rsid w:val="00D40FDC"/>
    <w:rsid w:val="00D418B7"/>
    <w:rsid w:val="00D43F98"/>
    <w:rsid w:val="00D4789C"/>
    <w:rsid w:val="00D47908"/>
    <w:rsid w:val="00D500BB"/>
    <w:rsid w:val="00D53E47"/>
    <w:rsid w:val="00D571FB"/>
    <w:rsid w:val="00D658F4"/>
    <w:rsid w:val="00D65B18"/>
    <w:rsid w:val="00D7029D"/>
    <w:rsid w:val="00D70B89"/>
    <w:rsid w:val="00D71922"/>
    <w:rsid w:val="00D72199"/>
    <w:rsid w:val="00D73D81"/>
    <w:rsid w:val="00D73F61"/>
    <w:rsid w:val="00D74F0F"/>
    <w:rsid w:val="00D77174"/>
    <w:rsid w:val="00D8226B"/>
    <w:rsid w:val="00D92F0D"/>
    <w:rsid w:val="00D97C00"/>
    <w:rsid w:val="00DA1445"/>
    <w:rsid w:val="00DA60C9"/>
    <w:rsid w:val="00DA730E"/>
    <w:rsid w:val="00DA7C41"/>
    <w:rsid w:val="00DB0533"/>
    <w:rsid w:val="00DB32EB"/>
    <w:rsid w:val="00DB3675"/>
    <w:rsid w:val="00DB76E6"/>
    <w:rsid w:val="00DC01B0"/>
    <w:rsid w:val="00DC143C"/>
    <w:rsid w:val="00DC3B83"/>
    <w:rsid w:val="00DC5305"/>
    <w:rsid w:val="00DC59CF"/>
    <w:rsid w:val="00DC7299"/>
    <w:rsid w:val="00DD4214"/>
    <w:rsid w:val="00DE0350"/>
    <w:rsid w:val="00DE160E"/>
    <w:rsid w:val="00DE35E1"/>
    <w:rsid w:val="00DE4148"/>
    <w:rsid w:val="00DE57B5"/>
    <w:rsid w:val="00DF5228"/>
    <w:rsid w:val="00E12F7D"/>
    <w:rsid w:val="00E15320"/>
    <w:rsid w:val="00E1770C"/>
    <w:rsid w:val="00E17C91"/>
    <w:rsid w:val="00E20C1C"/>
    <w:rsid w:val="00E2227E"/>
    <w:rsid w:val="00E241AA"/>
    <w:rsid w:val="00E25B9F"/>
    <w:rsid w:val="00E31942"/>
    <w:rsid w:val="00E32EBD"/>
    <w:rsid w:val="00E33A77"/>
    <w:rsid w:val="00E34FCC"/>
    <w:rsid w:val="00E352D7"/>
    <w:rsid w:val="00E35913"/>
    <w:rsid w:val="00E377A1"/>
    <w:rsid w:val="00E40797"/>
    <w:rsid w:val="00E44393"/>
    <w:rsid w:val="00E50F8A"/>
    <w:rsid w:val="00E53AD7"/>
    <w:rsid w:val="00E54425"/>
    <w:rsid w:val="00E56E66"/>
    <w:rsid w:val="00E61E27"/>
    <w:rsid w:val="00E64C19"/>
    <w:rsid w:val="00E66C9E"/>
    <w:rsid w:val="00E718C6"/>
    <w:rsid w:val="00E726FB"/>
    <w:rsid w:val="00E749E6"/>
    <w:rsid w:val="00E759D0"/>
    <w:rsid w:val="00E80B48"/>
    <w:rsid w:val="00E827FA"/>
    <w:rsid w:val="00E8744E"/>
    <w:rsid w:val="00E911AC"/>
    <w:rsid w:val="00E929E4"/>
    <w:rsid w:val="00E93616"/>
    <w:rsid w:val="00E944EB"/>
    <w:rsid w:val="00E946B8"/>
    <w:rsid w:val="00E94E4A"/>
    <w:rsid w:val="00E96D00"/>
    <w:rsid w:val="00EA028B"/>
    <w:rsid w:val="00EA159A"/>
    <w:rsid w:val="00EA2B5D"/>
    <w:rsid w:val="00EA7ECF"/>
    <w:rsid w:val="00EB3FD8"/>
    <w:rsid w:val="00EB44D2"/>
    <w:rsid w:val="00EB522D"/>
    <w:rsid w:val="00EB616F"/>
    <w:rsid w:val="00EB6266"/>
    <w:rsid w:val="00EC1612"/>
    <w:rsid w:val="00EC2014"/>
    <w:rsid w:val="00EC2C09"/>
    <w:rsid w:val="00EC4AE7"/>
    <w:rsid w:val="00EC5BE2"/>
    <w:rsid w:val="00ED024F"/>
    <w:rsid w:val="00ED2922"/>
    <w:rsid w:val="00ED2D93"/>
    <w:rsid w:val="00ED3566"/>
    <w:rsid w:val="00ED3A6B"/>
    <w:rsid w:val="00ED532C"/>
    <w:rsid w:val="00ED6023"/>
    <w:rsid w:val="00EE4D68"/>
    <w:rsid w:val="00EF189D"/>
    <w:rsid w:val="00EF260B"/>
    <w:rsid w:val="00EF3A00"/>
    <w:rsid w:val="00EF6561"/>
    <w:rsid w:val="00EF725C"/>
    <w:rsid w:val="00F008FD"/>
    <w:rsid w:val="00F05742"/>
    <w:rsid w:val="00F10A08"/>
    <w:rsid w:val="00F13235"/>
    <w:rsid w:val="00F14179"/>
    <w:rsid w:val="00F16BF9"/>
    <w:rsid w:val="00F171D4"/>
    <w:rsid w:val="00F20D9C"/>
    <w:rsid w:val="00F22BDD"/>
    <w:rsid w:val="00F22DCA"/>
    <w:rsid w:val="00F234B4"/>
    <w:rsid w:val="00F32139"/>
    <w:rsid w:val="00F41EF4"/>
    <w:rsid w:val="00F45B4D"/>
    <w:rsid w:val="00F468CF"/>
    <w:rsid w:val="00F50AB0"/>
    <w:rsid w:val="00F51009"/>
    <w:rsid w:val="00F5134D"/>
    <w:rsid w:val="00F5298B"/>
    <w:rsid w:val="00F53F75"/>
    <w:rsid w:val="00F57AB9"/>
    <w:rsid w:val="00F60805"/>
    <w:rsid w:val="00F63810"/>
    <w:rsid w:val="00F6531D"/>
    <w:rsid w:val="00F65714"/>
    <w:rsid w:val="00F66AD7"/>
    <w:rsid w:val="00F66EF8"/>
    <w:rsid w:val="00F72E5D"/>
    <w:rsid w:val="00F74085"/>
    <w:rsid w:val="00F74F71"/>
    <w:rsid w:val="00F768F6"/>
    <w:rsid w:val="00F770B3"/>
    <w:rsid w:val="00F77756"/>
    <w:rsid w:val="00F82A7D"/>
    <w:rsid w:val="00F82FC1"/>
    <w:rsid w:val="00F836BF"/>
    <w:rsid w:val="00F9021C"/>
    <w:rsid w:val="00F92742"/>
    <w:rsid w:val="00FA07C9"/>
    <w:rsid w:val="00FA1D91"/>
    <w:rsid w:val="00FA2B5C"/>
    <w:rsid w:val="00FA3256"/>
    <w:rsid w:val="00FA3393"/>
    <w:rsid w:val="00FA54AE"/>
    <w:rsid w:val="00FA5784"/>
    <w:rsid w:val="00FA721A"/>
    <w:rsid w:val="00FB0846"/>
    <w:rsid w:val="00FB12FA"/>
    <w:rsid w:val="00FB1D26"/>
    <w:rsid w:val="00FB2631"/>
    <w:rsid w:val="00FB5828"/>
    <w:rsid w:val="00FB5C66"/>
    <w:rsid w:val="00FB5F63"/>
    <w:rsid w:val="00FB6C06"/>
    <w:rsid w:val="00FB7585"/>
    <w:rsid w:val="00FC1FED"/>
    <w:rsid w:val="00FC2494"/>
    <w:rsid w:val="00FC3638"/>
    <w:rsid w:val="00FC4E0C"/>
    <w:rsid w:val="00FC6834"/>
    <w:rsid w:val="00FC7146"/>
    <w:rsid w:val="00FD0675"/>
    <w:rsid w:val="00FD2F08"/>
    <w:rsid w:val="00FD2FC1"/>
    <w:rsid w:val="00FD3AEA"/>
    <w:rsid w:val="00FD4AEA"/>
    <w:rsid w:val="00FD4DFF"/>
    <w:rsid w:val="00FD4EE9"/>
    <w:rsid w:val="00FD5437"/>
    <w:rsid w:val="00FE0278"/>
    <w:rsid w:val="00FE6E00"/>
    <w:rsid w:val="00FF1C2A"/>
    <w:rsid w:val="00FF44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4DD03A"/>
  <w15:docId w15:val="{0377EF66-52A3-4850-A74A-E5AA66F49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52BF"/>
    <w:pPr>
      <w:keepNext/>
      <w:keepLines/>
      <w:spacing w:before="240" w:after="0"/>
      <w:outlineLvl w:val="0"/>
    </w:pPr>
    <w:rPr>
      <w:rFonts w:eastAsiaTheme="majorEastAsia"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A752BF"/>
    <w:pPr>
      <w:keepNext/>
      <w:keepLines/>
      <w:spacing w:before="40" w:after="0"/>
      <w:outlineLvl w:val="1"/>
    </w:pPr>
    <w:rPr>
      <w:rFonts w:eastAsiaTheme="majorEastAsia" w:cstheme="majorBidi"/>
      <w:b/>
      <w:color w:val="2E74B5" w:themeColor="accent1" w:themeShade="BF"/>
      <w:sz w:val="26"/>
      <w:szCs w:val="26"/>
    </w:rPr>
  </w:style>
  <w:style w:type="paragraph" w:styleId="Heading3">
    <w:name w:val="heading 3"/>
    <w:basedOn w:val="Normal"/>
    <w:next w:val="Normal"/>
    <w:link w:val="Heading3Char"/>
    <w:uiPriority w:val="9"/>
    <w:unhideWhenUsed/>
    <w:qFormat/>
    <w:rsid w:val="00A752BF"/>
    <w:pPr>
      <w:keepNext/>
      <w:keepLines/>
      <w:spacing w:before="40" w:after="0"/>
      <w:outlineLvl w:val="2"/>
    </w:pPr>
    <w:rPr>
      <w:rFonts w:asciiTheme="majorHAnsi" w:eastAsiaTheme="majorEastAsia" w:hAnsiTheme="majorHAnsi" w:cstheme="majorBidi"/>
      <w:color w:val="1F4D78" w:themeColor="accent1" w:themeShade="7F"/>
      <w:sz w:val="24"/>
      <w:szCs w:val="24"/>
      <w:u w:val="single"/>
    </w:rPr>
  </w:style>
  <w:style w:type="paragraph" w:styleId="Heading4">
    <w:name w:val="heading 4"/>
    <w:basedOn w:val="Normal"/>
    <w:next w:val="Normal"/>
    <w:link w:val="Heading4Char"/>
    <w:uiPriority w:val="9"/>
    <w:unhideWhenUsed/>
    <w:qFormat/>
    <w:rsid w:val="008930D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2BF"/>
    <w:rPr>
      <w:rFonts w:eastAsiaTheme="majorEastAsia" w:cstheme="majorBidi"/>
      <w:b/>
      <w:color w:val="2E74B5" w:themeColor="accent1" w:themeShade="BF"/>
      <w:sz w:val="32"/>
      <w:szCs w:val="32"/>
    </w:rPr>
  </w:style>
  <w:style w:type="character" w:customStyle="1" w:styleId="Heading2Char">
    <w:name w:val="Heading 2 Char"/>
    <w:basedOn w:val="DefaultParagraphFont"/>
    <w:link w:val="Heading2"/>
    <w:uiPriority w:val="9"/>
    <w:rsid w:val="00A752BF"/>
    <w:rPr>
      <w:rFonts w:eastAsiaTheme="majorEastAsia" w:cstheme="majorBidi"/>
      <w:b/>
      <w:color w:val="2E74B5" w:themeColor="accent1" w:themeShade="BF"/>
      <w:sz w:val="26"/>
      <w:szCs w:val="26"/>
    </w:rPr>
  </w:style>
  <w:style w:type="paragraph" w:styleId="FootnoteText">
    <w:name w:val="footnote text"/>
    <w:basedOn w:val="Normal"/>
    <w:link w:val="FootnoteTextChar"/>
    <w:uiPriority w:val="99"/>
    <w:unhideWhenUsed/>
    <w:rsid w:val="00593AF5"/>
    <w:pPr>
      <w:spacing w:after="0" w:line="240" w:lineRule="auto"/>
    </w:pPr>
    <w:rPr>
      <w:sz w:val="20"/>
      <w:szCs w:val="20"/>
    </w:rPr>
  </w:style>
  <w:style w:type="character" w:customStyle="1" w:styleId="FootnoteTextChar">
    <w:name w:val="Footnote Text Char"/>
    <w:basedOn w:val="DefaultParagraphFont"/>
    <w:link w:val="FootnoteText"/>
    <w:uiPriority w:val="99"/>
    <w:rsid w:val="00593AF5"/>
    <w:rPr>
      <w:sz w:val="20"/>
      <w:szCs w:val="20"/>
    </w:rPr>
  </w:style>
  <w:style w:type="character" w:styleId="FootnoteReference">
    <w:name w:val="footnote reference"/>
    <w:basedOn w:val="DefaultParagraphFont"/>
    <w:uiPriority w:val="99"/>
    <w:semiHidden/>
    <w:unhideWhenUsed/>
    <w:rsid w:val="00593AF5"/>
    <w:rPr>
      <w:vertAlign w:val="superscript"/>
    </w:rPr>
  </w:style>
  <w:style w:type="character" w:styleId="Hyperlink">
    <w:name w:val="Hyperlink"/>
    <w:basedOn w:val="DefaultParagraphFont"/>
    <w:uiPriority w:val="99"/>
    <w:unhideWhenUsed/>
    <w:rsid w:val="00593AF5"/>
    <w:rPr>
      <w:color w:val="0563C1" w:themeColor="hyperlink"/>
      <w:u w:val="single"/>
    </w:rPr>
  </w:style>
  <w:style w:type="character" w:styleId="Emphasis">
    <w:name w:val="Emphasis"/>
    <w:basedOn w:val="DefaultParagraphFont"/>
    <w:uiPriority w:val="20"/>
    <w:qFormat/>
    <w:rsid w:val="00AF4CE4"/>
    <w:rPr>
      <w:i/>
      <w:iCs/>
    </w:rPr>
  </w:style>
  <w:style w:type="paragraph" w:styleId="Header">
    <w:name w:val="header"/>
    <w:basedOn w:val="Normal"/>
    <w:link w:val="HeaderChar"/>
    <w:uiPriority w:val="99"/>
    <w:unhideWhenUsed/>
    <w:rsid w:val="00C17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7FD7"/>
  </w:style>
  <w:style w:type="paragraph" w:styleId="Footer">
    <w:name w:val="footer"/>
    <w:basedOn w:val="Normal"/>
    <w:link w:val="FooterChar"/>
    <w:uiPriority w:val="99"/>
    <w:unhideWhenUsed/>
    <w:rsid w:val="00C17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7FD7"/>
  </w:style>
  <w:style w:type="character" w:customStyle="1" w:styleId="Heading3Char">
    <w:name w:val="Heading 3 Char"/>
    <w:basedOn w:val="DefaultParagraphFont"/>
    <w:link w:val="Heading3"/>
    <w:uiPriority w:val="9"/>
    <w:rsid w:val="00A752BF"/>
    <w:rPr>
      <w:rFonts w:asciiTheme="majorHAnsi" w:eastAsiaTheme="majorEastAsia" w:hAnsiTheme="majorHAnsi" w:cstheme="majorBidi"/>
      <w:color w:val="1F4D78" w:themeColor="accent1" w:themeShade="7F"/>
      <w:sz w:val="24"/>
      <w:szCs w:val="24"/>
      <w:u w:val="single"/>
    </w:rPr>
  </w:style>
  <w:style w:type="paragraph" w:styleId="TOCHeading">
    <w:name w:val="TOC Heading"/>
    <w:basedOn w:val="Heading1"/>
    <w:next w:val="Normal"/>
    <w:uiPriority w:val="39"/>
    <w:unhideWhenUsed/>
    <w:qFormat/>
    <w:rsid w:val="00651760"/>
    <w:pPr>
      <w:outlineLvl w:val="9"/>
    </w:pPr>
    <w:rPr>
      <w:rFonts w:asciiTheme="majorHAnsi" w:hAnsiTheme="majorHAnsi"/>
      <w:b w:val="0"/>
      <w:lang w:val="en-US"/>
    </w:rPr>
  </w:style>
  <w:style w:type="paragraph" w:styleId="TOC1">
    <w:name w:val="toc 1"/>
    <w:basedOn w:val="Normal"/>
    <w:next w:val="Normal"/>
    <w:autoRedefine/>
    <w:uiPriority w:val="39"/>
    <w:unhideWhenUsed/>
    <w:rsid w:val="00651760"/>
    <w:pPr>
      <w:spacing w:after="100"/>
    </w:pPr>
  </w:style>
  <w:style w:type="paragraph" w:styleId="TOC2">
    <w:name w:val="toc 2"/>
    <w:basedOn w:val="Normal"/>
    <w:next w:val="Normal"/>
    <w:autoRedefine/>
    <w:uiPriority w:val="39"/>
    <w:unhideWhenUsed/>
    <w:rsid w:val="00651760"/>
    <w:pPr>
      <w:spacing w:after="100"/>
      <w:ind w:left="220"/>
    </w:pPr>
  </w:style>
  <w:style w:type="paragraph" w:styleId="TOC3">
    <w:name w:val="toc 3"/>
    <w:basedOn w:val="Normal"/>
    <w:next w:val="Normal"/>
    <w:autoRedefine/>
    <w:uiPriority w:val="39"/>
    <w:unhideWhenUsed/>
    <w:rsid w:val="00651760"/>
    <w:pPr>
      <w:spacing w:after="100"/>
      <w:ind w:left="440"/>
    </w:pPr>
  </w:style>
  <w:style w:type="paragraph" w:styleId="NormalWeb">
    <w:name w:val="Normal (Web)"/>
    <w:basedOn w:val="Normal"/>
    <w:uiPriority w:val="99"/>
    <w:unhideWhenUsed/>
    <w:rsid w:val="0060536F"/>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UnresolvedMention">
    <w:name w:val="Unresolved Mention"/>
    <w:basedOn w:val="DefaultParagraphFont"/>
    <w:uiPriority w:val="99"/>
    <w:semiHidden/>
    <w:unhideWhenUsed/>
    <w:rsid w:val="00EE4D68"/>
    <w:rPr>
      <w:color w:val="605E5C"/>
      <w:shd w:val="clear" w:color="auto" w:fill="E1DFDD"/>
    </w:rPr>
  </w:style>
  <w:style w:type="paragraph" w:styleId="EndnoteText">
    <w:name w:val="endnote text"/>
    <w:basedOn w:val="Normal"/>
    <w:link w:val="EndnoteTextChar"/>
    <w:uiPriority w:val="99"/>
    <w:unhideWhenUsed/>
    <w:rsid w:val="00E50F8A"/>
    <w:pPr>
      <w:spacing w:after="0" w:line="240" w:lineRule="auto"/>
    </w:pPr>
    <w:rPr>
      <w:sz w:val="20"/>
      <w:szCs w:val="20"/>
    </w:rPr>
  </w:style>
  <w:style w:type="character" w:customStyle="1" w:styleId="EndnoteTextChar">
    <w:name w:val="Endnote Text Char"/>
    <w:basedOn w:val="DefaultParagraphFont"/>
    <w:link w:val="EndnoteText"/>
    <w:uiPriority w:val="99"/>
    <w:rsid w:val="00E50F8A"/>
    <w:rPr>
      <w:sz w:val="20"/>
      <w:szCs w:val="20"/>
    </w:rPr>
  </w:style>
  <w:style w:type="character" w:styleId="EndnoteReference">
    <w:name w:val="endnote reference"/>
    <w:basedOn w:val="DefaultParagraphFont"/>
    <w:uiPriority w:val="99"/>
    <w:semiHidden/>
    <w:unhideWhenUsed/>
    <w:rsid w:val="00E50F8A"/>
    <w:rPr>
      <w:vertAlign w:val="superscript"/>
    </w:rPr>
  </w:style>
  <w:style w:type="paragraph" w:styleId="ListParagraph">
    <w:name w:val="List Paragraph"/>
    <w:basedOn w:val="Normal"/>
    <w:uiPriority w:val="34"/>
    <w:qFormat/>
    <w:rsid w:val="002C2338"/>
    <w:pPr>
      <w:ind w:left="720"/>
      <w:contextualSpacing/>
    </w:pPr>
  </w:style>
  <w:style w:type="character" w:customStyle="1" w:styleId="frag-no">
    <w:name w:val="frag-no"/>
    <w:basedOn w:val="DefaultParagraphFont"/>
    <w:rsid w:val="00567788"/>
  </w:style>
  <w:style w:type="character" w:customStyle="1" w:styleId="frag-heading">
    <w:name w:val="frag-heading"/>
    <w:basedOn w:val="DefaultParagraphFont"/>
    <w:rsid w:val="00567788"/>
  </w:style>
  <w:style w:type="character" w:customStyle="1" w:styleId="Heading4Char">
    <w:name w:val="Heading 4 Char"/>
    <w:basedOn w:val="DefaultParagraphFont"/>
    <w:link w:val="Heading4"/>
    <w:uiPriority w:val="9"/>
    <w:rsid w:val="008930DD"/>
    <w:rPr>
      <w:rFonts w:asciiTheme="majorHAnsi" w:eastAsiaTheme="majorEastAsia" w:hAnsiTheme="majorHAnsi" w:cstheme="majorBidi"/>
      <w:i/>
      <w:iCs/>
      <w:color w:val="2E74B5" w:themeColor="accent1" w:themeShade="BF"/>
    </w:rPr>
  </w:style>
  <w:style w:type="paragraph" w:customStyle="1" w:styleId="xmsonormal">
    <w:name w:val="x_msonormal"/>
    <w:basedOn w:val="Normal"/>
    <w:rsid w:val="00B3182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table" w:styleId="TableGrid">
    <w:name w:val="Table Grid"/>
    <w:basedOn w:val="TableNormal"/>
    <w:uiPriority w:val="39"/>
    <w:rsid w:val="00D008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45852"/>
    <w:rPr>
      <w:color w:val="954F72" w:themeColor="followedHyperlink"/>
      <w:u w:val="single"/>
    </w:rPr>
  </w:style>
  <w:style w:type="character" w:customStyle="1" w:styleId="normal-h">
    <w:name w:val="normal-h"/>
    <w:basedOn w:val="DefaultParagraphFont"/>
    <w:rsid w:val="00533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638888">
      <w:bodyDiv w:val="1"/>
      <w:marLeft w:val="0"/>
      <w:marRight w:val="0"/>
      <w:marTop w:val="0"/>
      <w:marBottom w:val="0"/>
      <w:divBdr>
        <w:top w:val="none" w:sz="0" w:space="0" w:color="auto"/>
        <w:left w:val="none" w:sz="0" w:space="0" w:color="auto"/>
        <w:bottom w:val="none" w:sz="0" w:space="0" w:color="auto"/>
        <w:right w:val="none" w:sz="0" w:space="0" w:color="auto"/>
      </w:divBdr>
      <w:divsChild>
        <w:div w:id="1144466584">
          <w:marLeft w:val="0"/>
          <w:marRight w:val="0"/>
          <w:marTop w:val="0"/>
          <w:marBottom w:val="0"/>
          <w:divBdr>
            <w:top w:val="none" w:sz="0" w:space="0" w:color="auto"/>
            <w:left w:val="none" w:sz="0" w:space="0" w:color="auto"/>
            <w:bottom w:val="none" w:sz="0" w:space="0" w:color="auto"/>
            <w:right w:val="none" w:sz="0" w:space="0" w:color="auto"/>
          </w:divBdr>
        </w:div>
        <w:div w:id="1704481091">
          <w:marLeft w:val="0"/>
          <w:marRight w:val="0"/>
          <w:marTop w:val="0"/>
          <w:marBottom w:val="0"/>
          <w:divBdr>
            <w:top w:val="none" w:sz="0" w:space="0" w:color="auto"/>
            <w:left w:val="none" w:sz="0" w:space="0" w:color="auto"/>
            <w:bottom w:val="none" w:sz="0" w:space="0" w:color="auto"/>
            <w:right w:val="none" w:sz="0" w:space="0" w:color="auto"/>
          </w:divBdr>
        </w:div>
      </w:divsChild>
    </w:div>
    <w:div w:id="595599068">
      <w:bodyDiv w:val="1"/>
      <w:marLeft w:val="0"/>
      <w:marRight w:val="0"/>
      <w:marTop w:val="0"/>
      <w:marBottom w:val="0"/>
      <w:divBdr>
        <w:top w:val="none" w:sz="0" w:space="0" w:color="auto"/>
        <w:left w:val="none" w:sz="0" w:space="0" w:color="auto"/>
        <w:bottom w:val="none" w:sz="0" w:space="0" w:color="auto"/>
        <w:right w:val="none" w:sz="0" w:space="0" w:color="auto"/>
      </w:divBdr>
      <w:divsChild>
        <w:div w:id="7597749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62163602">
              <w:blockQuote w:val="1"/>
              <w:marLeft w:val="400"/>
              <w:marRight w:val="0"/>
              <w:marTop w:val="160"/>
              <w:marBottom w:val="200"/>
              <w:divBdr>
                <w:top w:val="none" w:sz="0" w:space="0" w:color="auto"/>
                <w:left w:val="none" w:sz="0" w:space="0" w:color="auto"/>
                <w:bottom w:val="none" w:sz="0" w:space="0" w:color="auto"/>
                <w:right w:val="none" w:sz="0" w:space="0" w:color="auto"/>
              </w:divBdr>
            </w:div>
            <w:div w:id="1804738152">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3658376">
                  <w:marLeft w:val="0"/>
                  <w:marRight w:val="0"/>
                  <w:marTop w:val="0"/>
                  <w:marBottom w:val="0"/>
                  <w:divBdr>
                    <w:top w:val="none" w:sz="0" w:space="0" w:color="auto"/>
                    <w:left w:val="none" w:sz="0" w:space="0" w:color="auto"/>
                    <w:bottom w:val="none" w:sz="0" w:space="0" w:color="auto"/>
                    <w:right w:val="none" w:sz="0" w:space="0" w:color="auto"/>
                  </w:divBdr>
                  <w:divsChild>
                    <w:div w:id="38032746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13071844">
                          <w:marLeft w:val="0"/>
                          <w:marRight w:val="0"/>
                          <w:marTop w:val="0"/>
                          <w:marBottom w:val="0"/>
                          <w:divBdr>
                            <w:top w:val="none" w:sz="0" w:space="0" w:color="auto"/>
                            <w:left w:val="none" w:sz="0" w:space="0" w:color="auto"/>
                            <w:bottom w:val="none" w:sz="0" w:space="0" w:color="auto"/>
                            <w:right w:val="none" w:sz="0" w:space="0" w:color="auto"/>
                          </w:divBdr>
                          <w:divsChild>
                            <w:div w:id="186065560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142187746">
                          <w:marLeft w:val="0"/>
                          <w:marRight w:val="0"/>
                          <w:marTop w:val="0"/>
                          <w:marBottom w:val="0"/>
                          <w:divBdr>
                            <w:top w:val="none" w:sz="0" w:space="0" w:color="auto"/>
                            <w:left w:val="none" w:sz="0" w:space="0" w:color="auto"/>
                            <w:bottom w:val="none" w:sz="0" w:space="0" w:color="auto"/>
                            <w:right w:val="none" w:sz="0" w:space="0" w:color="auto"/>
                          </w:divBdr>
                          <w:divsChild>
                            <w:div w:id="8937358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445537405">
          <w:marLeft w:val="340"/>
          <w:marRight w:val="0"/>
          <w:marTop w:val="160"/>
          <w:marBottom w:val="200"/>
          <w:divBdr>
            <w:top w:val="none" w:sz="0" w:space="0" w:color="auto"/>
            <w:left w:val="none" w:sz="0" w:space="0" w:color="auto"/>
            <w:bottom w:val="none" w:sz="0" w:space="0" w:color="auto"/>
            <w:right w:val="none" w:sz="0" w:space="0" w:color="auto"/>
          </w:divBdr>
        </w:div>
      </w:divsChild>
    </w:div>
    <w:div w:id="762847702">
      <w:bodyDiv w:val="1"/>
      <w:marLeft w:val="0"/>
      <w:marRight w:val="0"/>
      <w:marTop w:val="0"/>
      <w:marBottom w:val="0"/>
      <w:divBdr>
        <w:top w:val="none" w:sz="0" w:space="0" w:color="auto"/>
        <w:left w:val="none" w:sz="0" w:space="0" w:color="auto"/>
        <w:bottom w:val="none" w:sz="0" w:space="0" w:color="auto"/>
        <w:right w:val="none" w:sz="0" w:space="0" w:color="auto"/>
      </w:divBdr>
    </w:div>
    <w:div w:id="1199928352">
      <w:bodyDiv w:val="1"/>
      <w:marLeft w:val="0"/>
      <w:marRight w:val="0"/>
      <w:marTop w:val="0"/>
      <w:marBottom w:val="0"/>
      <w:divBdr>
        <w:top w:val="none" w:sz="0" w:space="0" w:color="auto"/>
        <w:left w:val="none" w:sz="0" w:space="0" w:color="auto"/>
        <w:bottom w:val="none" w:sz="0" w:space="0" w:color="auto"/>
        <w:right w:val="none" w:sz="0" w:space="0" w:color="auto"/>
      </w:divBdr>
    </w:div>
    <w:div w:id="12591745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6" Type="http://schemas.openxmlformats.org/officeDocument/2006/relationships/hyperlink" Target="https://www.pc.gov.au/inquiries/completed/black-coal/submissions/nsw_government_/sub026.pdf" TargetMode="External"/><Relationship Id="rId117" Type="http://schemas.openxmlformats.org/officeDocument/2006/relationships/hyperlink" Target="https://nraspricms01.blob.core.windows.net/assets/documents/Waterfall-Rail-Accident/Waterfall-final-report-Volume-1.pdf" TargetMode="External"/><Relationship Id="rId21" Type="http://schemas.openxmlformats.org/officeDocument/2006/relationships/hyperlink" Target="https://www.pc.gov.au/inquiries/completed/access/files/ncpagreement.pdf" TargetMode="External"/><Relationship Id="rId42" Type="http://schemas.openxmlformats.org/officeDocument/2006/relationships/hyperlink" Target="https://www.pc.gov.au/__data/assets/pdf_file/0020/34526/rail.pdf%20at%20p.xxviii" TargetMode="External"/><Relationship Id="rId47" Type="http://schemas.openxmlformats.org/officeDocument/2006/relationships/hyperlink" Target="https://en-academic.com/dic.nsf/enwiki/4556735" TargetMode="External"/><Relationship Id="rId63" Type="http://schemas.openxmlformats.org/officeDocument/2006/relationships/hyperlink" Target="https://www.ipart.nsw.gov.au/Home/Industries/Transport/Reviews/CityRail/Review-of-CityRail-fares-from-2009-and-regulatory-framework/06-Jun-2008-Discussion-Paper/Determining-CityRails-revenue-requirement-and-how-it-should-be-funded-Discussion-Paper-6-June-2008" TargetMode="External"/><Relationship Id="rId68" Type="http://schemas.openxmlformats.org/officeDocument/2006/relationships/hyperlink" Target="https://www.aph.gov.au/About_Parliament/Parliamentary_Departments/Parliamentary_Library/pubs/BriefingBook46p/CompetitionPolicy" TargetMode="External"/><Relationship Id="rId84" Type="http://schemas.openxmlformats.org/officeDocument/2006/relationships/hyperlink" Target="https://www.legislation.vic.gov.au/in-force/acts/transport-integration-act-2010/078" TargetMode="External"/><Relationship Id="rId89" Type="http://schemas.openxmlformats.org/officeDocument/2006/relationships/hyperlink" Target="https://www.thejadebeagle.com/policy-spad.html%20section%203" TargetMode="External"/><Relationship Id="rId112" Type="http://schemas.openxmlformats.org/officeDocument/2006/relationships/hyperlink" Target="https://www.parliament.nsw.gov.au/tp/files/42517/GlenbrookInterim2%5b1%5d.pdf" TargetMode="External"/><Relationship Id="rId133" Type="http://schemas.openxmlformats.org/officeDocument/2006/relationships/hyperlink" Target="https://www.transport.nsw.gov.au/newsroom-and-events/media-releases/fixing-trains" TargetMode="External"/><Relationship Id="rId138" Type="http://schemas.openxmlformats.org/officeDocument/2006/relationships/hyperlink" Target="https://www.thejadebeagle.com/dogs-breakfast-for-all.html" TargetMode="External"/><Relationship Id="rId154" Type="http://schemas.openxmlformats.org/officeDocument/2006/relationships/hyperlink" Target="https://www.ipart.nsw.gov.au/Home/Industries/Transport/Reviews/Rail-Access/Rate-of-return-and-remaining-mine-life-from-1-July-2019" TargetMode="External"/><Relationship Id="rId159" Type="http://schemas.openxmlformats.org/officeDocument/2006/relationships/hyperlink" Target="https://www.transport.nsw.gov.au/sites/default/files/media/documents/2017/nsw-rail-access-undertaking.pdf" TargetMode="External"/><Relationship Id="rId175" Type="http://schemas.openxmlformats.org/officeDocument/2006/relationships/hyperlink" Target="https://www.atsb.gov.au/publications/investigation_reports/1998/rair/rair1998001/" TargetMode="External"/><Relationship Id="rId170" Type="http://schemas.openxmlformats.org/officeDocument/2006/relationships/hyperlink" Target="https://www.thejadebeagle.com/policy-spad.html%20at%20section%206" TargetMode="External"/><Relationship Id="rId16" Type="http://schemas.openxmlformats.org/officeDocument/2006/relationships/hyperlink" Target="https://www.parliament.nsw.gov.au/lcdocs/transcripts/2784/Transcript%20-%20Uncorrected%20-%2016%20December%202021.pdf" TargetMode="External"/><Relationship Id="rId107" Type="http://schemas.openxmlformats.org/officeDocument/2006/relationships/hyperlink" Target="https://www.parliament.nsw.gov.au/lcdocs/transcripts/2768/Transcript%20-%20TAHE%20-%20Uncorrected%20-%208%20November%202021.pdf" TargetMode="External"/><Relationship Id="rId11" Type="http://schemas.openxmlformats.org/officeDocument/2006/relationships/hyperlink" Target="https://www.afr.com/companies/professional-services/kpmg-says-conflicting-reports-were-both-in-scope-20211115-p5990b" TargetMode="External"/><Relationship Id="rId32" Type="http://schemas.openxmlformats.org/officeDocument/2006/relationships/hyperlink" Target="https://www.legislation.gov.au/Details/C2018C00437%20s.44B" TargetMode="External"/><Relationship Id="rId37" Type="http://schemas.openxmlformats.org/officeDocument/2006/relationships/hyperlink" Target="https://www.tmr.qld.gov.au/-/media/busind/Transport-sectors/Rail/Pdf_rpf_review_of_rail_safety_legislation.pdf?la=en" TargetMode="External"/><Relationship Id="rId53" Type="http://schemas.openxmlformats.org/officeDocument/2006/relationships/hyperlink" Target="https://www.dpc.nsw.gov.au/assets/dpc-nsw-gov-au/publications/Sydney-Ferries-listing-440/440477d422/Report-of-the-Special-Commission-of-Inquiry-into-Sydney-Ferries.pdf" TargetMode="External"/><Relationship Id="rId58" Type="http://schemas.openxmlformats.org/officeDocument/2006/relationships/hyperlink" Target="https://www.pc.gov.au/inquiries/completed/national-competition-policy/report/ncp.pdf" TargetMode="External"/><Relationship Id="rId74" Type="http://schemas.openxmlformats.org/officeDocument/2006/relationships/hyperlink" Target="https://www.pc.gov.au/__data/assets/pdf_file/0020/34526/rail.pdf" TargetMode="External"/><Relationship Id="rId79" Type="http://schemas.openxmlformats.org/officeDocument/2006/relationships/hyperlink" Target="https://www.queenslandrail.com.au/aboutus/governance" TargetMode="External"/><Relationship Id="rId102" Type="http://schemas.openxmlformats.org/officeDocument/2006/relationships/hyperlink" Target="https://dictionary.cambridge.org/dictionary/english/too-many-chiefs-and-not-enough-indians" TargetMode="External"/><Relationship Id="rId123" Type="http://schemas.openxmlformats.org/officeDocument/2006/relationships/hyperlink" Target="https://www.bitre.gov.au/sites/default/files/sp_002_pittfalls_in_competitve_tendering.pdf" TargetMode="External"/><Relationship Id="rId128" Type="http://schemas.openxmlformats.org/officeDocument/2006/relationships/hyperlink" Target="https://www.thejadebeagle.com/policy-spad.html" TargetMode="External"/><Relationship Id="rId144" Type="http://schemas.openxmlformats.org/officeDocument/2006/relationships/hyperlink" Target="https://www.ipart.nsw.gov.au/sites/default/files/cm9_documents/Draft-Report-TAHE-compliance-Hunter-Valley-Coal-Network-September-2021.PDF" TargetMode="External"/><Relationship Id="rId149" Type="http://schemas.openxmlformats.org/officeDocument/2006/relationships/hyperlink" Target="https://www.thejadebeagle.com/policy-spad.html" TargetMode="External"/><Relationship Id="rId5" Type="http://schemas.openxmlformats.org/officeDocument/2006/relationships/hyperlink" Target="https://www.thejadebeagle.com/policy-spad-update.html" TargetMode="External"/><Relationship Id="rId90" Type="http://schemas.openxmlformats.org/officeDocument/2006/relationships/hyperlink" Target="https://www.thejadebeagle.com/policy-spad.html" TargetMode="External"/><Relationship Id="rId95" Type="http://schemas.openxmlformats.org/officeDocument/2006/relationships/hyperlink" Target="https://www.thejadebeagle.com/policy-spad.html" TargetMode="External"/><Relationship Id="rId160" Type="http://schemas.openxmlformats.org/officeDocument/2006/relationships/hyperlink" Target="https://www.parliament.nsw.gov.au/lcdocs/other/16115/TREASURY_TENDER_003.pdf%20" TargetMode="External"/><Relationship Id="rId165" Type="http://schemas.openxmlformats.org/officeDocument/2006/relationships/hyperlink" Target="https://www.ipart.nsw.gov.au/sites/default/files/cm9_documents/NSW-Rail-Access-Undertaking-%28original%29.PDF" TargetMode="External"/><Relationship Id="rId22" Type="http://schemas.openxmlformats.org/officeDocument/2006/relationships/hyperlink" Target="https://www.treasury.nsw.gov.au/sites/default/files/2017-03/IGA-productivity-reforms.pdf" TargetMode="External"/><Relationship Id="rId27" Type="http://schemas.openxmlformats.org/officeDocument/2006/relationships/hyperlink" Target="http://ncp.ncc.gov.au/docs/National%20Competition%20Policy%20Review%20report,%20The%20Hilmer%20Report,%20August%201993.pdf" TargetMode="External"/><Relationship Id="rId43" Type="http://schemas.openxmlformats.org/officeDocument/2006/relationships/hyperlink" Target="https://ppp.worldbank.org/public-private-partnership/sites/ppp.worldbank.org/files/documents/A%20Review%20of%20Melbourne's%20Rail%20Franchising%20reform" TargetMode="External"/><Relationship Id="rId48" Type="http://schemas.openxmlformats.org/officeDocument/2006/relationships/hyperlink" Target="https://www.theage.com.au/national/victoria/exclusive-the-six-problems-ruining-melbournes-rail-network-20150722-gii8ps.html" TargetMode="External"/><Relationship Id="rId64" Type="http://schemas.openxmlformats.org/officeDocument/2006/relationships/hyperlink" Target="https://www.ipart.nsw.gov.au/sites/default/files/documents/final_report_-_improving_cityrails_accountability_and_incentives_though_an_effective_service_contract_-_december_2008_-_website_document.pdf" TargetMode="External"/><Relationship Id="rId69" Type="http://schemas.openxmlformats.org/officeDocument/2006/relationships/hyperlink" Target="https://treasury.gov.au/sites/default/files/2019-03/Competition-policy-review-report_online.pdf" TargetMode="External"/><Relationship Id="rId113" Type="http://schemas.openxmlformats.org/officeDocument/2006/relationships/hyperlink" Target="https://www.parliament.nsw.gov.au/tp/files/50980/A9RB6AA.tmp.pdf" TargetMode="External"/><Relationship Id="rId118" Type="http://schemas.openxmlformats.org/officeDocument/2006/relationships/hyperlink" Target="https://nraspricms01.blob.core.windows.net/assets/documents/Waterfall-Rail-Accident/Waterfall-final-report-Volume-1.pdf" TargetMode="External"/><Relationship Id="rId134" Type="http://schemas.openxmlformats.org/officeDocument/2006/relationships/hyperlink" Target="https://www.transport.nsw.gov.au/sites/default/files/media/documents/2017/railcorp-annual-report-2013-14.pdf" TargetMode="External"/><Relationship Id="rId139" Type="http://schemas.openxmlformats.org/officeDocument/2006/relationships/hyperlink" Target="https://www.thejadebeagle.com/policy-spad.html" TargetMode="External"/><Relationship Id="rId80" Type="http://schemas.openxmlformats.org/officeDocument/2006/relationships/hyperlink" Target="https://www.thejadebeagle.com/policy-spad.html" TargetMode="External"/><Relationship Id="rId85" Type="http://schemas.openxmlformats.org/officeDocument/2006/relationships/hyperlink" Target="https://johnmenadue.com/policy-wreck-were-being-told-two-contradictory-stories-about-nsw-trains/" TargetMode="External"/><Relationship Id="rId150" Type="http://schemas.openxmlformats.org/officeDocument/2006/relationships/hyperlink" Target="https://www.parliament.nsw.gov.au/lcdocs/transcripts/2784/Transcript%20-%20Uncorrected%20-%2016%20December%202021.pdf" TargetMode="External"/><Relationship Id="rId155" Type="http://schemas.openxmlformats.org/officeDocument/2006/relationships/hyperlink" Target="https://www.artc.com.au/uploads/NSW-Lease-Annual-Condition-Report-20-21_FINAL.pdf" TargetMode="External"/><Relationship Id="rId171" Type="http://schemas.openxmlformats.org/officeDocument/2006/relationships/hyperlink" Target="https://sustainable.unimelb.edu.au/__data/assets/pdf_file/0010/2756872/MSSI-IssuesPaper-8_StoneAshmoreKirk_2017.pdf" TargetMode="External"/><Relationship Id="rId176" Type="http://schemas.openxmlformats.org/officeDocument/2006/relationships/hyperlink" Target="https://johnmenadue.com/the-curious-case-of-the-new-airports-metro/" TargetMode="External"/><Relationship Id="rId12" Type="http://schemas.openxmlformats.org/officeDocument/2006/relationships/hyperlink" Target="https://7news.com.au/business/tax/sacked-nsw-transport-boss-to-front-inquiry-c-4559021" TargetMode="External"/><Relationship Id="rId17" Type="http://schemas.openxmlformats.org/officeDocument/2006/relationships/hyperlink" Target="https://www.parliament.nsw.gov.au/lcdocs/other/16306/Coorespondence%20between%20DPC%20and%20the%20Chair.pdf" TargetMode="External"/><Relationship Id="rId33" Type="http://schemas.openxmlformats.org/officeDocument/2006/relationships/hyperlink" Target="https://www.thejadebeagle.com/road-reform.html" TargetMode="External"/><Relationship Id="rId38" Type="http://schemas.openxmlformats.org/officeDocument/2006/relationships/hyperlink" Target="https://www.parliament.nsw.gov.au/Hansard/Pages/HansardResult.aspx" TargetMode="External"/><Relationship Id="rId59" Type="http://schemas.openxmlformats.org/officeDocument/2006/relationships/hyperlink" Target="http://ncp.ncc.gov.au/docs/COAG%20background%20paper%20-%20COAG%20NCP%20review%2C%20Feb%202006.pdf" TargetMode="External"/><Relationship Id="rId103" Type="http://schemas.openxmlformats.org/officeDocument/2006/relationships/hyperlink" Target="https://www.parliament.nsw.gov.au/tp/files/42517/GlenbrookInterim2%5b1%5d.pdf" TargetMode="External"/><Relationship Id="rId108" Type="http://schemas.openxmlformats.org/officeDocument/2006/relationships/hyperlink" Target="https://www.parliament.nsw.gov.au/lcdocs/other/16324/TAHE%20Initial%20Assessment%20of%20Options_Final%20Report%20(21072020).pdf" TargetMode="External"/><Relationship Id="rId124" Type="http://schemas.openxmlformats.org/officeDocument/2006/relationships/hyperlink" Target="https://www.ncbi.nlm.nih.gov/pmc/articles/PMC7166032/" TargetMode="External"/><Relationship Id="rId129" Type="http://schemas.openxmlformats.org/officeDocument/2006/relationships/hyperlink" Target="https://www.dpc.nsw.gov.au/assets/dpc-nsw-gov-au/publications/Sydney-Ferries-listing-440/440477d422/Report-of-the-Special-Commission-of-Inquiry-into-Sydney-Ferries.pdf" TargetMode="External"/><Relationship Id="rId54" Type="http://schemas.openxmlformats.org/officeDocument/2006/relationships/hyperlink" Target="http://news.bbc.co.uk/2/hi/business/1348473.stm" TargetMode="External"/><Relationship Id="rId70" Type="http://schemas.openxmlformats.org/officeDocument/2006/relationships/hyperlink" Target="https://www.parliament.nsw.gov.au/lcdocs/submissions/76629/0009%20NSW%20Treasury%20and%20Transport%20for%20NSW.pdf" TargetMode="External"/><Relationship Id="rId75" Type="http://schemas.openxmlformats.org/officeDocument/2006/relationships/hyperlink" Target="https://www.parliament.nsw.gov.au/lcdocs/transcripts/2714/Transcript%20-%20Corrected%20-%201%20October%202021(2).pdf" TargetMode="External"/><Relationship Id="rId91" Type="http://schemas.openxmlformats.org/officeDocument/2006/relationships/hyperlink" Target="https://www.parliament.nsw.gov.au/lcdocs/submissions/76410/0005%20Transport%20Asset%20Holding%20Entity%20of%20New%20%20outh%20Wales.pdf" TargetMode="External"/><Relationship Id="rId96" Type="http://schemas.openxmlformats.org/officeDocument/2006/relationships/hyperlink" Target="http://aicd.companydirectors.com.au/resources/all-sectors/roles-duties-and-responsibilities/role-of-board-committees?no_redirect=true" TargetMode="External"/><Relationship Id="rId140" Type="http://schemas.openxmlformats.org/officeDocument/2006/relationships/hyperlink" Target="https://www.parliament.nsw.gov.au/Hansard/Pages/HansardResult.aspx" TargetMode="External"/><Relationship Id="rId145" Type="http://schemas.openxmlformats.org/officeDocument/2006/relationships/hyperlink" Target="https://www.parliament.nsw.gov.au/lcdocs/transcripts/2714/Transcript%20-%20TAHE%20-%20Uncorrected.pdf" TargetMode="External"/><Relationship Id="rId161" Type="http://schemas.openxmlformats.org/officeDocument/2006/relationships/hyperlink" Target="https://www.transport.nsw.gov.au/sites/default/files/media/documents/2017/nsw-rail-access-undertaking.pdf" TargetMode="External"/><Relationship Id="rId166" Type="http://schemas.openxmlformats.org/officeDocument/2006/relationships/hyperlink" Target="https://www.parliament.nsw.gov.au/lcdocs/transcripts/2768/Transcript%20-%20TAHE%20-%20Uncorrected%20-%208%20November%202021.pdf" TargetMode="External"/><Relationship Id="rId1" Type="http://schemas.openxmlformats.org/officeDocument/2006/relationships/hyperlink" Target="https://www.thejadebeagle.com/policy-spad.html" TargetMode="External"/><Relationship Id="rId6" Type="http://schemas.openxmlformats.org/officeDocument/2006/relationships/hyperlink" Target="https://www.parliament.nsw.gov.au/lcdocs/other/16179/Mr%20Rob%20Sharp%20-%202%20November%202021_Redacted.pdf" TargetMode="External"/><Relationship Id="rId23" Type="http://schemas.openxmlformats.org/officeDocument/2006/relationships/hyperlink" Target="https://slll.cass.anu.edu.au/centres/andc/pet-shop-galah" TargetMode="External"/><Relationship Id="rId28" Type="http://schemas.openxmlformats.org/officeDocument/2006/relationships/hyperlink" Target="https://ncc.gov.au/images/uploads/CERaNsDe-001.pdf" TargetMode="External"/><Relationship Id="rId49" Type="http://schemas.openxmlformats.org/officeDocument/2006/relationships/hyperlink" Target="https://parlinfo.aph.gov.au/parlInfo/search/display/display.w3p;query=Id:%22media/pressrel/GT8T6%22" TargetMode="External"/><Relationship Id="rId114" Type="http://schemas.openxmlformats.org/officeDocument/2006/relationships/hyperlink" Target="https://www.parliament.nsw.gov.au/hansard/Pages/home.aspx?s=1" TargetMode="External"/><Relationship Id="rId119" Type="http://schemas.openxmlformats.org/officeDocument/2006/relationships/hyperlink" Target="https://www.thejadebeagle.com/policy-spad-update.html" TargetMode="External"/><Relationship Id="rId10" Type="http://schemas.openxmlformats.org/officeDocument/2006/relationships/hyperlink" Target="https://www.parliament.nsw.gov.au/lcdocs/submissions/76497/0008%20KPMG.pdf" TargetMode="External"/><Relationship Id="rId31" Type="http://schemas.openxmlformats.org/officeDocument/2006/relationships/hyperlink" Target="https://www.australiancompetitionlaw.org/cases/fortescue.html" TargetMode="External"/><Relationship Id="rId44" Type="http://schemas.openxmlformats.org/officeDocument/2006/relationships/hyperlink" Target="https://www.ncbi.nlm.nih.gov/pmc/articles/PMC7166032/" TargetMode="External"/><Relationship Id="rId52" Type="http://schemas.openxmlformats.org/officeDocument/2006/relationships/hyperlink" Target="https://www.tmr.qld.gov.au/-/media/busind/Transport-sectors/Rail/Pdf_rpf_review_of_rail_safety_legislation.pdf?la=en" TargetMode="External"/><Relationship Id="rId60" Type="http://schemas.openxmlformats.org/officeDocument/2006/relationships/hyperlink" Target="http://ncp.ncc.gov.au/docs/COAG%20background%20paper%20-%20COAG%20NCP%20review,%20Feb%202006.pdf" TargetMode="External"/><Relationship Id="rId65" Type="http://schemas.openxmlformats.org/officeDocument/2006/relationships/hyperlink" Target="https://www.ipart.nsw.gov.au/sites/default/files/documents/final_report_-_improving_cityrails_accountability_and_incentives_though_an_effective_service_contract_-_december_2008_-_website_document.pdf" TargetMode="External"/><Relationship Id="rId73" Type="http://schemas.openxmlformats.org/officeDocument/2006/relationships/hyperlink" Target="https://www.treasury.nsw.gov.au/sites/default/files/2017-03/IGA-productivity-reforms.pdf" TargetMode="External"/><Relationship Id="rId78" Type="http://schemas.openxmlformats.org/officeDocument/2006/relationships/hyperlink" Target="https://www.queenslandrail.com.au/forbusiness/the-regional-network" TargetMode="External"/><Relationship Id="rId81" Type="http://schemas.openxmlformats.org/officeDocument/2006/relationships/hyperlink" Target="https://www.pc.gov.au/inquiries/completed/rail-reform" TargetMode="External"/><Relationship Id="rId86" Type="http://schemas.openxmlformats.org/officeDocument/2006/relationships/hyperlink" Target="https://www.artc.com.au/about/" TargetMode="External"/><Relationship Id="rId94" Type="http://schemas.openxmlformats.org/officeDocument/2006/relationships/hyperlink" Target="https://www.parliament.nsw.gov.au/lcdocs/transcripts/2714/Transcript%20-%20TAHE%20-%20Uncorrected.pdf" TargetMode="External"/><Relationship Id="rId99" Type="http://schemas.openxmlformats.org/officeDocument/2006/relationships/hyperlink" Target="https://tahensw.com.au/" TargetMode="External"/><Relationship Id="rId101" Type="http://schemas.openxmlformats.org/officeDocument/2006/relationships/hyperlink" Target="https://www.parliament.nsw.gov.au/lcdocs/other/16416/Letter%20from%20NSW%20Treasury%20responding%20to%20evidence%20provided%20by%20Mr%20Brendan%20Lyon,%20Former%20Partner,%20KPMG%20Australia%20redacted.pdf" TargetMode="External"/><Relationship Id="rId122" Type="http://schemas.openxmlformats.org/officeDocument/2006/relationships/hyperlink" Target="https://catalogue.nla.gov.au/Record/3262656" TargetMode="External"/><Relationship Id="rId130" Type="http://schemas.openxmlformats.org/officeDocument/2006/relationships/hyperlink" Target="https://www.thejadebeagle.com/policy-spad.html%20at%20section%205.5" TargetMode="External"/><Relationship Id="rId135" Type="http://schemas.openxmlformats.org/officeDocument/2006/relationships/hyperlink" Target="https://www.transport.nsw.gov.au/system/files/media/documents/2018/TfNSW-Annual-Report-2017%E2%80%9318-Volume-1.pdf" TargetMode="External"/><Relationship Id="rId143" Type="http://schemas.openxmlformats.org/officeDocument/2006/relationships/hyperlink" Target="https://www.artc.com.au/uploads/Annual-Report-2019-20_final_191020.pdf" TargetMode="External"/><Relationship Id="rId148" Type="http://schemas.openxmlformats.org/officeDocument/2006/relationships/hyperlink" Target="https://www.parliament.nsw.gov.au/lcdocs/transcripts/2784/Transcript%20-%20Uncorrected%20-%2016%20December%202021.pdf" TargetMode="External"/><Relationship Id="rId151" Type="http://schemas.openxmlformats.org/officeDocument/2006/relationships/hyperlink" Target="https://www.parliament.nsw.gov.au/lcdocs/other/16111/TRANSPORT_TENDER_002.pdf" TargetMode="External"/><Relationship Id="rId156" Type="http://schemas.openxmlformats.org/officeDocument/2006/relationships/hyperlink" Target="https://www.aasb.gov.au/admin/file/content105/c9/AASB136_07-04_COMPapr07_07-07.pdf" TargetMode="External"/><Relationship Id="rId164" Type="http://schemas.openxmlformats.org/officeDocument/2006/relationships/hyperlink" Target="https://legislation.nsw.gov.au/view/html/inforce/current/act-1988-109" TargetMode="External"/><Relationship Id="rId169" Type="http://schemas.openxmlformats.org/officeDocument/2006/relationships/hyperlink" Target="https://www.parliament.vic.gov.au/papers/govpub/VPARL2003-06No154.pdf" TargetMode="External"/><Relationship Id="rId177" Type="http://schemas.openxmlformats.org/officeDocument/2006/relationships/hyperlink" Target="https://www.youtube.com/watch?v=bhYGwPBY3eU&amp;ab_channel=PowerPlayChess" TargetMode="External"/><Relationship Id="rId4" Type="http://schemas.openxmlformats.org/officeDocument/2006/relationships/hyperlink" Target="https://www.parliament.nsw.gov.au/committees/inquiries/Pages/inquiry-details.aspx?pk=2819" TargetMode="External"/><Relationship Id="rId9" Type="http://schemas.openxmlformats.org/officeDocument/2006/relationships/hyperlink" Target="https://www.parliament.nsw.gov.au/lcdocs/transcripts/2768/Transcript%20-%20TAHE%20-%20Uncorrected%20-%208%20November%202021.pdf" TargetMode="External"/><Relationship Id="rId172" Type="http://schemas.openxmlformats.org/officeDocument/2006/relationships/hyperlink" Target="https://www.pc.gov.au/research/completed/government-trading-enterprises/perf9697/perf9697.pdf" TargetMode="External"/><Relationship Id="rId13" Type="http://schemas.openxmlformats.org/officeDocument/2006/relationships/hyperlink" Target="https://www.parliament.nsw.gov.au/lcdocs/transcripts/2769/Transcript%20-%20TAHE%20-%20Uncorrected%20-%2015%20November%202021.pdf" TargetMode="External"/><Relationship Id="rId18" Type="http://schemas.openxmlformats.org/officeDocument/2006/relationships/hyperlink" Target="https://www.parliament.nsw.gov.au/lcdocs/transcripts/2784/Transcript%20-%20Uncorrected%20-%2016%20December%202021.pdf" TargetMode="External"/><Relationship Id="rId39" Type="http://schemas.openxmlformats.org/officeDocument/2006/relationships/hyperlink" Target="https://www.parliament.nsw.gov.au/Hansard/Pages/HansardResult.aspx" TargetMode="External"/><Relationship Id="rId109" Type="http://schemas.openxmlformats.org/officeDocument/2006/relationships/hyperlink" Target="https://www.parliament.nsw.gov.au/tp/files/42517/GlenbrookInterim2%5b1%5d.pdf" TargetMode="External"/><Relationship Id="rId34" Type="http://schemas.openxmlformats.org/officeDocument/2006/relationships/hyperlink" Target="https://www.thejadebeagle.com/roads-3-htfu.html" TargetMode="External"/><Relationship Id="rId50" Type="http://schemas.openxmlformats.org/officeDocument/2006/relationships/hyperlink" Target="https://www.legislation.gov.au/Details/C2018C00437" TargetMode="External"/><Relationship Id="rId55" Type="http://schemas.openxmlformats.org/officeDocument/2006/relationships/hyperlink" Target="https://www.thejadebeagle.com/policy-spad.html" TargetMode="External"/><Relationship Id="rId76" Type="http://schemas.openxmlformats.org/officeDocument/2006/relationships/hyperlink" Target="https://www.parliament.nsw.gov.au/lcdocs/other/16111/TRANSPORT_TENDER_002.pdf" TargetMode="External"/><Relationship Id="rId97" Type="http://schemas.openxmlformats.org/officeDocument/2006/relationships/hyperlink" Target="https://www.parliament.nsw.gov.au/lcdocs/transcripts/2768/Transcript%20-%20TAHE%20-%20Uncorrected%20-%208%20November%202021.pdf" TargetMode="External"/><Relationship Id="rId104" Type="http://schemas.openxmlformats.org/officeDocument/2006/relationships/hyperlink" Target="https://www.thejadebeagle.com/policy-spad.html" TargetMode="External"/><Relationship Id="rId120" Type="http://schemas.openxmlformats.org/officeDocument/2006/relationships/hyperlink" Target="https://catalogue.nla.gov.au/Record/3048968" TargetMode="External"/><Relationship Id="rId125" Type="http://schemas.openxmlformats.org/officeDocument/2006/relationships/hyperlink" Target="https://www.econstor.eu/bitstream/10419/173919/1/868642231.pdf" TargetMode="External"/><Relationship Id="rId141" Type="http://schemas.openxmlformats.org/officeDocument/2006/relationships/hyperlink" Target="https://www.parliament.nsw.gov.au/lcdocs/submissions/76459/0007%20Independent%20Pricing%20and%20Regulatory%20Tribunal%20NSW.pdf" TargetMode="External"/><Relationship Id="rId146" Type="http://schemas.openxmlformats.org/officeDocument/2006/relationships/hyperlink" Target="https://www.parliament.nsw.gov.au/lcdocs/other/16320/11.%20PWC%20report%20dated%20December%202019.pdf" TargetMode="External"/><Relationship Id="rId167" Type="http://schemas.openxmlformats.org/officeDocument/2006/relationships/hyperlink" Target="https://www.bitre.gov.au/sites/default/files/sp_002_pittfalls_in_competitve_tendering.pdf" TargetMode="External"/><Relationship Id="rId7" Type="http://schemas.openxmlformats.org/officeDocument/2006/relationships/hyperlink" Target="https://www.parliament.nsw.gov.au/lcdocs/transcripts/2737/Transcript%20-%20UNCORRECTED%20-%20PC%206%20-%20Transport%20and%20Roads%20-%202%20November%202021.pdf" TargetMode="External"/><Relationship Id="rId71" Type="http://schemas.openxmlformats.org/officeDocument/2006/relationships/hyperlink" Target="http://ncp.ncc.gov.au/docs/National%20Competition%20Policy%20Review%20report,%20The%20Hilmer%20Report,%20August%201993.pdf" TargetMode="External"/><Relationship Id="rId92" Type="http://schemas.openxmlformats.org/officeDocument/2006/relationships/hyperlink" Target="https://tahensw.com.au/" TargetMode="External"/><Relationship Id="rId162" Type="http://schemas.openxmlformats.org/officeDocument/2006/relationships/hyperlink" Target="https://www.thejadebeagle.com/policy-spad.html" TargetMode="External"/><Relationship Id="rId2" Type="http://schemas.openxmlformats.org/officeDocument/2006/relationships/hyperlink" Target="https://www.parliament.nsw.gov.au/committees/inquiries/Pages/inquiry-details.aspx?pk=2819" TargetMode="External"/><Relationship Id="rId29" Type="http://schemas.openxmlformats.org/officeDocument/2006/relationships/hyperlink" Target="https://www.ipart.nsw.gov.au/sites/default/files/documents/draft_report_-_aspects_of_the_nsw_rail_access_regime_-_february_1999.pdf" TargetMode="External"/><Relationship Id="rId24" Type="http://schemas.openxmlformats.org/officeDocument/2006/relationships/hyperlink" Target="http://ncp.ncc.gov.au/pages/about" TargetMode="External"/><Relationship Id="rId40" Type="http://schemas.openxmlformats.org/officeDocument/2006/relationships/hyperlink" Target="https://www.pc.gov.au/__data/assets/pdf_file/0020/34526/rail.pdf" TargetMode="External"/><Relationship Id="rId45" Type="http://schemas.openxmlformats.org/officeDocument/2006/relationships/hyperlink" Target="https://www.thejadebeagle.com/policy-spad.html%20section%204.2" TargetMode="External"/><Relationship Id="rId66" Type="http://schemas.openxmlformats.org/officeDocument/2006/relationships/hyperlink" Target="https://www.dpc.nsw.gov.au/assets/dpc-nsw-gov-au/publications/Sydney-Ferries-listing-440/440477d422/Report-of-the-Special-Commission-of-Inquiry-into-Sydney-Ferries.pdf" TargetMode="External"/><Relationship Id="rId87" Type="http://schemas.openxmlformats.org/officeDocument/2006/relationships/hyperlink" Target="https://www.parliament.nsw.gov.au/lcdocs/transcripts/2768/Transcript%20-%20TAHE%20-%20Uncorrected%20-%208%20November%202021.pdf" TargetMode="External"/><Relationship Id="rId110" Type="http://schemas.openxmlformats.org/officeDocument/2006/relationships/hyperlink" Target="https://www.parliament.nsw.gov.au/tp/files/42517/GlenbrookInterim2%5b1%5d.pdf" TargetMode="External"/><Relationship Id="rId115" Type="http://schemas.openxmlformats.org/officeDocument/2006/relationships/hyperlink" Target="https://www.parliament.nsw.gov.au/tp/files/50980/A9RB6AA.tmp.pdf" TargetMode="External"/><Relationship Id="rId131" Type="http://schemas.openxmlformats.org/officeDocument/2006/relationships/hyperlink" Target="https://www.parliament.nsw.gov.au/bill/files/1540/LA%209808.pdf" TargetMode="External"/><Relationship Id="rId136" Type="http://schemas.openxmlformats.org/officeDocument/2006/relationships/hyperlink" Target="https://www.parliament.nsw.gov.au/bill/files/657/Transport%20Amdt%20Bill%20-%20LC%202nd%20Reading.pdf" TargetMode="External"/><Relationship Id="rId157" Type="http://schemas.openxmlformats.org/officeDocument/2006/relationships/hyperlink" Target="https://www.parliament.nsw.gov.au/lcdocs/transcripts/2769/Transcript%20-%20TAHE%20-%20Uncorrected%20-%2015%20November%202021.pdf" TargetMode="External"/><Relationship Id="rId61" Type="http://schemas.openxmlformats.org/officeDocument/2006/relationships/hyperlink" Target="https://www.pc.gov.au/inquiries/completed/freight" TargetMode="External"/><Relationship Id="rId82" Type="http://schemas.openxmlformats.org/officeDocument/2006/relationships/hyperlink" Target="https://en.wikipedia.org/wiki/Rail_transport_in_Victoria" TargetMode="External"/><Relationship Id="rId152" Type="http://schemas.openxmlformats.org/officeDocument/2006/relationships/hyperlink" Target="https://www.parliament.nsw.gov.au/lcdocs/other/16246/AQONS%20-%20Treasury%20NSW%20-%20received%205%20November%202021.pdf" TargetMode="External"/><Relationship Id="rId173" Type="http://schemas.openxmlformats.org/officeDocument/2006/relationships/hyperlink" Target="https://www.pc.gov.au/research/completed/gte0607/gte-2006-07.pdf" TargetMode="External"/><Relationship Id="rId19" Type="http://schemas.openxmlformats.org/officeDocument/2006/relationships/hyperlink" Target="https://www.parliament.nsw.gov.au/lcdocs/submissions/76629/0009%20NSW%20Treasury%20and%20Transport%20for%20NSW.pdf" TargetMode="External"/><Relationship Id="rId14" Type="http://schemas.openxmlformats.org/officeDocument/2006/relationships/hyperlink" Target="https://www.smh.com.au/national/nsw/nsw-s-top-transport-chief-to-step-down-after-three-years-in-role-20201118-p56fra.html" TargetMode="External"/><Relationship Id="rId30" Type="http://schemas.openxmlformats.org/officeDocument/2006/relationships/hyperlink" Target="http://ncp.ncc.gov.au/docs/PIAn00-001.pdf" TargetMode="External"/><Relationship Id="rId35" Type="http://schemas.openxmlformats.org/officeDocument/2006/relationships/hyperlink" Target="http://ncp.ncc.gov.au/docs/Competition%20Principles%20Agreement,%2011%20April%201995%20as%20amended%202007.pdf" TargetMode="External"/><Relationship Id="rId56" Type="http://schemas.openxmlformats.org/officeDocument/2006/relationships/hyperlink" Target="https://www.parliament.nsw.gov.au/tp/files/42517/GlenbrookInterim2%5b1%5d.pdf" TargetMode="External"/><Relationship Id="rId77" Type="http://schemas.openxmlformats.org/officeDocument/2006/relationships/hyperlink" Target="https://www.queenslandrail.com.au/ourhistory/the-queensland-rail-journey" TargetMode="External"/><Relationship Id="rId100" Type="http://schemas.openxmlformats.org/officeDocument/2006/relationships/hyperlink" Target="https://www.onrsr.com.au/operator-essentials/the-onrsr-way" TargetMode="External"/><Relationship Id="rId105" Type="http://schemas.openxmlformats.org/officeDocument/2006/relationships/hyperlink" Target="https://www.parliament.nsw.gov.au/lcdocs/submissions/76437/0006%20NSW%20Government.pdf" TargetMode="External"/><Relationship Id="rId126" Type="http://schemas.openxmlformats.org/officeDocument/2006/relationships/hyperlink" Target="https://www.thejadebeagle.com/dogs-breakfast-for-all.html" TargetMode="External"/><Relationship Id="rId147" Type="http://schemas.openxmlformats.org/officeDocument/2006/relationships/hyperlink" Target="https://www.parliament.nsw.gov.au/lcdocs/other/16324/TAHE%20Initial%20Assessment%20of%20Options_Final%20Report%20(21072020).pdf" TargetMode="External"/><Relationship Id="rId168" Type="http://schemas.openxmlformats.org/officeDocument/2006/relationships/hyperlink" Target="https://apo.org.au/sites/default/files/resource-files/apo-nid309595.pdf" TargetMode="External"/><Relationship Id="rId8" Type="http://schemas.openxmlformats.org/officeDocument/2006/relationships/hyperlink" Target="https://www.themandarin.com.au/174587-brendan-lyon-exposes-the-rotten-world-of-high-stakes-consulting/" TargetMode="External"/><Relationship Id="rId51" Type="http://schemas.openxmlformats.org/officeDocument/2006/relationships/hyperlink" Target="http://ncp.ncc.gov.au/docs/CISp00-007.pdf" TargetMode="External"/><Relationship Id="rId72" Type="http://schemas.openxmlformats.org/officeDocument/2006/relationships/hyperlink" Target="https://www.pc.gov.au/inquiries/completed/access/files/ncpagreement.pdf" TargetMode="External"/><Relationship Id="rId93" Type="http://schemas.openxmlformats.org/officeDocument/2006/relationships/hyperlink" Target="https://tahensw.com.au/" TargetMode="External"/><Relationship Id="rId98" Type="http://schemas.openxmlformats.org/officeDocument/2006/relationships/hyperlink" Target="https://tahensw.com.au/assets/TAHEoperatingmodel.pdf" TargetMode="External"/><Relationship Id="rId121" Type="http://schemas.openxmlformats.org/officeDocument/2006/relationships/hyperlink" Target="https://www.parliament.nsw.gov.au/bill/files/1499/A9603.pdf" TargetMode="External"/><Relationship Id="rId142" Type="http://schemas.openxmlformats.org/officeDocument/2006/relationships/hyperlink" Target="https://www.artc.com.au/uploads/ARTCS3090007_HV.pdf" TargetMode="External"/><Relationship Id="rId163" Type="http://schemas.openxmlformats.org/officeDocument/2006/relationships/hyperlink" Target="https://www.parliament.nsw.gov.au/lcdocs/transcripts/2784/Transcript%20-%20Uncorrected%20-%2016%20December%202021.pdf" TargetMode="External"/><Relationship Id="rId3" Type="http://schemas.openxmlformats.org/officeDocument/2006/relationships/hyperlink" Target="https://www.parliament.nsw.gov.au/committees/inquiries/Pages/inquiry-details.aspx?pk=2819" TargetMode="External"/><Relationship Id="rId25" Type="http://schemas.openxmlformats.org/officeDocument/2006/relationships/hyperlink" Target="http://ncp.ncc.gov.au/docs/Competition%20Principles%20Agreement,%2011%20April%201995%20as%20amended%202007.pdf" TargetMode="External"/><Relationship Id="rId46" Type="http://schemas.openxmlformats.org/officeDocument/2006/relationships/hyperlink" Target="https://www.thejadebeagle.com/policy-spad.html" TargetMode="External"/><Relationship Id="rId67" Type="http://schemas.openxmlformats.org/officeDocument/2006/relationships/hyperlink" Target="https://www.ipart.nsw.gov.au/Home/Industries/Transport/Reviews/Public-Transport-Fares/Review-of-CityRail-fares-from-2009-and-regulatory-framework" TargetMode="External"/><Relationship Id="rId116" Type="http://schemas.openxmlformats.org/officeDocument/2006/relationships/hyperlink" Target="https://en.wikipedia.org/wiki/Minister_for_Transport_and_Roads_(New_South_Wales)" TargetMode="External"/><Relationship Id="rId137" Type="http://schemas.openxmlformats.org/officeDocument/2006/relationships/hyperlink" Target="https://www.thejadebeagle.com/dogs-breakfast-for-all.html" TargetMode="External"/><Relationship Id="rId158" Type="http://schemas.openxmlformats.org/officeDocument/2006/relationships/hyperlink" Target="https://www.thejadebeagle.com/policy-spad.html" TargetMode="External"/><Relationship Id="rId20" Type="http://schemas.openxmlformats.org/officeDocument/2006/relationships/hyperlink" Target="http://ncp.ncc.gov.au/docs/National%20Competition%20Policy%20Review%20report,%20The%20Hilmer%20Report,%20August%201993.pdf" TargetMode="External"/><Relationship Id="rId41" Type="http://schemas.openxmlformats.org/officeDocument/2006/relationships/hyperlink" Target="https://www.nber.org/system/files/chapters/c10194/c10194.pdf" TargetMode="External"/><Relationship Id="rId62" Type="http://schemas.openxmlformats.org/officeDocument/2006/relationships/hyperlink" Target="https://www.thejadebeagle.com/roads.html" TargetMode="External"/><Relationship Id="rId83" Type="http://schemas.openxmlformats.org/officeDocument/2006/relationships/hyperlink" Target="https://www.econstor.eu/bitstream/10419/173919/1/868642231.pdf" TargetMode="External"/><Relationship Id="rId88" Type="http://schemas.openxmlformats.org/officeDocument/2006/relationships/hyperlink" Target="https://www.parliament.nsw.gov.au/lcdocs/other/16118/KPMG.pdf" TargetMode="External"/><Relationship Id="rId111" Type="http://schemas.openxmlformats.org/officeDocument/2006/relationships/hyperlink" Target="https://www.thejadebeagle.com/policy-spad.html" TargetMode="External"/><Relationship Id="rId132" Type="http://schemas.openxmlformats.org/officeDocument/2006/relationships/hyperlink" Target="https://www.dpc.nsw.gov.au/assets/dpc-nsw-gov-au/publications/Sydney-Ferries-listing-440/440477d422/Report-of-the-Special-Commission-of-Inquiry-into-Sydney-Ferries.pdf" TargetMode="External"/><Relationship Id="rId153" Type="http://schemas.openxmlformats.org/officeDocument/2006/relationships/hyperlink" Target="https://www.vgls.vic.gov.au/client/en_AU/search/asset/1145203/0" TargetMode="External"/><Relationship Id="rId174" Type="http://schemas.openxmlformats.org/officeDocument/2006/relationships/hyperlink" Target="https://www.pc.gov.au/research/completed/government-trading-enterprises/gte0304/gte0304.pdf%20p.249" TargetMode="External"/><Relationship Id="rId15" Type="http://schemas.openxmlformats.org/officeDocument/2006/relationships/hyperlink" Target="https://www.parliament.nsw.gov.au/lcdocs/other/16416/Letter%20from%20NSW%20Treasury%20responding%20to%20evidence%20provided%20by%20Mr%20Brendan%20Lyon,%20Former%20Partner,%20KPMG%20Australia%20redacted.pdf" TargetMode="External"/><Relationship Id="rId36" Type="http://schemas.openxmlformats.org/officeDocument/2006/relationships/hyperlink" Target="https://www.thejadebeagle.com/policy-spad.html" TargetMode="External"/><Relationship Id="rId57" Type="http://schemas.openxmlformats.org/officeDocument/2006/relationships/hyperlink" Target="https://www.pc.gov.au/inquiries/completed/national-competition-policy/report/ncp.pdf" TargetMode="External"/><Relationship Id="rId106" Type="http://schemas.openxmlformats.org/officeDocument/2006/relationships/hyperlink" Target="https://www.parliament.nsw.gov.au/lcdocs/other/16416/Letter%20from%20NSW%20Treasury%20responding%20to%20evidence%20provided%20by%20Mr%20Brendan%20Lyon,%20Former%20Partner,%20KPMG%20Australia%20redacted.pdf" TargetMode="External"/><Relationship Id="rId127" Type="http://schemas.openxmlformats.org/officeDocument/2006/relationships/hyperlink" Target="https://catalogue.nla.gov.au/Record/30489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305AAF-8B82-4C01-8CD2-97237C88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64976</TotalTime>
  <Pages>62</Pages>
  <Words>21730</Words>
  <Characters>123861</Characters>
  <Application>Microsoft Office Word</Application>
  <DocSecurity>0</DocSecurity>
  <Lines>1032</Lines>
  <Paragraphs>290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Austen</dc:creator>
  <cp:keywords/>
  <dc:description/>
  <cp:lastModifiedBy>John Austen</cp:lastModifiedBy>
  <cp:revision>80</cp:revision>
  <dcterms:created xsi:type="dcterms:W3CDTF">2021-11-06T00:33:00Z</dcterms:created>
  <dcterms:modified xsi:type="dcterms:W3CDTF">2022-01-14T09:49:00Z</dcterms:modified>
</cp:coreProperties>
</file>