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30BF" w14:textId="77777777" w:rsidR="00C23B50" w:rsidRDefault="00072242" w:rsidP="00CE7BE8">
      <w:pPr>
        <w:pStyle w:val="Heading1"/>
        <w:spacing w:before="0"/>
        <w:rPr>
          <w:lang w:val="en-AU"/>
        </w:rPr>
      </w:pPr>
      <w:r>
        <w:rPr>
          <w:lang w:val="en-AU"/>
        </w:rPr>
        <w:t xml:space="preserve">Infrastructure Australia’s </w:t>
      </w:r>
      <w:r w:rsidR="00ED7550">
        <w:rPr>
          <w:lang w:val="en-AU"/>
        </w:rPr>
        <w:t xml:space="preserve">national </w:t>
      </w:r>
      <w:r w:rsidR="0091760D">
        <w:rPr>
          <w:lang w:val="en-AU"/>
        </w:rPr>
        <w:t>plan</w:t>
      </w:r>
      <w:r w:rsidR="00ED7550">
        <w:rPr>
          <w:lang w:val="en-AU"/>
        </w:rPr>
        <w:t xml:space="preserve"> and transport</w:t>
      </w:r>
      <w:r w:rsidR="0027693B">
        <w:rPr>
          <w:lang w:val="en-AU"/>
        </w:rPr>
        <w:t xml:space="preserve"> – the need for another </w:t>
      </w:r>
      <w:r w:rsidR="00642821">
        <w:rPr>
          <w:lang w:val="en-AU"/>
        </w:rPr>
        <w:t>attempt</w:t>
      </w:r>
    </w:p>
    <w:p w14:paraId="3BCCF644" w14:textId="356A33DE" w:rsidR="000B78DB" w:rsidRDefault="00853805" w:rsidP="00CE7BE8">
      <w:pPr>
        <w:spacing w:after="0"/>
        <w:rPr>
          <w:lang w:val="en-AU"/>
        </w:rPr>
      </w:pPr>
      <w:bookmarkStart w:id="0" w:name="_GoBack"/>
      <w:r w:rsidRPr="00D2207B">
        <w:rPr>
          <w:i/>
          <w:lang w:val="en-AU"/>
        </w:rPr>
        <w:t>I</w:t>
      </w:r>
      <w:r w:rsidR="000B78DB" w:rsidRPr="00D2207B">
        <w:rPr>
          <w:i/>
          <w:lang w:val="en-AU"/>
        </w:rPr>
        <w:t>nfrastructure Australia</w:t>
      </w:r>
      <w:r w:rsidRPr="00D2207B">
        <w:rPr>
          <w:i/>
          <w:lang w:val="en-AU"/>
        </w:rPr>
        <w:t>’s latest</w:t>
      </w:r>
      <w:r w:rsidR="008946E3" w:rsidRPr="00D2207B">
        <w:rPr>
          <w:i/>
          <w:lang w:val="en-AU"/>
        </w:rPr>
        <w:t xml:space="preserve"> a</w:t>
      </w:r>
      <w:r w:rsidR="000B78DB" w:rsidRPr="00D2207B">
        <w:rPr>
          <w:i/>
          <w:lang w:val="en-AU"/>
        </w:rPr>
        <w:t>ttempt at a</w:t>
      </w:r>
      <w:r w:rsidR="00833A3A" w:rsidRPr="00D2207B">
        <w:rPr>
          <w:i/>
          <w:lang w:val="en-AU"/>
        </w:rPr>
        <w:t>n</w:t>
      </w:r>
      <w:r w:rsidR="000B78DB" w:rsidRPr="00D2207B">
        <w:rPr>
          <w:i/>
          <w:lang w:val="en-AU"/>
        </w:rPr>
        <w:t xml:space="preserve"> infrastructure plan</w:t>
      </w:r>
      <w:r w:rsidRPr="00D2207B">
        <w:rPr>
          <w:i/>
          <w:lang w:val="en-AU"/>
        </w:rPr>
        <w:t xml:space="preserve"> was passable</w:t>
      </w:r>
      <w:r w:rsidR="000B78DB" w:rsidRPr="00D2207B">
        <w:rPr>
          <w:i/>
          <w:lang w:val="en-AU"/>
        </w:rPr>
        <w:t xml:space="preserve">, but Australia deserves better. </w:t>
      </w:r>
      <w:r w:rsidR="006C02D6" w:rsidRPr="00D2207B">
        <w:rPr>
          <w:i/>
          <w:lang w:val="en-AU"/>
        </w:rPr>
        <w:t>There should be a new plan</w:t>
      </w:r>
      <w:r w:rsidR="008946E3" w:rsidRPr="00D2207B">
        <w:rPr>
          <w:i/>
          <w:lang w:val="en-AU"/>
        </w:rPr>
        <w:t>:</w:t>
      </w:r>
      <w:r w:rsidR="006C02D6" w:rsidRPr="00D2207B">
        <w:rPr>
          <w:i/>
          <w:lang w:val="en-AU"/>
        </w:rPr>
        <w:t xml:space="preserve"> with</w:t>
      </w:r>
      <w:r w:rsidRPr="00D2207B">
        <w:rPr>
          <w:i/>
          <w:lang w:val="en-AU"/>
        </w:rPr>
        <w:t xml:space="preserve">out </w:t>
      </w:r>
      <w:r w:rsidR="006C02D6" w:rsidRPr="00D2207B">
        <w:rPr>
          <w:i/>
          <w:lang w:val="en-AU"/>
        </w:rPr>
        <w:t xml:space="preserve">bias towards </w:t>
      </w:r>
      <w:r w:rsidRPr="00D2207B">
        <w:rPr>
          <w:i/>
          <w:lang w:val="en-AU"/>
        </w:rPr>
        <w:t>roads</w:t>
      </w:r>
      <w:r w:rsidR="006C02D6" w:rsidRPr="00D2207B">
        <w:rPr>
          <w:i/>
          <w:lang w:val="en-AU"/>
        </w:rPr>
        <w:t>; align</w:t>
      </w:r>
      <w:r w:rsidR="008946E3" w:rsidRPr="00D2207B">
        <w:rPr>
          <w:i/>
          <w:lang w:val="en-AU"/>
        </w:rPr>
        <w:t>ed to</w:t>
      </w:r>
      <w:r w:rsidR="006C02D6" w:rsidRPr="00D2207B">
        <w:rPr>
          <w:i/>
          <w:lang w:val="en-AU"/>
        </w:rPr>
        <w:t xml:space="preserve"> </w:t>
      </w:r>
      <w:r w:rsidR="000B78DB" w:rsidRPr="00D2207B">
        <w:rPr>
          <w:i/>
          <w:lang w:val="en-AU"/>
        </w:rPr>
        <w:t>proper transport polic</w:t>
      </w:r>
      <w:r w:rsidRPr="00D2207B">
        <w:rPr>
          <w:i/>
          <w:lang w:val="en-AU"/>
        </w:rPr>
        <w:t>ies</w:t>
      </w:r>
      <w:r w:rsidR="006C02D6" w:rsidRPr="00D2207B">
        <w:rPr>
          <w:i/>
          <w:lang w:val="en-AU"/>
        </w:rPr>
        <w:t xml:space="preserve">; </w:t>
      </w:r>
      <w:r w:rsidR="00F92447" w:rsidRPr="00D2207B">
        <w:rPr>
          <w:i/>
          <w:lang w:val="en-AU"/>
        </w:rPr>
        <w:t>more attenti</w:t>
      </w:r>
      <w:r w:rsidR="005B0483" w:rsidRPr="00D2207B">
        <w:rPr>
          <w:i/>
          <w:lang w:val="en-AU"/>
        </w:rPr>
        <w:t xml:space="preserve">on to </w:t>
      </w:r>
      <w:r w:rsidR="00F92447" w:rsidRPr="00D2207B">
        <w:rPr>
          <w:i/>
          <w:lang w:val="en-AU"/>
        </w:rPr>
        <w:t xml:space="preserve">national issues; </w:t>
      </w:r>
      <w:r w:rsidR="008946E3" w:rsidRPr="00D2207B">
        <w:rPr>
          <w:i/>
          <w:lang w:val="en-AU"/>
        </w:rPr>
        <w:t xml:space="preserve">with </w:t>
      </w:r>
      <w:r w:rsidR="006C02D6" w:rsidRPr="00D2207B">
        <w:rPr>
          <w:i/>
          <w:lang w:val="en-AU"/>
        </w:rPr>
        <w:t>recommendations for</w:t>
      </w:r>
      <w:r w:rsidR="000B78DB" w:rsidRPr="00D2207B">
        <w:rPr>
          <w:i/>
          <w:lang w:val="en-AU"/>
        </w:rPr>
        <w:t xml:space="preserve"> the Commonwealth.  </w:t>
      </w:r>
      <w:r w:rsidRPr="00D2207B">
        <w:rPr>
          <w:i/>
          <w:lang w:val="en-AU"/>
        </w:rPr>
        <w:t>R</w:t>
      </w:r>
      <w:r w:rsidR="000B78DB" w:rsidRPr="00D2207B">
        <w:rPr>
          <w:i/>
          <w:lang w:val="en-AU"/>
        </w:rPr>
        <w:t xml:space="preserve">eal involvement of </w:t>
      </w:r>
      <w:r w:rsidR="00CE7BE8" w:rsidRPr="00D2207B">
        <w:rPr>
          <w:i/>
          <w:lang w:val="en-AU"/>
        </w:rPr>
        <w:t>Parliament,</w:t>
      </w:r>
      <w:r w:rsidR="000B78DB" w:rsidRPr="00D2207B">
        <w:rPr>
          <w:i/>
          <w:lang w:val="en-AU"/>
        </w:rPr>
        <w:t xml:space="preserve"> especially the Senate</w:t>
      </w:r>
      <w:r w:rsidRPr="00D2207B">
        <w:rPr>
          <w:i/>
          <w:lang w:val="en-AU"/>
        </w:rPr>
        <w:t>, is needed</w:t>
      </w:r>
      <w:bookmarkEnd w:id="0"/>
      <w:r w:rsidR="000B78DB">
        <w:rPr>
          <w:lang w:val="en-AU"/>
        </w:rPr>
        <w:t>.</w:t>
      </w:r>
    </w:p>
    <w:p w14:paraId="4110513D" w14:textId="77777777" w:rsidR="00CE7BE8" w:rsidRPr="000B78DB" w:rsidRDefault="00CE7BE8" w:rsidP="00CE7BE8">
      <w:pPr>
        <w:spacing w:after="0"/>
        <w:rPr>
          <w:lang w:val="en-AU"/>
        </w:rPr>
      </w:pPr>
    </w:p>
    <w:p w14:paraId="2A097664" w14:textId="77777777" w:rsidR="00D161A5" w:rsidRDefault="00D161A5" w:rsidP="00CE7BE8">
      <w:pPr>
        <w:pStyle w:val="Heading2"/>
        <w:spacing w:before="0"/>
        <w:rPr>
          <w:lang w:val="en-AU"/>
        </w:rPr>
      </w:pPr>
      <w:r>
        <w:rPr>
          <w:lang w:val="en-AU"/>
        </w:rPr>
        <w:t>The current plan</w:t>
      </w:r>
    </w:p>
    <w:p w14:paraId="1A076F42" w14:textId="065CCCFA" w:rsidR="00CE7BE8" w:rsidRDefault="00D161A5" w:rsidP="00CE7BE8">
      <w:pPr>
        <w:spacing w:after="0"/>
        <w:rPr>
          <w:lang w:val="en-AU"/>
        </w:rPr>
      </w:pPr>
      <w:r>
        <w:rPr>
          <w:lang w:val="en-AU"/>
        </w:rPr>
        <w:t xml:space="preserve">Infrastructure Australia’s </w:t>
      </w:r>
      <w:r w:rsidR="002266AA">
        <w:rPr>
          <w:lang w:val="en-AU"/>
        </w:rPr>
        <w:t xml:space="preserve">latest </w:t>
      </w:r>
      <w:r w:rsidR="00072242">
        <w:rPr>
          <w:lang w:val="en-AU"/>
        </w:rPr>
        <w:t xml:space="preserve">infrastructure </w:t>
      </w:r>
      <w:r w:rsidR="0091760D">
        <w:rPr>
          <w:lang w:val="en-AU"/>
        </w:rPr>
        <w:t>plan</w:t>
      </w:r>
      <w:r w:rsidR="002266AA">
        <w:rPr>
          <w:lang w:val="en-AU"/>
        </w:rPr>
        <w:t xml:space="preserve"> </w:t>
      </w:r>
      <w:r>
        <w:rPr>
          <w:lang w:val="en-AU"/>
        </w:rPr>
        <w:t>(</w:t>
      </w:r>
      <w:r w:rsidR="002266AA">
        <w:rPr>
          <w:lang w:val="en-AU"/>
        </w:rPr>
        <w:t>early 2016</w:t>
      </w:r>
      <w:r>
        <w:rPr>
          <w:lang w:val="en-AU"/>
        </w:rPr>
        <w:t>)</w:t>
      </w:r>
      <w:r w:rsidR="002266AA">
        <w:rPr>
          <w:lang w:val="en-AU"/>
        </w:rPr>
        <w:t xml:space="preserve"> </w:t>
      </w:r>
      <w:r w:rsidR="0091760D">
        <w:rPr>
          <w:lang w:val="en-AU"/>
        </w:rPr>
        <w:t xml:space="preserve">arose out of </w:t>
      </w:r>
      <w:r w:rsidR="002266AA">
        <w:rPr>
          <w:lang w:val="en-AU"/>
        </w:rPr>
        <w:t>its</w:t>
      </w:r>
      <w:r w:rsidR="0091760D">
        <w:rPr>
          <w:lang w:val="en-AU"/>
        </w:rPr>
        <w:t xml:space="preserve"> </w:t>
      </w:r>
      <w:r w:rsidR="002266AA">
        <w:rPr>
          <w:lang w:val="en-AU"/>
        </w:rPr>
        <w:t>national</w:t>
      </w:r>
      <w:r w:rsidR="00CB5658">
        <w:rPr>
          <w:lang w:val="en-AU"/>
        </w:rPr>
        <w:t xml:space="preserve"> audit</w:t>
      </w:r>
      <w:r w:rsidR="006C4B85">
        <w:rPr>
          <w:lang w:val="en-AU"/>
        </w:rPr>
        <w:t xml:space="preserve"> which identified ‘problems’ defined as impediments to economic contribution.</w:t>
      </w:r>
      <w:r w:rsidR="00002A67">
        <w:rPr>
          <w:rStyle w:val="EndnoteReference"/>
          <w:lang w:val="en-AU"/>
        </w:rPr>
        <w:endnoteReference w:id="1"/>
      </w:r>
      <w:r w:rsidR="006C4B85">
        <w:rPr>
          <w:lang w:val="en-AU"/>
        </w:rPr>
        <w:t xml:space="preserve"> </w:t>
      </w:r>
    </w:p>
    <w:p w14:paraId="31303630" w14:textId="77777777" w:rsidR="00002A67" w:rsidRDefault="00002A67" w:rsidP="00CE7BE8">
      <w:pPr>
        <w:spacing w:after="0"/>
        <w:rPr>
          <w:lang w:val="en-AU"/>
        </w:rPr>
      </w:pPr>
    </w:p>
    <w:p w14:paraId="2A43F16C" w14:textId="32A46079" w:rsidR="00736FFA" w:rsidRDefault="0091760D" w:rsidP="00736FFA">
      <w:pPr>
        <w:spacing w:after="0"/>
        <w:rPr>
          <w:lang w:val="en-AU"/>
        </w:rPr>
      </w:pPr>
      <w:r>
        <w:rPr>
          <w:lang w:val="en-AU"/>
        </w:rPr>
        <w:t xml:space="preserve">The </w:t>
      </w:r>
      <w:r w:rsidR="006C4B85">
        <w:rPr>
          <w:lang w:val="en-AU"/>
        </w:rPr>
        <w:t xml:space="preserve">subsequent </w:t>
      </w:r>
      <w:r w:rsidR="00736FFA">
        <w:rPr>
          <w:lang w:val="en-AU"/>
        </w:rPr>
        <w:t>plan grouped ‘problems’ into categories such as urban congestion</w:t>
      </w:r>
      <w:r w:rsidR="00A83F8B">
        <w:rPr>
          <w:lang w:val="en-AU"/>
        </w:rPr>
        <w:t>,</w:t>
      </w:r>
      <w:r w:rsidR="00736FFA">
        <w:rPr>
          <w:lang w:val="en-AU"/>
        </w:rPr>
        <w:t xml:space="preserve"> national connectivity</w:t>
      </w:r>
      <w:r w:rsidR="00A83F8B">
        <w:rPr>
          <w:lang w:val="en-AU"/>
        </w:rPr>
        <w:t>,</w:t>
      </w:r>
      <w:r w:rsidR="00736FFA">
        <w:rPr>
          <w:lang w:val="en-AU"/>
        </w:rPr>
        <w:t xml:space="preserve"> opportunity for growth</w:t>
      </w:r>
      <w:r w:rsidR="005B0483">
        <w:rPr>
          <w:lang w:val="en-AU"/>
        </w:rPr>
        <w:t xml:space="preserve"> </w:t>
      </w:r>
      <w:r w:rsidR="00D872D4">
        <w:rPr>
          <w:lang w:val="en-AU"/>
        </w:rPr>
        <w:t>and</w:t>
      </w:r>
      <w:r w:rsidR="005B0483">
        <w:rPr>
          <w:lang w:val="en-AU"/>
        </w:rPr>
        <w:t xml:space="preserve"> </w:t>
      </w:r>
      <w:r w:rsidR="00736FFA">
        <w:rPr>
          <w:lang w:val="en-AU"/>
        </w:rPr>
        <w:t>efficient markets.  The basis for categorisation is unclear.</w:t>
      </w:r>
      <w:r w:rsidR="00002A67">
        <w:rPr>
          <w:rStyle w:val="EndnoteReference"/>
          <w:lang w:val="en-AU"/>
        </w:rPr>
        <w:endnoteReference w:id="2"/>
      </w:r>
      <w:r w:rsidR="00736FFA">
        <w:rPr>
          <w:lang w:val="en-AU"/>
        </w:rPr>
        <w:t xml:space="preserve">   </w:t>
      </w:r>
    </w:p>
    <w:p w14:paraId="0B9189CA" w14:textId="77777777" w:rsidR="00736FFA" w:rsidRDefault="00736FFA" w:rsidP="00CE7BE8">
      <w:pPr>
        <w:spacing w:after="0"/>
        <w:rPr>
          <w:lang w:val="en-AU"/>
        </w:rPr>
      </w:pPr>
    </w:p>
    <w:p w14:paraId="695FBDC8" w14:textId="3C85DFA0" w:rsidR="00ED33CA" w:rsidRDefault="0091760D" w:rsidP="00CE7BE8">
      <w:pPr>
        <w:spacing w:after="0"/>
        <w:rPr>
          <w:lang w:val="en-AU"/>
        </w:rPr>
      </w:pPr>
      <w:r>
        <w:rPr>
          <w:lang w:val="en-AU"/>
        </w:rPr>
        <w:t>Transport featured prominently</w:t>
      </w:r>
      <w:r w:rsidR="00853805">
        <w:rPr>
          <w:lang w:val="en-AU"/>
        </w:rPr>
        <w:t xml:space="preserve"> </w:t>
      </w:r>
      <w:r w:rsidR="005B0483">
        <w:rPr>
          <w:lang w:val="en-AU"/>
        </w:rPr>
        <w:t xml:space="preserve">in the new plan </w:t>
      </w:r>
      <w:r w:rsidR="00853805">
        <w:rPr>
          <w:lang w:val="en-AU"/>
        </w:rPr>
        <w:t>reflecting</w:t>
      </w:r>
      <w:r w:rsidR="00705B23">
        <w:rPr>
          <w:lang w:val="en-AU"/>
        </w:rPr>
        <w:t xml:space="preserve"> an unusual view</w:t>
      </w:r>
      <w:r>
        <w:rPr>
          <w:lang w:val="en-AU"/>
        </w:rPr>
        <w:t xml:space="preserve">; </w:t>
      </w:r>
      <w:r w:rsidR="006C4B85">
        <w:rPr>
          <w:lang w:val="en-AU"/>
        </w:rPr>
        <w:t xml:space="preserve">that </w:t>
      </w:r>
      <w:r>
        <w:rPr>
          <w:lang w:val="en-AU"/>
        </w:rPr>
        <w:t xml:space="preserve">travel time savings </w:t>
      </w:r>
      <w:r w:rsidR="00853805">
        <w:rPr>
          <w:lang w:val="en-AU"/>
        </w:rPr>
        <w:t>equal</w:t>
      </w:r>
      <w:r w:rsidR="005B0483">
        <w:rPr>
          <w:lang w:val="en-AU"/>
        </w:rPr>
        <w:t>s</w:t>
      </w:r>
      <w:r>
        <w:rPr>
          <w:lang w:val="en-AU"/>
        </w:rPr>
        <w:t xml:space="preserve"> higher economic activity</w:t>
      </w:r>
      <w:r w:rsidR="00A83F8B">
        <w:rPr>
          <w:lang w:val="en-AU"/>
        </w:rPr>
        <w:t>.  This creates</w:t>
      </w:r>
      <w:r w:rsidR="005B0483">
        <w:rPr>
          <w:lang w:val="en-AU"/>
        </w:rPr>
        <w:t xml:space="preserve"> a bias</w:t>
      </w:r>
      <w:r w:rsidR="00736FFA">
        <w:rPr>
          <w:lang w:val="en-AU"/>
        </w:rPr>
        <w:t xml:space="preserve"> towards big cities and </w:t>
      </w:r>
      <w:r w:rsidR="00853805">
        <w:rPr>
          <w:lang w:val="en-AU"/>
        </w:rPr>
        <w:t>roads</w:t>
      </w:r>
      <w:r>
        <w:rPr>
          <w:lang w:val="en-AU"/>
        </w:rPr>
        <w:t xml:space="preserve"> </w:t>
      </w:r>
      <w:r w:rsidR="005319FC">
        <w:rPr>
          <w:lang w:val="en-AU"/>
        </w:rPr>
        <w:t>built for cars.</w:t>
      </w:r>
      <w:r w:rsidR="00ED33CA">
        <w:rPr>
          <w:lang w:val="en-AU"/>
        </w:rPr>
        <w:t xml:space="preserve">  </w:t>
      </w:r>
      <w:r w:rsidR="00D220BA">
        <w:rPr>
          <w:lang w:val="en-AU"/>
        </w:rPr>
        <w:t xml:space="preserve">There </w:t>
      </w:r>
      <w:r w:rsidR="009C0310">
        <w:rPr>
          <w:lang w:val="en-AU"/>
        </w:rPr>
        <w:t xml:space="preserve">is </w:t>
      </w:r>
      <w:r w:rsidR="005B0483">
        <w:rPr>
          <w:lang w:val="en-AU"/>
        </w:rPr>
        <w:t xml:space="preserve">also a </w:t>
      </w:r>
      <w:r w:rsidR="000B78DB">
        <w:rPr>
          <w:lang w:val="en-AU"/>
        </w:rPr>
        <w:t>further</w:t>
      </w:r>
      <w:r w:rsidR="00D220BA">
        <w:rPr>
          <w:lang w:val="en-AU"/>
        </w:rPr>
        <w:t xml:space="preserve"> reason </w:t>
      </w:r>
      <w:r w:rsidR="009C0310">
        <w:rPr>
          <w:lang w:val="en-AU"/>
        </w:rPr>
        <w:t>for</w:t>
      </w:r>
      <w:r w:rsidR="00D220BA">
        <w:rPr>
          <w:lang w:val="en-AU"/>
        </w:rPr>
        <w:t xml:space="preserve"> sceptic</w:t>
      </w:r>
      <w:r w:rsidR="009C0310">
        <w:rPr>
          <w:lang w:val="en-AU"/>
        </w:rPr>
        <w:t>ism</w:t>
      </w:r>
      <w:r w:rsidR="00CE7BE8">
        <w:rPr>
          <w:lang w:val="en-AU"/>
        </w:rPr>
        <w:t xml:space="preserve"> abou</w:t>
      </w:r>
      <w:r w:rsidR="00642821">
        <w:rPr>
          <w:lang w:val="en-AU"/>
        </w:rPr>
        <w:t>t</w:t>
      </w:r>
      <w:r w:rsidR="00CE7BE8">
        <w:rPr>
          <w:lang w:val="en-AU"/>
        </w:rPr>
        <w:t xml:space="preserve"> </w:t>
      </w:r>
      <w:r w:rsidR="00736FFA">
        <w:rPr>
          <w:lang w:val="en-AU"/>
        </w:rPr>
        <w:t>the results;</w:t>
      </w:r>
      <w:r w:rsidR="00D220BA">
        <w:rPr>
          <w:lang w:val="en-AU"/>
        </w:rPr>
        <w:t xml:space="preserve"> pr</w:t>
      </w:r>
      <w:r w:rsidR="000B78DB">
        <w:rPr>
          <w:lang w:val="en-AU"/>
        </w:rPr>
        <w:t>evious reports probably</w:t>
      </w:r>
      <w:r w:rsidR="00ED33CA">
        <w:rPr>
          <w:lang w:val="en-AU"/>
        </w:rPr>
        <w:t xml:space="preserve"> exaggerat</w:t>
      </w:r>
      <w:r w:rsidR="000B78DB">
        <w:rPr>
          <w:lang w:val="en-AU"/>
        </w:rPr>
        <w:t>ed</w:t>
      </w:r>
      <w:r w:rsidR="00986368">
        <w:rPr>
          <w:lang w:val="en-AU"/>
        </w:rPr>
        <w:t xml:space="preserve"> </w:t>
      </w:r>
      <w:r w:rsidR="00ED33CA">
        <w:rPr>
          <w:lang w:val="en-AU"/>
        </w:rPr>
        <w:t>congestion costs.</w:t>
      </w:r>
      <w:r w:rsidR="00175544">
        <w:rPr>
          <w:lang w:val="en-AU"/>
        </w:rPr>
        <w:t xml:space="preserve"> </w:t>
      </w:r>
      <w:r w:rsidR="00ED33CA">
        <w:rPr>
          <w:lang w:val="en-AU"/>
        </w:rPr>
        <w:t xml:space="preserve"> </w:t>
      </w:r>
    </w:p>
    <w:p w14:paraId="190092BA" w14:textId="77777777" w:rsidR="00CE7BE8" w:rsidRDefault="00CE7BE8" w:rsidP="00CE7BE8">
      <w:pPr>
        <w:spacing w:after="0"/>
        <w:rPr>
          <w:lang w:val="en-AU"/>
        </w:rPr>
      </w:pPr>
    </w:p>
    <w:p w14:paraId="4609A0B8" w14:textId="76E0D277" w:rsidR="00736FFA" w:rsidRDefault="00736FFA" w:rsidP="00736FFA">
      <w:pPr>
        <w:spacing w:after="0"/>
        <w:rPr>
          <w:lang w:val="en-AU"/>
        </w:rPr>
      </w:pPr>
      <w:r>
        <w:rPr>
          <w:lang w:val="en-AU"/>
        </w:rPr>
        <w:t>An intention was for the plan to avoid a list dominated by state proposals.</w:t>
      </w:r>
      <w:r w:rsidR="00D872D4">
        <w:rPr>
          <w:lang w:val="en-AU"/>
        </w:rPr>
        <w:t xml:space="preserve">  This was not achieved.  State</w:t>
      </w:r>
      <w:r>
        <w:rPr>
          <w:lang w:val="en-AU"/>
        </w:rPr>
        <w:t xml:space="preserve"> identified proposals</w:t>
      </w:r>
      <w:r w:rsidR="00D872D4">
        <w:rPr>
          <w:lang w:val="en-AU"/>
        </w:rPr>
        <w:t xml:space="preserve"> again dominated.</w:t>
      </w:r>
      <w:r>
        <w:rPr>
          <w:lang w:val="en-AU"/>
        </w:rPr>
        <w:t xml:space="preserve">  </w:t>
      </w:r>
    </w:p>
    <w:p w14:paraId="7A6780B1" w14:textId="77777777" w:rsidR="00736FFA" w:rsidRDefault="00736FFA" w:rsidP="00CE7BE8">
      <w:pPr>
        <w:spacing w:after="0"/>
        <w:rPr>
          <w:lang w:val="en-AU"/>
        </w:rPr>
      </w:pPr>
    </w:p>
    <w:p w14:paraId="6FC0FBF0" w14:textId="4C3A5A00" w:rsidR="00986368" w:rsidRDefault="00ED33CA" w:rsidP="00CE7BE8">
      <w:pPr>
        <w:spacing w:after="0"/>
        <w:rPr>
          <w:lang w:val="en-AU"/>
        </w:rPr>
      </w:pPr>
      <w:r>
        <w:rPr>
          <w:lang w:val="en-AU"/>
        </w:rPr>
        <w:t xml:space="preserve">As </w:t>
      </w:r>
      <w:r w:rsidR="005B0483">
        <w:rPr>
          <w:lang w:val="en-AU"/>
        </w:rPr>
        <w:t>was the case in the</w:t>
      </w:r>
      <w:r>
        <w:rPr>
          <w:lang w:val="en-AU"/>
        </w:rPr>
        <w:t xml:space="preserve"> initial </w:t>
      </w:r>
      <w:r w:rsidR="00867E5B">
        <w:rPr>
          <w:lang w:val="en-AU"/>
        </w:rPr>
        <w:t>2007 i</w:t>
      </w:r>
      <w:r>
        <w:rPr>
          <w:lang w:val="en-AU"/>
        </w:rPr>
        <w:t xml:space="preserve">nfrastructure </w:t>
      </w:r>
      <w:r w:rsidR="00867E5B">
        <w:rPr>
          <w:lang w:val="en-AU"/>
        </w:rPr>
        <w:t>plan</w:t>
      </w:r>
      <w:r w:rsidR="000B03CB">
        <w:rPr>
          <w:lang w:val="en-AU"/>
        </w:rPr>
        <w:t>,</w:t>
      </w:r>
      <w:r w:rsidR="00986368">
        <w:rPr>
          <w:lang w:val="en-AU"/>
        </w:rPr>
        <w:t xml:space="preserve"> very few </w:t>
      </w:r>
      <w:r w:rsidR="000B78DB">
        <w:rPr>
          <w:lang w:val="en-AU"/>
        </w:rPr>
        <w:t xml:space="preserve">problem solving </w:t>
      </w:r>
      <w:r w:rsidR="00986368">
        <w:rPr>
          <w:lang w:val="en-AU"/>
        </w:rPr>
        <w:t>proposals were recommended</w:t>
      </w:r>
      <w:r w:rsidR="00D872D4">
        <w:rPr>
          <w:lang w:val="en-AU"/>
        </w:rPr>
        <w:t xml:space="preserve"> </w:t>
      </w:r>
      <w:r w:rsidR="00A83F8B">
        <w:rPr>
          <w:lang w:val="en-AU"/>
        </w:rPr>
        <w:t>i</w:t>
      </w:r>
      <w:r w:rsidR="005B0483">
        <w:rPr>
          <w:lang w:val="en-AU"/>
        </w:rPr>
        <w:t>n the new plan.</w:t>
      </w:r>
      <w:r w:rsidR="00986368">
        <w:rPr>
          <w:lang w:val="en-AU"/>
        </w:rPr>
        <w:t xml:space="preserve"> </w:t>
      </w:r>
      <w:r w:rsidR="009C0310">
        <w:rPr>
          <w:lang w:val="en-AU"/>
        </w:rPr>
        <w:t>The following table summar</w:t>
      </w:r>
      <w:r w:rsidR="0003230F">
        <w:rPr>
          <w:lang w:val="en-AU"/>
        </w:rPr>
        <w:t>ises</w:t>
      </w:r>
      <w:r w:rsidR="009C0310">
        <w:rPr>
          <w:lang w:val="en-AU"/>
        </w:rPr>
        <w:t xml:space="preserve"> results.</w:t>
      </w:r>
    </w:p>
    <w:p w14:paraId="598E06EB" w14:textId="77777777" w:rsidR="00CE7BE8" w:rsidRPr="00833A3A" w:rsidRDefault="00CE7BE8" w:rsidP="00CE7BE8">
      <w:pPr>
        <w:spacing w:after="0"/>
        <w:rPr>
          <w:b/>
          <w:lang w:val="en-AU"/>
        </w:rPr>
      </w:pPr>
    </w:p>
    <w:p w14:paraId="38AC5264" w14:textId="77777777" w:rsidR="00833A3A" w:rsidRPr="00833A3A" w:rsidRDefault="00833A3A" w:rsidP="00CE7BE8">
      <w:pPr>
        <w:spacing w:after="0"/>
        <w:rPr>
          <w:b/>
          <w:lang w:val="en-AU"/>
        </w:rPr>
      </w:pPr>
      <w:r w:rsidRPr="00833A3A">
        <w:rPr>
          <w:b/>
          <w:lang w:val="en-AU"/>
        </w:rPr>
        <w:t>Australian infrastructure plan 2016, project proposals</w:t>
      </w:r>
    </w:p>
    <w:tbl>
      <w:tblPr>
        <w:tblStyle w:val="TableGrid"/>
        <w:tblW w:w="0" w:type="auto"/>
        <w:tblLook w:val="04A0" w:firstRow="1" w:lastRow="0" w:firstColumn="1" w:lastColumn="0" w:noHBand="0" w:noVBand="1"/>
      </w:tblPr>
      <w:tblGrid>
        <w:gridCol w:w="3006"/>
        <w:gridCol w:w="3005"/>
      </w:tblGrid>
      <w:tr w:rsidR="00E81AC4" w:rsidRPr="00642821" w14:paraId="70BEDB8F" w14:textId="77777777" w:rsidTr="00986368">
        <w:tc>
          <w:tcPr>
            <w:tcW w:w="3006" w:type="dxa"/>
          </w:tcPr>
          <w:p w14:paraId="45E1AB2E" w14:textId="77777777" w:rsidR="00E81AC4" w:rsidRPr="00642821" w:rsidRDefault="00E81AC4" w:rsidP="00CE7BE8">
            <w:pPr>
              <w:rPr>
                <w:sz w:val="20"/>
                <w:szCs w:val="20"/>
                <w:lang w:val="en-AU"/>
              </w:rPr>
            </w:pPr>
          </w:p>
        </w:tc>
        <w:tc>
          <w:tcPr>
            <w:tcW w:w="3005" w:type="dxa"/>
          </w:tcPr>
          <w:p w14:paraId="7D70F047" w14:textId="77777777" w:rsidR="00E81AC4" w:rsidRPr="00642821" w:rsidRDefault="0003230F" w:rsidP="00CE7BE8">
            <w:pPr>
              <w:rPr>
                <w:sz w:val="20"/>
                <w:szCs w:val="20"/>
                <w:lang w:val="en-AU"/>
              </w:rPr>
            </w:pPr>
            <w:r w:rsidRPr="00642821">
              <w:rPr>
                <w:sz w:val="20"/>
                <w:szCs w:val="20"/>
                <w:lang w:val="en-AU"/>
              </w:rPr>
              <w:t>P</w:t>
            </w:r>
            <w:r w:rsidR="00E81AC4" w:rsidRPr="00642821">
              <w:rPr>
                <w:sz w:val="20"/>
                <w:szCs w:val="20"/>
                <w:lang w:val="en-AU"/>
              </w:rPr>
              <w:t>roposals</w:t>
            </w:r>
          </w:p>
        </w:tc>
      </w:tr>
      <w:tr w:rsidR="00E81AC4" w:rsidRPr="00642821" w14:paraId="1BD21BEF" w14:textId="77777777" w:rsidTr="00986368">
        <w:tc>
          <w:tcPr>
            <w:tcW w:w="3006" w:type="dxa"/>
          </w:tcPr>
          <w:p w14:paraId="64FA023F" w14:textId="77777777" w:rsidR="00E81AC4" w:rsidRPr="00642821" w:rsidRDefault="00E81AC4" w:rsidP="00CE7BE8">
            <w:pPr>
              <w:rPr>
                <w:sz w:val="20"/>
                <w:szCs w:val="20"/>
                <w:lang w:val="en-AU"/>
              </w:rPr>
            </w:pPr>
            <w:r w:rsidRPr="00642821">
              <w:rPr>
                <w:sz w:val="20"/>
                <w:szCs w:val="20"/>
                <w:lang w:val="en-AU"/>
              </w:rPr>
              <w:t>Total</w:t>
            </w:r>
          </w:p>
        </w:tc>
        <w:tc>
          <w:tcPr>
            <w:tcW w:w="3005" w:type="dxa"/>
          </w:tcPr>
          <w:p w14:paraId="66350A1E" w14:textId="77777777" w:rsidR="00E81AC4" w:rsidRPr="00642821" w:rsidRDefault="00E81AC4" w:rsidP="00CE7BE8">
            <w:pPr>
              <w:rPr>
                <w:sz w:val="20"/>
                <w:szCs w:val="20"/>
                <w:lang w:val="en-AU"/>
              </w:rPr>
            </w:pPr>
            <w:r w:rsidRPr="00642821">
              <w:rPr>
                <w:sz w:val="20"/>
                <w:szCs w:val="20"/>
                <w:lang w:val="en-AU"/>
              </w:rPr>
              <w:t>90</w:t>
            </w:r>
          </w:p>
        </w:tc>
      </w:tr>
      <w:tr w:rsidR="0003230F" w:rsidRPr="00642821" w14:paraId="2800931E" w14:textId="77777777" w:rsidTr="00986368">
        <w:tc>
          <w:tcPr>
            <w:tcW w:w="3006" w:type="dxa"/>
          </w:tcPr>
          <w:p w14:paraId="66865D0A" w14:textId="77777777" w:rsidR="0003230F" w:rsidRPr="00642821" w:rsidRDefault="0003230F" w:rsidP="00CE7BE8">
            <w:pPr>
              <w:rPr>
                <w:sz w:val="20"/>
                <w:szCs w:val="20"/>
                <w:lang w:val="en-AU"/>
              </w:rPr>
            </w:pPr>
            <w:r w:rsidRPr="00642821">
              <w:rPr>
                <w:sz w:val="20"/>
                <w:szCs w:val="20"/>
                <w:lang w:val="en-AU"/>
              </w:rPr>
              <w:t>Capital cities</w:t>
            </w:r>
          </w:p>
        </w:tc>
        <w:tc>
          <w:tcPr>
            <w:tcW w:w="3005" w:type="dxa"/>
          </w:tcPr>
          <w:p w14:paraId="4BAC31D5" w14:textId="77777777" w:rsidR="0003230F" w:rsidRPr="00642821" w:rsidRDefault="0003230F" w:rsidP="00CE7BE8">
            <w:pPr>
              <w:rPr>
                <w:sz w:val="20"/>
                <w:szCs w:val="20"/>
                <w:lang w:val="en-AU"/>
              </w:rPr>
            </w:pPr>
            <w:r w:rsidRPr="00642821">
              <w:rPr>
                <w:sz w:val="20"/>
                <w:szCs w:val="20"/>
                <w:lang w:val="en-AU"/>
              </w:rPr>
              <w:t>62</w:t>
            </w:r>
          </w:p>
        </w:tc>
      </w:tr>
      <w:tr w:rsidR="0003230F" w:rsidRPr="00642821" w14:paraId="5C279920" w14:textId="77777777" w:rsidTr="00986368">
        <w:tc>
          <w:tcPr>
            <w:tcW w:w="3006" w:type="dxa"/>
          </w:tcPr>
          <w:p w14:paraId="3918BE77" w14:textId="77777777" w:rsidR="0003230F" w:rsidRPr="00642821" w:rsidRDefault="0003230F" w:rsidP="00CE7BE8">
            <w:pPr>
              <w:rPr>
                <w:sz w:val="20"/>
                <w:szCs w:val="20"/>
                <w:lang w:val="en-AU"/>
              </w:rPr>
            </w:pPr>
            <w:r w:rsidRPr="00642821">
              <w:rPr>
                <w:sz w:val="20"/>
                <w:szCs w:val="20"/>
                <w:lang w:val="en-AU"/>
              </w:rPr>
              <w:t>Roads</w:t>
            </w:r>
          </w:p>
        </w:tc>
        <w:tc>
          <w:tcPr>
            <w:tcW w:w="3005" w:type="dxa"/>
          </w:tcPr>
          <w:p w14:paraId="054FA989" w14:textId="77777777" w:rsidR="0003230F" w:rsidRPr="00642821" w:rsidRDefault="0003230F" w:rsidP="00CE7BE8">
            <w:pPr>
              <w:rPr>
                <w:sz w:val="20"/>
                <w:szCs w:val="20"/>
                <w:lang w:val="en-AU"/>
              </w:rPr>
            </w:pPr>
            <w:r w:rsidRPr="00642821">
              <w:rPr>
                <w:sz w:val="20"/>
                <w:szCs w:val="20"/>
                <w:lang w:val="en-AU"/>
              </w:rPr>
              <w:t>36</w:t>
            </w:r>
          </w:p>
        </w:tc>
      </w:tr>
      <w:tr w:rsidR="0003230F" w:rsidRPr="00642821" w14:paraId="66BFD1B7" w14:textId="77777777" w:rsidTr="00986368">
        <w:tc>
          <w:tcPr>
            <w:tcW w:w="3006" w:type="dxa"/>
          </w:tcPr>
          <w:p w14:paraId="762A4ED7" w14:textId="77777777" w:rsidR="0003230F" w:rsidRPr="00642821" w:rsidRDefault="0003230F" w:rsidP="00CE7BE8">
            <w:pPr>
              <w:rPr>
                <w:sz w:val="20"/>
                <w:szCs w:val="20"/>
                <w:lang w:val="en-AU"/>
              </w:rPr>
            </w:pPr>
            <w:r w:rsidRPr="00642821">
              <w:rPr>
                <w:sz w:val="20"/>
                <w:szCs w:val="20"/>
                <w:lang w:val="en-AU"/>
              </w:rPr>
              <w:t>Ready to proceed</w:t>
            </w:r>
            <w:r w:rsidR="0000310B" w:rsidRPr="00642821">
              <w:rPr>
                <w:sz w:val="20"/>
                <w:szCs w:val="20"/>
                <w:lang w:val="en-AU"/>
              </w:rPr>
              <w:t>*</w:t>
            </w:r>
          </w:p>
        </w:tc>
        <w:tc>
          <w:tcPr>
            <w:tcW w:w="3005" w:type="dxa"/>
          </w:tcPr>
          <w:p w14:paraId="501F95BA" w14:textId="77777777" w:rsidR="0003230F" w:rsidRPr="00642821" w:rsidRDefault="0003230F" w:rsidP="00CE7BE8">
            <w:pPr>
              <w:rPr>
                <w:sz w:val="20"/>
                <w:szCs w:val="20"/>
                <w:lang w:val="en-AU"/>
              </w:rPr>
            </w:pPr>
            <w:r w:rsidRPr="00642821">
              <w:rPr>
                <w:sz w:val="20"/>
                <w:szCs w:val="20"/>
                <w:lang w:val="en-AU"/>
              </w:rPr>
              <w:t>2</w:t>
            </w:r>
          </w:p>
        </w:tc>
      </w:tr>
    </w:tbl>
    <w:p w14:paraId="67DD4ED1" w14:textId="77777777" w:rsidR="00D161A5" w:rsidRPr="00642821" w:rsidRDefault="0000310B" w:rsidP="00CE7BE8">
      <w:pPr>
        <w:spacing w:after="0"/>
        <w:rPr>
          <w:sz w:val="18"/>
          <w:szCs w:val="18"/>
          <w:lang w:val="en-AU"/>
        </w:rPr>
      </w:pPr>
      <w:r w:rsidRPr="00642821">
        <w:rPr>
          <w:sz w:val="18"/>
          <w:szCs w:val="18"/>
          <w:lang w:val="en-AU"/>
        </w:rPr>
        <w:t>*</w:t>
      </w:r>
      <w:r w:rsidR="00833A3A" w:rsidRPr="00642821">
        <w:rPr>
          <w:sz w:val="18"/>
          <w:szCs w:val="18"/>
          <w:lang w:val="en-AU"/>
        </w:rPr>
        <w:t xml:space="preserve">the number of proposals ready to proceed etc. </w:t>
      </w:r>
      <w:r w:rsidRPr="00642821">
        <w:rPr>
          <w:sz w:val="18"/>
          <w:szCs w:val="18"/>
          <w:lang w:val="en-AU"/>
        </w:rPr>
        <w:t>increased after release of the plan</w:t>
      </w:r>
    </w:p>
    <w:p w14:paraId="30259300" w14:textId="77777777" w:rsidR="00833A3A" w:rsidRPr="00833A3A" w:rsidRDefault="00833A3A" w:rsidP="00CE7BE8">
      <w:pPr>
        <w:spacing w:after="0"/>
        <w:rPr>
          <w:sz w:val="18"/>
          <w:szCs w:val="18"/>
          <w:lang w:val="en-AU"/>
        </w:rPr>
      </w:pPr>
    </w:p>
    <w:p w14:paraId="2C853022" w14:textId="77777777" w:rsidR="00101EBD" w:rsidRDefault="0000310B" w:rsidP="00CE7BE8">
      <w:pPr>
        <w:spacing w:after="0"/>
        <w:rPr>
          <w:lang w:val="en-AU"/>
        </w:rPr>
      </w:pPr>
      <w:r>
        <w:rPr>
          <w:lang w:val="en-AU"/>
        </w:rPr>
        <w:t>T</w:t>
      </w:r>
      <w:r w:rsidR="00546F37">
        <w:rPr>
          <w:lang w:val="en-AU"/>
        </w:rPr>
        <w:t>he</w:t>
      </w:r>
      <w:r w:rsidR="00912D23">
        <w:rPr>
          <w:lang w:val="en-AU"/>
        </w:rPr>
        <w:t xml:space="preserve"> plan did not identify </w:t>
      </w:r>
      <w:r w:rsidR="00546F37">
        <w:rPr>
          <w:lang w:val="en-AU"/>
        </w:rPr>
        <w:t xml:space="preserve">all relevant </w:t>
      </w:r>
      <w:r>
        <w:rPr>
          <w:lang w:val="en-AU"/>
        </w:rPr>
        <w:t xml:space="preserve">national </w:t>
      </w:r>
      <w:r w:rsidR="00546F37">
        <w:rPr>
          <w:lang w:val="en-AU"/>
        </w:rPr>
        <w:t>infrastructure matters</w:t>
      </w:r>
      <w:r w:rsidR="00CE7BE8">
        <w:rPr>
          <w:lang w:val="en-AU"/>
        </w:rPr>
        <w:t xml:space="preserve"> eg.</w:t>
      </w:r>
      <w:r w:rsidR="00546F37">
        <w:rPr>
          <w:lang w:val="en-AU"/>
        </w:rPr>
        <w:t xml:space="preserve"> </w:t>
      </w:r>
      <w:proofErr w:type="gramStart"/>
      <w:r w:rsidR="00912D23">
        <w:rPr>
          <w:lang w:val="en-AU"/>
        </w:rPr>
        <w:t>d</w:t>
      </w:r>
      <w:r w:rsidR="00297A9B">
        <w:rPr>
          <w:lang w:val="en-AU"/>
        </w:rPr>
        <w:t>efence</w:t>
      </w:r>
      <w:proofErr w:type="gramEnd"/>
      <w:r w:rsidR="00297A9B">
        <w:rPr>
          <w:lang w:val="en-AU"/>
        </w:rPr>
        <w:t xml:space="preserve"> and interoperability matters </w:t>
      </w:r>
      <w:r w:rsidR="00BC56FC">
        <w:rPr>
          <w:lang w:val="en-AU"/>
        </w:rPr>
        <w:t>were</w:t>
      </w:r>
      <w:r w:rsidR="00297A9B">
        <w:rPr>
          <w:lang w:val="en-AU"/>
        </w:rPr>
        <w:t xml:space="preserve"> overlooked.</w:t>
      </w:r>
      <w:r w:rsidR="00101EBD">
        <w:rPr>
          <w:lang w:val="en-AU"/>
        </w:rPr>
        <w:t xml:space="preserve">  </w:t>
      </w:r>
      <w:r w:rsidR="006C6223">
        <w:rPr>
          <w:lang w:val="en-AU"/>
        </w:rPr>
        <w:t>Its</w:t>
      </w:r>
      <w:r w:rsidR="00253352">
        <w:rPr>
          <w:lang w:val="en-AU"/>
        </w:rPr>
        <w:t xml:space="preserve"> taxonomy d</w:t>
      </w:r>
      <w:r w:rsidR="00912D23">
        <w:rPr>
          <w:lang w:val="en-AU"/>
        </w:rPr>
        <w:t>id</w:t>
      </w:r>
      <w:r w:rsidR="00253352">
        <w:rPr>
          <w:lang w:val="en-AU"/>
        </w:rPr>
        <w:t xml:space="preserve"> not cover </w:t>
      </w:r>
      <w:r w:rsidR="006C4B85">
        <w:rPr>
          <w:lang w:val="en-AU"/>
        </w:rPr>
        <w:t xml:space="preserve">the field of </w:t>
      </w:r>
      <w:r w:rsidR="00101EBD">
        <w:rPr>
          <w:lang w:val="en-AU"/>
        </w:rPr>
        <w:t>infrastructure problem</w:t>
      </w:r>
      <w:r w:rsidR="006C4B85">
        <w:rPr>
          <w:lang w:val="en-AU"/>
        </w:rPr>
        <w:t>s</w:t>
      </w:r>
      <w:r w:rsidR="00253352">
        <w:rPr>
          <w:lang w:val="en-AU"/>
        </w:rPr>
        <w:t xml:space="preserve"> and there </w:t>
      </w:r>
      <w:r w:rsidR="00912D23">
        <w:rPr>
          <w:lang w:val="en-AU"/>
        </w:rPr>
        <w:t>we</w:t>
      </w:r>
      <w:r w:rsidR="00253352">
        <w:rPr>
          <w:lang w:val="en-AU"/>
        </w:rPr>
        <w:t xml:space="preserve">re gaps within each category; eg; </w:t>
      </w:r>
      <w:r w:rsidR="00101EBD">
        <w:rPr>
          <w:lang w:val="en-AU"/>
        </w:rPr>
        <w:t xml:space="preserve">‘opportunities for growth’ </w:t>
      </w:r>
      <w:r w:rsidR="00253352">
        <w:rPr>
          <w:lang w:val="en-AU"/>
        </w:rPr>
        <w:t>extend beyond</w:t>
      </w:r>
      <w:r w:rsidR="00101EBD">
        <w:rPr>
          <w:lang w:val="en-AU"/>
        </w:rPr>
        <w:t xml:space="preserve"> Tasmania</w:t>
      </w:r>
      <w:r w:rsidR="00253352">
        <w:rPr>
          <w:lang w:val="en-AU"/>
        </w:rPr>
        <w:t xml:space="preserve"> despite </w:t>
      </w:r>
      <w:r w:rsidR="008946E3">
        <w:rPr>
          <w:lang w:val="en-AU"/>
        </w:rPr>
        <w:t xml:space="preserve">the impression created by </w:t>
      </w:r>
      <w:r w:rsidR="00253352">
        <w:rPr>
          <w:lang w:val="en-AU"/>
        </w:rPr>
        <w:t>the plan</w:t>
      </w:r>
      <w:r w:rsidR="00101EBD">
        <w:rPr>
          <w:lang w:val="en-AU"/>
        </w:rPr>
        <w:t xml:space="preserve">.  </w:t>
      </w:r>
    </w:p>
    <w:p w14:paraId="0C94469F" w14:textId="77777777" w:rsidR="00CE7BE8" w:rsidRDefault="00CE7BE8" w:rsidP="00CE7BE8">
      <w:pPr>
        <w:spacing w:after="0"/>
        <w:rPr>
          <w:lang w:val="en-AU"/>
        </w:rPr>
      </w:pPr>
    </w:p>
    <w:p w14:paraId="2F65F311" w14:textId="77777777" w:rsidR="00867E5B" w:rsidRDefault="00297A9B" w:rsidP="00CE7BE8">
      <w:pPr>
        <w:spacing w:after="0"/>
        <w:rPr>
          <w:lang w:val="en-AU"/>
        </w:rPr>
      </w:pPr>
      <w:r>
        <w:rPr>
          <w:lang w:val="en-AU"/>
        </w:rPr>
        <w:t xml:space="preserve">More generally, </w:t>
      </w:r>
      <w:r w:rsidR="000D1AE0">
        <w:rPr>
          <w:lang w:val="en-AU"/>
        </w:rPr>
        <w:t xml:space="preserve">while </w:t>
      </w:r>
      <w:r w:rsidR="0000310B">
        <w:rPr>
          <w:lang w:val="en-AU"/>
        </w:rPr>
        <w:t>the plan focus</w:t>
      </w:r>
      <w:r w:rsidR="008946E3">
        <w:rPr>
          <w:lang w:val="en-AU"/>
        </w:rPr>
        <w:t>ed</w:t>
      </w:r>
      <w:r w:rsidR="0000310B">
        <w:rPr>
          <w:lang w:val="en-AU"/>
        </w:rPr>
        <w:t xml:space="preserve"> on potential projects</w:t>
      </w:r>
      <w:r w:rsidR="00912D23">
        <w:rPr>
          <w:lang w:val="en-AU"/>
        </w:rPr>
        <w:t xml:space="preserve"> </w:t>
      </w:r>
      <w:r w:rsidR="000D1AE0">
        <w:rPr>
          <w:lang w:val="en-AU"/>
        </w:rPr>
        <w:t>some</w:t>
      </w:r>
      <w:r w:rsidR="0000310B">
        <w:rPr>
          <w:lang w:val="en-AU"/>
        </w:rPr>
        <w:t xml:space="preserve"> </w:t>
      </w:r>
      <w:r w:rsidR="00912D23">
        <w:rPr>
          <w:lang w:val="en-AU"/>
        </w:rPr>
        <w:t>major</w:t>
      </w:r>
      <w:r w:rsidR="0000310B">
        <w:rPr>
          <w:lang w:val="en-AU"/>
        </w:rPr>
        <w:t xml:space="preserve"> </w:t>
      </w:r>
      <w:r w:rsidR="000D1AE0">
        <w:rPr>
          <w:lang w:val="en-AU"/>
        </w:rPr>
        <w:t xml:space="preserve">transport </w:t>
      </w:r>
      <w:r w:rsidR="00546F37">
        <w:rPr>
          <w:lang w:val="en-AU"/>
        </w:rPr>
        <w:t xml:space="preserve">policy </w:t>
      </w:r>
      <w:r w:rsidR="00912D23">
        <w:rPr>
          <w:lang w:val="en-AU"/>
        </w:rPr>
        <w:t>issues</w:t>
      </w:r>
      <w:r w:rsidR="0000310B">
        <w:rPr>
          <w:lang w:val="en-AU"/>
        </w:rPr>
        <w:t xml:space="preserve"> were </w:t>
      </w:r>
      <w:r w:rsidR="00912D23">
        <w:rPr>
          <w:lang w:val="en-AU"/>
        </w:rPr>
        <w:t xml:space="preserve">not recognised. </w:t>
      </w:r>
      <w:r w:rsidR="0000310B">
        <w:rPr>
          <w:lang w:val="en-AU"/>
        </w:rPr>
        <w:t xml:space="preserve"> For example</w:t>
      </w:r>
      <w:r w:rsidR="00912D23">
        <w:rPr>
          <w:lang w:val="en-AU"/>
        </w:rPr>
        <w:t xml:space="preserve"> the plan</w:t>
      </w:r>
      <w:r w:rsidR="00175544">
        <w:rPr>
          <w:lang w:val="en-AU"/>
        </w:rPr>
        <w:t>:</w:t>
      </w:r>
    </w:p>
    <w:p w14:paraId="752A9A94" w14:textId="77777777" w:rsidR="00546F37" w:rsidRPr="005A18C5" w:rsidRDefault="00867E5B" w:rsidP="00642821">
      <w:pPr>
        <w:pStyle w:val="ListParagraph"/>
        <w:numPr>
          <w:ilvl w:val="0"/>
          <w:numId w:val="4"/>
        </w:numPr>
        <w:spacing w:after="0"/>
        <w:ind w:left="567" w:hanging="567"/>
        <w:rPr>
          <w:lang w:val="en-AU"/>
        </w:rPr>
      </w:pPr>
      <w:r w:rsidRPr="005A18C5">
        <w:rPr>
          <w:lang w:val="en-AU"/>
        </w:rPr>
        <w:t>recommended a national freight and logistics ‘strategy’</w:t>
      </w:r>
      <w:r w:rsidR="004034C2">
        <w:rPr>
          <w:lang w:val="en-AU"/>
        </w:rPr>
        <w:t xml:space="preserve"> but</w:t>
      </w:r>
      <w:r w:rsidRPr="005A18C5">
        <w:rPr>
          <w:lang w:val="en-AU"/>
        </w:rPr>
        <w:t xml:space="preserve"> did not mention pre-existing</w:t>
      </w:r>
      <w:r w:rsidR="00546F37" w:rsidRPr="005A18C5">
        <w:rPr>
          <w:lang w:val="en-AU"/>
        </w:rPr>
        <w:t xml:space="preserve"> land freight and ports strategies</w:t>
      </w:r>
      <w:r w:rsidR="005A18C5">
        <w:rPr>
          <w:lang w:val="en-AU"/>
        </w:rPr>
        <w:t>;</w:t>
      </w:r>
    </w:p>
    <w:p w14:paraId="7E7923F0" w14:textId="64CDE357" w:rsidR="00297A9B" w:rsidRDefault="00912D23" w:rsidP="00642821">
      <w:pPr>
        <w:pStyle w:val="ListParagraph"/>
        <w:numPr>
          <w:ilvl w:val="0"/>
          <w:numId w:val="4"/>
        </w:numPr>
        <w:spacing w:after="0"/>
        <w:ind w:left="567" w:hanging="567"/>
        <w:rPr>
          <w:lang w:val="en-AU"/>
        </w:rPr>
      </w:pPr>
      <w:proofErr w:type="gramStart"/>
      <w:r>
        <w:rPr>
          <w:lang w:val="en-AU"/>
        </w:rPr>
        <w:t>did</w:t>
      </w:r>
      <w:proofErr w:type="gramEnd"/>
      <w:r w:rsidR="00705B23">
        <w:rPr>
          <w:lang w:val="en-AU"/>
        </w:rPr>
        <w:t xml:space="preserve"> not refer to </w:t>
      </w:r>
      <w:r w:rsidR="00175544">
        <w:rPr>
          <w:lang w:val="en-AU"/>
        </w:rPr>
        <w:t>the</w:t>
      </w:r>
      <w:r w:rsidR="005A18C5">
        <w:rPr>
          <w:lang w:val="en-AU"/>
        </w:rPr>
        <w:t xml:space="preserve"> </w:t>
      </w:r>
      <w:r w:rsidR="00546F37" w:rsidRPr="005A18C5">
        <w:rPr>
          <w:lang w:val="en-AU"/>
        </w:rPr>
        <w:t>suggest</w:t>
      </w:r>
      <w:r w:rsidR="005A18C5">
        <w:rPr>
          <w:lang w:val="en-AU"/>
        </w:rPr>
        <w:t xml:space="preserve">ion of </w:t>
      </w:r>
      <w:r w:rsidR="00546F37" w:rsidRPr="005A18C5">
        <w:rPr>
          <w:lang w:val="en-AU"/>
        </w:rPr>
        <w:t>assess</w:t>
      </w:r>
      <w:r w:rsidR="00CE7BE8">
        <w:rPr>
          <w:lang w:val="en-AU"/>
        </w:rPr>
        <w:t>ing</w:t>
      </w:r>
      <w:r w:rsidR="00546F37" w:rsidRPr="005A18C5">
        <w:rPr>
          <w:lang w:val="en-AU"/>
        </w:rPr>
        <w:t xml:space="preserve"> transport pro</w:t>
      </w:r>
      <w:r w:rsidR="00CE7BE8">
        <w:rPr>
          <w:lang w:val="en-AU"/>
        </w:rPr>
        <w:t>posals</w:t>
      </w:r>
      <w:r w:rsidR="00546F37" w:rsidRPr="005A18C5">
        <w:rPr>
          <w:lang w:val="en-AU"/>
        </w:rPr>
        <w:t xml:space="preserve"> ‘as if’ there was road pricing</w:t>
      </w:r>
      <w:r w:rsidR="005A18C5">
        <w:rPr>
          <w:lang w:val="en-AU"/>
        </w:rPr>
        <w:t>.  I</w:t>
      </w:r>
      <w:r w:rsidR="0000310B">
        <w:rPr>
          <w:lang w:val="en-AU"/>
        </w:rPr>
        <w:t xml:space="preserve">t </w:t>
      </w:r>
      <w:r>
        <w:rPr>
          <w:lang w:val="en-AU"/>
        </w:rPr>
        <w:t>(</w:t>
      </w:r>
      <w:r w:rsidR="00175544">
        <w:rPr>
          <w:lang w:val="en-AU"/>
        </w:rPr>
        <w:t>incorrectly</w:t>
      </w:r>
      <w:r w:rsidR="0000310B">
        <w:rPr>
          <w:lang w:val="en-AU"/>
        </w:rPr>
        <w:t>)</w:t>
      </w:r>
      <w:r w:rsidR="00175544">
        <w:rPr>
          <w:lang w:val="en-AU"/>
        </w:rPr>
        <w:t xml:space="preserve"> </w:t>
      </w:r>
      <w:r w:rsidR="00297A9B" w:rsidRPr="005A18C5">
        <w:rPr>
          <w:lang w:val="en-AU"/>
        </w:rPr>
        <w:t>regard</w:t>
      </w:r>
      <w:r>
        <w:rPr>
          <w:lang w:val="en-AU"/>
        </w:rPr>
        <w:t>ed</w:t>
      </w:r>
      <w:r w:rsidR="00297A9B" w:rsidRPr="005A18C5">
        <w:rPr>
          <w:lang w:val="en-AU"/>
        </w:rPr>
        <w:t xml:space="preserve"> pricing as a mechanism to raise revenue to build more roads</w:t>
      </w:r>
      <w:r w:rsidR="0000310B">
        <w:rPr>
          <w:lang w:val="en-AU"/>
        </w:rPr>
        <w:t xml:space="preserve">.  </w:t>
      </w:r>
      <w:r w:rsidR="00736FFA">
        <w:rPr>
          <w:lang w:val="en-AU"/>
        </w:rPr>
        <w:t>I</w:t>
      </w:r>
      <w:r w:rsidR="0000310B">
        <w:rPr>
          <w:lang w:val="en-AU"/>
        </w:rPr>
        <w:t>ts call</w:t>
      </w:r>
      <w:r w:rsidR="005A18C5">
        <w:rPr>
          <w:lang w:val="en-AU"/>
        </w:rPr>
        <w:t xml:space="preserve"> for </w:t>
      </w:r>
      <w:r w:rsidR="00297A9B" w:rsidRPr="005A18C5">
        <w:rPr>
          <w:lang w:val="en-AU"/>
        </w:rPr>
        <w:t>an in</w:t>
      </w:r>
      <w:r w:rsidR="0000310B">
        <w:rPr>
          <w:lang w:val="en-AU"/>
        </w:rPr>
        <w:t>quiry</w:t>
      </w:r>
      <w:r w:rsidR="00297A9B" w:rsidRPr="005A18C5">
        <w:rPr>
          <w:lang w:val="en-AU"/>
        </w:rPr>
        <w:t xml:space="preserve"> into road pricing</w:t>
      </w:r>
      <w:r w:rsidR="005A18C5">
        <w:rPr>
          <w:lang w:val="en-AU"/>
        </w:rPr>
        <w:t xml:space="preserve"> </w:t>
      </w:r>
      <w:r>
        <w:rPr>
          <w:lang w:val="en-AU"/>
        </w:rPr>
        <w:t>w</w:t>
      </w:r>
      <w:r w:rsidR="00CE7BE8">
        <w:rPr>
          <w:lang w:val="en-AU"/>
        </w:rPr>
        <w:t>as</w:t>
      </w:r>
      <w:r w:rsidR="005B0483">
        <w:rPr>
          <w:lang w:val="en-AU"/>
        </w:rPr>
        <w:t xml:space="preserve"> therefore</w:t>
      </w:r>
      <w:r w:rsidR="005A18C5">
        <w:rPr>
          <w:lang w:val="en-AU"/>
        </w:rPr>
        <w:t xml:space="preserve"> incongruous</w:t>
      </w:r>
      <w:r w:rsidR="0000310B">
        <w:rPr>
          <w:lang w:val="en-AU"/>
        </w:rPr>
        <w:t>;</w:t>
      </w:r>
      <w:r w:rsidR="00002A67">
        <w:rPr>
          <w:rStyle w:val="EndnoteReference"/>
          <w:lang w:val="en-AU"/>
        </w:rPr>
        <w:endnoteReference w:id="3"/>
      </w:r>
      <w:r w:rsidR="00D161A5">
        <w:rPr>
          <w:lang w:val="en-AU"/>
        </w:rPr>
        <w:t xml:space="preserve"> </w:t>
      </w:r>
    </w:p>
    <w:p w14:paraId="086497EA" w14:textId="2C73D3E2" w:rsidR="0000310B" w:rsidRDefault="0000310B" w:rsidP="00642821">
      <w:pPr>
        <w:pStyle w:val="ListParagraph"/>
        <w:numPr>
          <w:ilvl w:val="0"/>
          <w:numId w:val="4"/>
        </w:numPr>
        <w:spacing w:after="0"/>
        <w:ind w:left="567" w:hanging="567"/>
        <w:rPr>
          <w:lang w:val="en-AU"/>
        </w:rPr>
      </w:pPr>
      <w:r>
        <w:rPr>
          <w:lang w:val="en-AU"/>
        </w:rPr>
        <w:lastRenderedPageBreak/>
        <w:t xml:space="preserve">did not comment on significant, controversial infrastructure policy decisions such as the </w:t>
      </w:r>
      <w:r w:rsidR="00A83F8B">
        <w:rPr>
          <w:lang w:val="en-AU"/>
        </w:rPr>
        <w:t>anti-competitive aspects of the Newcastle port sale</w:t>
      </w:r>
      <w:r w:rsidR="00CE7BE8">
        <w:rPr>
          <w:lang w:val="en-AU"/>
        </w:rPr>
        <w:t>, the size of the Sydney metro tunnels</w:t>
      </w:r>
      <w:r>
        <w:rPr>
          <w:lang w:val="en-AU"/>
        </w:rPr>
        <w:t xml:space="preserve"> </w:t>
      </w:r>
      <w:r w:rsidR="00642821">
        <w:rPr>
          <w:lang w:val="en-AU"/>
        </w:rPr>
        <w:t>or</w:t>
      </w:r>
      <w:r>
        <w:rPr>
          <w:lang w:val="en-AU"/>
        </w:rPr>
        <w:t xml:space="preserve"> </w:t>
      </w:r>
      <w:r w:rsidR="00736FFA">
        <w:rPr>
          <w:lang w:val="en-AU"/>
        </w:rPr>
        <w:t xml:space="preserve">Commonwealth </w:t>
      </w:r>
      <w:r w:rsidR="00912D23">
        <w:rPr>
          <w:lang w:val="en-AU"/>
        </w:rPr>
        <w:t xml:space="preserve">Government </w:t>
      </w:r>
      <w:r>
        <w:rPr>
          <w:lang w:val="en-AU"/>
        </w:rPr>
        <w:t>‘rewards’ for privatisation.</w:t>
      </w:r>
    </w:p>
    <w:p w14:paraId="1624AAE0" w14:textId="77777777" w:rsidR="00CE7BE8" w:rsidRPr="005A18C5" w:rsidRDefault="00CE7BE8" w:rsidP="00CE7BE8">
      <w:pPr>
        <w:pStyle w:val="ListParagraph"/>
        <w:spacing w:after="0"/>
        <w:rPr>
          <w:lang w:val="en-AU"/>
        </w:rPr>
      </w:pPr>
    </w:p>
    <w:p w14:paraId="17BC1610" w14:textId="517FEFC9" w:rsidR="008A58FC" w:rsidRDefault="00297A9B" w:rsidP="00CE7BE8">
      <w:pPr>
        <w:spacing w:after="0"/>
        <w:rPr>
          <w:lang w:val="en-AU"/>
        </w:rPr>
      </w:pPr>
      <w:r>
        <w:rPr>
          <w:lang w:val="en-AU"/>
        </w:rPr>
        <w:t xml:space="preserve">The </w:t>
      </w:r>
      <w:r w:rsidR="00642821">
        <w:rPr>
          <w:lang w:val="en-AU"/>
        </w:rPr>
        <w:t>real</w:t>
      </w:r>
      <w:r>
        <w:rPr>
          <w:lang w:val="en-AU"/>
        </w:rPr>
        <w:t xml:space="preserve"> </w:t>
      </w:r>
      <w:r w:rsidR="000B004D">
        <w:rPr>
          <w:lang w:val="en-AU"/>
        </w:rPr>
        <w:t>deficiency</w:t>
      </w:r>
      <w:r>
        <w:rPr>
          <w:lang w:val="en-AU"/>
        </w:rPr>
        <w:t xml:space="preserve"> demonstrated </w:t>
      </w:r>
      <w:r w:rsidR="00735A77">
        <w:rPr>
          <w:lang w:val="en-AU"/>
        </w:rPr>
        <w:t>by</w:t>
      </w:r>
      <w:r>
        <w:rPr>
          <w:lang w:val="en-AU"/>
        </w:rPr>
        <w:t xml:space="preserve"> the audit and plan </w:t>
      </w:r>
      <w:r w:rsidR="008946E3">
        <w:rPr>
          <w:lang w:val="en-AU"/>
        </w:rPr>
        <w:t>i</w:t>
      </w:r>
      <w:r>
        <w:rPr>
          <w:lang w:val="en-AU"/>
        </w:rPr>
        <w:t xml:space="preserve">s </w:t>
      </w:r>
      <w:r w:rsidR="00D872D4">
        <w:rPr>
          <w:lang w:val="en-AU"/>
        </w:rPr>
        <w:t xml:space="preserve">a </w:t>
      </w:r>
      <w:r w:rsidR="000B004D">
        <w:rPr>
          <w:lang w:val="en-AU"/>
        </w:rPr>
        <w:t>lack of connection</w:t>
      </w:r>
      <w:r>
        <w:rPr>
          <w:lang w:val="en-AU"/>
        </w:rPr>
        <w:t xml:space="preserve"> between p</w:t>
      </w:r>
      <w:r w:rsidR="008A58FC">
        <w:rPr>
          <w:lang w:val="en-AU"/>
        </w:rPr>
        <w:t>olicy</w:t>
      </w:r>
      <w:r>
        <w:rPr>
          <w:lang w:val="en-AU"/>
        </w:rPr>
        <w:t xml:space="preserve">, </w:t>
      </w:r>
      <w:r w:rsidR="008A58FC">
        <w:rPr>
          <w:lang w:val="en-AU"/>
        </w:rPr>
        <w:t>program</w:t>
      </w:r>
      <w:r>
        <w:rPr>
          <w:lang w:val="en-AU"/>
        </w:rPr>
        <w:t xml:space="preserve"> and </w:t>
      </w:r>
      <w:r w:rsidR="008A58FC">
        <w:rPr>
          <w:lang w:val="en-AU"/>
        </w:rPr>
        <w:t>projects</w:t>
      </w:r>
      <w:r>
        <w:rPr>
          <w:lang w:val="en-AU"/>
        </w:rPr>
        <w:t xml:space="preserve">.  </w:t>
      </w:r>
      <w:r w:rsidR="005B0483">
        <w:rPr>
          <w:lang w:val="en-AU"/>
        </w:rPr>
        <w:t xml:space="preserve"> </w:t>
      </w:r>
      <w:r w:rsidR="00A83F8B">
        <w:rPr>
          <w:lang w:val="en-AU"/>
        </w:rPr>
        <w:t>Pro</w:t>
      </w:r>
      <w:r>
        <w:rPr>
          <w:lang w:val="en-AU"/>
        </w:rPr>
        <w:t xml:space="preserve">jects </w:t>
      </w:r>
      <w:r w:rsidR="00A83F8B">
        <w:rPr>
          <w:lang w:val="en-AU"/>
        </w:rPr>
        <w:t>can</w:t>
      </w:r>
      <w:r>
        <w:rPr>
          <w:lang w:val="en-AU"/>
        </w:rPr>
        <w:t xml:space="preserve"> hinder policies and national advancement</w:t>
      </w:r>
      <w:r w:rsidR="000B004D">
        <w:rPr>
          <w:lang w:val="en-AU"/>
        </w:rPr>
        <w:t xml:space="preserve">.  </w:t>
      </w:r>
      <w:r w:rsidR="00531370">
        <w:rPr>
          <w:lang w:val="en-AU"/>
        </w:rPr>
        <w:t xml:space="preserve">The risk is highest where policies </w:t>
      </w:r>
      <w:r w:rsidR="000D1AE0">
        <w:rPr>
          <w:lang w:val="en-AU"/>
        </w:rPr>
        <w:t>or</w:t>
      </w:r>
      <w:r w:rsidR="00531370">
        <w:rPr>
          <w:lang w:val="en-AU"/>
        </w:rPr>
        <w:t xml:space="preserve"> methodolog</w:t>
      </w:r>
      <w:r w:rsidR="00A83F8B">
        <w:rPr>
          <w:lang w:val="en-AU"/>
        </w:rPr>
        <w:t>ies</w:t>
      </w:r>
      <w:r w:rsidR="00531370">
        <w:rPr>
          <w:lang w:val="en-AU"/>
        </w:rPr>
        <w:t xml:space="preserve"> </w:t>
      </w:r>
      <w:r w:rsidR="00833A3A">
        <w:rPr>
          <w:lang w:val="en-AU"/>
        </w:rPr>
        <w:t>are</w:t>
      </w:r>
      <w:r w:rsidR="00531370">
        <w:rPr>
          <w:lang w:val="en-AU"/>
        </w:rPr>
        <w:t xml:space="preserve"> biase</w:t>
      </w:r>
      <w:r w:rsidR="00833A3A">
        <w:rPr>
          <w:lang w:val="en-AU"/>
        </w:rPr>
        <w:t>d</w:t>
      </w:r>
      <w:r w:rsidR="005B0483">
        <w:rPr>
          <w:lang w:val="en-AU"/>
        </w:rPr>
        <w:t xml:space="preserve"> such as</w:t>
      </w:r>
      <w:r w:rsidR="00531370">
        <w:rPr>
          <w:lang w:val="en-AU"/>
        </w:rPr>
        <w:t xml:space="preserve"> </w:t>
      </w:r>
      <w:r w:rsidR="00A83F8B">
        <w:rPr>
          <w:lang w:val="en-AU"/>
        </w:rPr>
        <w:t xml:space="preserve">in </w:t>
      </w:r>
      <w:r w:rsidR="00531370">
        <w:rPr>
          <w:lang w:val="en-AU"/>
        </w:rPr>
        <w:t>projects for major urban roads or that impede interoperability.</w:t>
      </w:r>
      <w:r w:rsidR="00A95554">
        <w:rPr>
          <w:lang w:val="en-AU"/>
        </w:rPr>
        <w:t xml:space="preserve">  </w:t>
      </w:r>
      <w:r w:rsidR="006C4B85">
        <w:rPr>
          <w:lang w:val="en-AU"/>
        </w:rPr>
        <w:t>F</w:t>
      </w:r>
      <w:r w:rsidR="006C02D6">
        <w:rPr>
          <w:lang w:val="en-AU"/>
        </w:rPr>
        <w:t>ailure to</w:t>
      </w:r>
      <w:r w:rsidR="006E059D">
        <w:rPr>
          <w:lang w:val="en-AU"/>
        </w:rPr>
        <w:t xml:space="preserve"> recogni</w:t>
      </w:r>
      <w:r w:rsidR="006C02D6">
        <w:rPr>
          <w:lang w:val="en-AU"/>
        </w:rPr>
        <w:t>se</w:t>
      </w:r>
      <w:r w:rsidR="006E059D">
        <w:rPr>
          <w:lang w:val="en-AU"/>
        </w:rPr>
        <w:t xml:space="preserve"> this, </w:t>
      </w:r>
      <w:r w:rsidR="006C4B85">
        <w:rPr>
          <w:lang w:val="en-AU"/>
        </w:rPr>
        <w:t>in the plan or by commentators</w:t>
      </w:r>
      <w:r w:rsidR="009C0310">
        <w:rPr>
          <w:lang w:val="en-AU"/>
        </w:rPr>
        <w:t>,</w:t>
      </w:r>
      <w:r w:rsidR="00705B23">
        <w:rPr>
          <w:lang w:val="en-AU"/>
        </w:rPr>
        <w:t xml:space="preserve"> </w:t>
      </w:r>
      <w:r>
        <w:rPr>
          <w:lang w:val="en-AU"/>
        </w:rPr>
        <w:t xml:space="preserve">suggests </w:t>
      </w:r>
      <w:r w:rsidR="00D872D4">
        <w:rPr>
          <w:lang w:val="en-AU"/>
        </w:rPr>
        <w:t xml:space="preserve">that </w:t>
      </w:r>
      <w:r>
        <w:rPr>
          <w:lang w:val="en-AU"/>
        </w:rPr>
        <w:t xml:space="preserve">the real </w:t>
      </w:r>
      <w:r w:rsidR="00C94C19">
        <w:rPr>
          <w:lang w:val="en-AU"/>
        </w:rPr>
        <w:t>infrastructure</w:t>
      </w:r>
      <w:r>
        <w:rPr>
          <w:lang w:val="en-AU"/>
        </w:rPr>
        <w:t xml:space="preserve"> </w:t>
      </w:r>
      <w:r w:rsidR="00D872D4">
        <w:rPr>
          <w:lang w:val="en-AU"/>
        </w:rPr>
        <w:t>problem</w:t>
      </w:r>
      <w:r w:rsidR="00912D23">
        <w:rPr>
          <w:lang w:val="en-AU"/>
        </w:rPr>
        <w:t xml:space="preserve"> relates to </w:t>
      </w:r>
      <w:r>
        <w:rPr>
          <w:lang w:val="en-AU"/>
        </w:rPr>
        <w:t xml:space="preserve">advice </w:t>
      </w:r>
      <w:r w:rsidR="006E059D">
        <w:rPr>
          <w:lang w:val="en-AU"/>
        </w:rPr>
        <w:t>not</w:t>
      </w:r>
      <w:r>
        <w:rPr>
          <w:lang w:val="en-AU"/>
        </w:rPr>
        <w:t xml:space="preserve"> projects</w:t>
      </w:r>
      <w:r w:rsidR="00C94C19">
        <w:rPr>
          <w:lang w:val="en-AU"/>
        </w:rPr>
        <w:t>.</w:t>
      </w:r>
      <w:r w:rsidR="00E15B45">
        <w:rPr>
          <w:lang w:val="en-AU"/>
        </w:rPr>
        <w:t xml:space="preserve">  </w:t>
      </w:r>
    </w:p>
    <w:p w14:paraId="25A7309E" w14:textId="77777777" w:rsidR="00CE7BE8" w:rsidRDefault="00CE7BE8" w:rsidP="00CE7BE8">
      <w:pPr>
        <w:spacing w:after="0"/>
        <w:rPr>
          <w:lang w:val="en-AU"/>
        </w:rPr>
      </w:pPr>
    </w:p>
    <w:p w14:paraId="1A00D7D8" w14:textId="3505F628" w:rsidR="008A58FC" w:rsidRDefault="00E15B45" w:rsidP="00CE7BE8">
      <w:pPr>
        <w:spacing w:after="0"/>
        <w:rPr>
          <w:lang w:val="en-AU"/>
        </w:rPr>
      </w:pPr>
      <w:r>
        <w:rPr>
          <w:lang w:val="en-AU"/>
        </w:rPr>
        <w:t>Th</w:t>
      </w:r>
      <w:r w:rsidR="006E059D">
        <w:rPr>
          <w:lang w:val="en-AU"/>
        </w:rPr>
        <w:t xml:space="preserve">is </w:t>
      </w:r>
      <w:r w:rsidR="006C4B85">
        <w:rPr>
          <w:lang w:val="en-AU"/>
        </w:rPr>
        <w:t xml:space="preserve">suggestion </w:t>
      </w:r>
      <w:r w:rsidR="006E059D">
        <w:rPr>
          <w:lang w:val="en-AU"/>
        </w:rPr>
        <w:t xml:space="preserve">is reinforced by </w:t>
      </w:r>
      <w:r w:rsidR="000D1AE0">
        <w:rPr>
          <w:lang w:val="en-AU"/>
        </w:rPr>
        <w:t>inadequate</w:t>
      </w:r>
      <w:r w:rsidR="008A58FC">
        <w:rPr>
          <w:lang w:val="en-AU"/>
        </w:rPr>
        <w:t xml:space="preserve"> </w:t>
      </w:r>
      <w:r>
        <w:rPr>
          <w:lang w:val="en-AU"/>
        </w:rPr>
        <w:t xml:space="preserve">involvement </w:t>
      </w:r>
      <w:r w:rsidR="00642821">
        <w:rPr>
          <w:lang w:val="en-AU"/>
        </w:rPr>
        <w:t>by, or</w:t>
      </w:r>
      <w:r>
        <w:rPr>
          <w:lang w:val="en-AU"/>
        </w:rPr>
        <w:t xml:space="preserve"> </w:t>
      </w:r>
      <w:r w:rsidR="009C0310">
        <w:rPr>
          <w:lang w:val="en-AU"/>
        </w:rPr>
        <w:t>proposal</w:t>
      </w:r>
      <w:r w:rsidR="006C02D6">
        <w:rPr>
          <w:lang w:val="en-AU"/>
        </w:rPr>
        <w:t>s</w:t>
      </w:r>
      <w:r w:rsidR="009C0310">
        <w:rPr>
          <w:lang w:val="en-AU"/>
        </w:rPr>
        <w:t xml:space="preserve"> for</w:t>
      </w:r>
      <w:r w:rsidR="00642821">
        <w:rPr>
          <w:lang w:val="en-AU"/>
        </w:rPr>
        <w:t>,</w:t>
      </w:r>
      <w:r w:rsidR="00FB4A14">
        <w:rPr>
          <w:lang w:val="en-AU"/>
        </w:rPr>
        <w:t xml:space="preserve"> </w:t>
      </w:r>
      <w:r w:rsidR="00642821">
        <w:rPr>
          <w:lang w:val="en-AU"/>
        </w:rPr>
        <w:t xml:space="preserve">the </w:t>
      </w:r>
      <w:r w:rsidR="00FB4A14">
        <w:rPr>
          <w:lang w:val="en-AU"/>
        </w:rPr>
        <w:t>Commonwealth</w:t>
      </w:r>
      <w:r w:rsidR="006E059D">
        <w:rPr>
          <w:lang w:val="en-AU"/>
        </w:rPr>
        <w:t xml:space="preserve">. </w:t>
      </w:r>
      <w:r w:rsidR="00912D23">
        <w:rPr>
          <w:lang w:val="en-AU"/>
        </w:rPr>
        <w:t xml:space="preserve"> </w:t>
      </w:r>
      <w:r w:rsidR="00FB4A14">
        <w:rPr>
          <w:lang w:val="en-AU"/>
        </w:rPr>
        <w:t>No</w:t>
      </w:r>
      <w:r>
        <w:rPr>
          <w:lang w:val="en-AU"/>
        </w:rPr>
        <w:t xml:space="preserve"> document c</w:t>
      </w:r>
      <w:r w:rsidR="008A58FC">
        <w:rPr>
          <w:lang w:val="en-AU"/>
        </w:rPr>
        <w:t xml:space="preserve">an claim to be a </w:t>
      </w:r>
      <w:r>
        <w:rPr>
          <w:lang w:val="en-AU"/>
        </w:rPr>
        <w:t xml:space="preserve">national </w:t>
      </w:r>
      <w:r w:rsidR="008A58FC">
        <w:rPr>
          <w:lang w:val="en-AU"/>
        </w:rPr>
        <w:t>plan</w:t>
      </w:r>
      <w:r>
        <w:rPr>
          <w:lang w:val="en-AU"/>
        </w:rPr>
        <w:t xml:space="preserve"> </w:t>
      </w:r>
      <w:r w:rsidR="006E059D">
        <w:rPr>
          <w:lang w:val="en-AU"/>
        </w:rPr>
        <w:t>unless</w:t>
      </w:r>
      <w:r>
        <w:rPr>
          <w:lang w:val="en-AU"/>
        </w:rPr>
        <w:t xml:space="preserve"> </w:t>
      </w:r>
      <w:r w:rsidR="00912D23">
        <w:rPr>
          <w:lang w:val="en-AU"/>
        </w:rPr>
        <w:t xml:space="preserve">it </w:t>
      </w:r>
      <w:r w:rsidR="006C02D6">
        <w:rPr>
          <w:lang w:val="en-AU"/>
        </w:rPr>
        <w:t xml:space="preserve">is informed by and </w:t>
      </w:r>
      <w:r w:rsidR="00912D23">
        <w:rPr>
          <w:lang w:val="en-AU"/>
        </w:rPr>
        <w:t xml:space="preserve">identifies </w:t>
      </w:r>
      <w:r w:rsidR="000D1AE0">
        <w:rPr>
          <w:lang w:val="en-AU"/>
        </w:rPr>
        <w:t>matters</w:t>
      </w:r>
      <w:r w:rsidR="00912D23">
        <w:rPr>
          <w:lang w:val="en-AU"/>
        </w:rPr>
        <w:t xml:space="preserve"> for national </w:t>
      </w:r>
      <w:r w:rsidR="006C02D6">
        <w:rPr>
          <w:lang w:val="en-AU"/>
        </w:rPr>
        <w:t>decision makers</w:t>
      </w:r>
      <w:r w:rsidR="00833A3A">
        <w:rPr>
          <w:lang w:val="en-AU"/>
        </w:rPr>
        <w:t xml:space="preserve">.  </w:t>
      </w:r>
      <w:r w:rsidR="003C7EC2">
        <w:rPr>
          <w:lang w:val="en-AU"/>
        </w:rPr>
        <w:t>This means understanding the issues decision makers need to deal with</w:t>
      </w:r>
      <w:r w:rsidR="005B0483">
        <w:rPr>
          <w:lang w:val="en-AU"/>
        </w:rPr>
        <w:t>. S</w:t>
      </w:r>
      <w:r w:rsidR="006C4B85">
        <w:rPr>
          <w:lang w:val="en-AU"/>
        </w:rPr>
        <w:t xml:space="preserve">ince 2014 </w:t>
      </w:r>
      <w:r w:rsidR="000D1AE0">
        <w:rPr>
          <w:lang w:val="en-AU"/>
        </w:rPr>
        <w:t>such</w:t>
      </w:r>
      <w:r w:rsidR="006C4B85">
        <w:rPr>
          <w:lang w:val="en-AU"/>
        </w:rPr>
        <w:t xml:space="preserve"> issues include revisi</w:t>
      </w:r>
      <w:r w:rsidR="000D1AE0">
        <w:rPr>
          <w:lang w:val="en-AU"/>
        </w:rPr>
        <w:t>ng</w:t>
      </w:r>
      <w:r w:rsidR="006C4B85">
        <w:rPr>
          <w:lang w:val="en-AU"/>
        </w:rPr>
        <w:t xml:space="preserve"> the </w:t>
      </w:r>
      <w:r w:rsidR="000D1AE0">
        <w:rPr>
          <w:lang w:val="en-AU"/>
        </w:rPr>
        <w:t xml:space="preserve">claimed </w:t>
      </w:r>
      <w:r w:rsidR="006C4B85">
        <w:rPr>
          <w:lang w:val="en-AU"/>
        </w:rPr>
        <w:t>role</w:t>
      </w:r>
      <w:r w:rsidR="000D1AE0">
        <w:rPr>
          <w:lang w:val="en-AU"/>
        </w:rPr>
        <w:t>s of</w:t>
      </w:r>
      <w:r w:rsidR="006C4B85">
        <w:rPr>
          <w:lang w:val="en-AU"/>
        </w:rPr>
        <w:t xml:space="preserve"> the </w:t>
      </w:r>
      <w:r w:rsidR="00833A3A">
        <w:rPr>
          <w:lang w:val="en-AU"/>
        </w:rPr>
        <w:t>Commonwealth</w:t>
      </w:r>
      <w:r w:rsidR="005B0483">
        <w:rPr>
          <w:lang w:val="en-AU"/>
        </w:rPr>
        <w:t xml:space="preserve">. This was not mentioned </w:t>
      </w:r>
      <w:r w:rsidR="006C4B85">
        <w:rPr>
          <w:lang w:val="en-AU"/>
        </w:rPr>
        <w:t>in the plan</w:t>
      </w:r>
      <w:r w:rsidR="00833A3A">
        <w:rPr>
          <w:lang w:val="en-AU"/>
        </w:rPr>
        <w:t>.</w:t>
      </w:r>
      <w:r w:rsidR="00002A67">
        <w:rPr>
          <w:rStyle w:val="EndnoteReference"/>
          <w:lang w:val="en-AU"/>
        </w:rPr>
        <w:endnoteReference w:id="4"/>
      </w:r>
      <w:r>
        <w:rPr>
          <w:lang w:val="en-AU"/>
        </w:rPr>
        <w:t xml:space="preserve"> </w:t>
      </w:r>
    </w:p>
    <w:p w14:paraId="2D654705" w14:textId="77777777" w:rsidR="00CE7BE8" w:rsidRDefault="00CE7BE8" w:rsidP="00CE7BE8">
      <w:pPr>
        <w:spacing w:after="0"/>
        <w:rPr>
          <w:lang w:val="en-AU"/>
        </w:rPr>
      </w:pPr>
    </w:p>
    <w:p w14:paraId="21626495" w14:textId="3AE8DDD5" w:rsidR="00CE7BE8" w:rsidRDefault="00175544" w:rsidP="00CE7BE8">
      <w:pPr>
        <w:spacing w:after="0"/>
        <w:rPr>
          <w:lang w:val="en-AU"/>
        </w:rPr>
      </w:pPr>
      <w:r>
        <w:rPr>
          <w:lang w:val="en-AU"/>
        </w:rPr>
        <w:t xml:space="preserve">These types of </w:t>
      </w:r>
      <w:r w:rsidR="00E15B45">
        <w:rPr>
          <w:lang w:val="en-AU"/>
        </w:rPr>
        <w:t xml:space="preserve">deficiencies </w:t>
      </w:r>
      <w:r>
        <w:rPr>
          <w:lang w:val="en-AU"/>
        </w:rPr>
        <w:t xml:space="preserve">increase the likelihood of </w:t>
      </w:r>
      <w:r w:rsidR="00D872D4">
        <w:rPr>
          <w:lang w:val="en-AU"/>
        </w:rPr>
        <w:t xml:space="preserve">continuing </w:t>
      </w:r>
      <w:r w:rsidR="00C535A7">
        <w:rPr>
          <w:lang w:val="en-AU"/>
        </w:rPr>
        <w:t>advisory debacle</w:t>
      </w:r>
      <w:r>
        <w:rPr>
          <w:lang w:val="en-AU"/>
        </w:rPr>
        <w:t xml:space="preserve">s such </w:t>
      </w:r>
      <w:r w:rsidR="006C02D6">
        <w:rPr>
          <w:lang w:val="en-AU"/>
        </w:rPr>
        <w:t>as</w:t>
      </w:r>
      <w:r w:rsidR="00C535A7">
        <w:rPr>
          <w:lang w:val="en-AU"/>
        </w:rPr>
        <w:t xml:space="preserve"> Infrastructure Australia and the Senate </w:t>
      </w:r>
      <w:r w:rsidR="006C02D6">
        <w:rPr>
          <w:lang w:val="en-AU"/>
        </w:rPr>
        <w:t xml:space="preserve">making opposed recommendations about </w:t>
      </w:r>
      <w:proofErr w:type="spellStart"/>
      <w:r w:rsidR="006C02D6">
        <w:rPr>
          <w:lang w:val="en-AU"/>
        </w:rPr>
        <w:t>FreightLink</w:t>
      </w:r>
      <w:proofErr w:type="spellEnd"/>
      <w:r w:rsidR="006C02D6">
        <w:rPr>
          <w:lang w:val="en-AU"/>
        </w:rPr>
        <w:t xml:space="preserve">.  </w:t>
      </w:r>
    </w:p>
    <w:p w14:paraId="56B972D5" w14:textId="77777777" w:rsidR="003C7EC2" w:rsidRDefault="003C7EC2" w:rsidP="00CE7BE8">
      <w:pPr>
        <w:spacing w:after="0"/>
        <w:rPr>
          <w:lang w:val="en-AU"/>
        </w:rPr>
      </w:pPr>
    </w:p>
    <w:p w14:paraId="237732E4" w14:textId="77777777" w:rsidR="008A58FC" w:rsidRDefault="006C02D6" w:rsidP="00CE7BE8">
      <w:pPr>
        <w:pStyle w:val="Heading2"/>
        <w:spacing w:before="0"/>
        <w:rPr>
          <w:lang w:val="en-AU"/>
        </w:rPr>
      </w:pPr>
      <w:r>
        <w:rPr>
          <w:lang w:val="en-AU"/>
        </w:rPr>
        <w:t>A new plan please</w:t>
      </w:r>
      <w:r w:rsidR="00E15B45">
        <w:rPr>
          <w:lang w:val="en-AU"/>
        </w:rPr>
        <w:t xml:space="preserve"> </w:t>
      </w:r>
    </w:p>
    <w:p w14:paraId="2EE822AE" w14:textId="77777777" w:rsidR="00A95554" w:rsidRDefault="00A95554" w:rsidP="00CE7BE8">
      <w:pPr>
        <w:spacing w:after="0"/>
        <w:rPr>
          <w:lang w:val="en-AU"/>
        </w:rPr>
      </w:pPr>
      <w:r>
        <w:rPr>
          <w:lang w:val="en-AU"/>
        </w:rPr>
        <w:t>A new plan is warranted.</w:t>
      </w:r>
      <w:r w:rsidR="006C4B85">
        <w:rPr>
          <w:lang w:val="en-AU"/>
        </w:rPr>
        <w:t xml:space="preserve">  </w:t>
      </w:r>
      <w:r>
        <w:rPr>
          <w:lang w:val="en-AU"/>
        </w:rPr>
        <w:t>Apart from correcting biases such as to</w:t>
      </w:r>
      <w:r w:rsidR="00642821">
        <w:rPr>
          <w:lang w:val="en-AU"/>
        </w:rPr>
        <w:t>wards</w:t>
      </w:r>
      <w:r>
        <w:rPr>
          <w:lang w:val="en-AU"/>
        </w:rPr>
        <w:t xml:space="preserve"> urban cars </w:t>
      </w:r>
      <w:r w:rsidR="006C4B85">
        <w:rPr>
          <w:lang w:val="en-AU"/>
        </w:rPr>
        <w:t>i</w:t>
      </w:r>
      <w:r>
        <w:rPr>
          <w:lang w:val="en-AU"/>
        </w:rPr>
        <w:t>t should:</w:t>
      </w:r>
    </w:p>
    <w:p w14:paraId="1A873C7D" w14:textId="77777777" w:rsidR="00A95554" w:rsidRPr="00833A3A" w:rsidRDefault="00CE7BE8" w:rsidP="00642821">
      <w:pPr>
        <w:pStyle w:val="ListParagraph"/>
        <w:numPr>
          <w:ilvl w:val="0"/>
          <w:numId w:val="7"/>
        </w:numPr>
        <w:spacing w:after="0"/>
        <w:ind w:left="567" w:hanging="567"/>
        <w:rPr>
          <w:lang w:val="en-AU"/>
        </w:rPr>
      </w:pPr>
      <w:r>
        <w:rPr>
          <w:lang w:val="en-AU"/>
        </w:rPr>
        <w:t>b</w:t>
      </w:r>
      <w:r w:rsidR="00A95554" w:rsidRPr="00833A3A">
        <w:rPr>
          <w:lang w:val="en-AU"/>
        </w:rPr>
        <w:t>e informed by a publi</w:t>
      </w:r>
      <w:r w:rsidR="00833A3A">
        <w:rPr>
          <w:lang w:val="en-AU"/>
        </w:rPr>
        <w:t>c statement</w:t>
      </w:r>
      <w:r w:rsidR="00A95554" w:rsidRPr="00833A3A">
        <w:rPr>
          <w:lang w:val="en-AU"/>
        </w:rPr>
        <w:t xml:space="preserve"> </w:t>
      </w:r>
      <w:r>
        <w:rPr>
          <w:lang w:val="en-AU"/>
        </w:rPr>
        <w:t>of</w:t>
      </w:r>
      <w:r w:rsidR="00B83CC8" w:rsidRPr="00833A3A">
        <w:rPr>
          <w:lang w:val="en-AU"/>
        </w:rPr>
        <w:t xml:space="preserve"> the </w:t>
      </w:r>
      <w:r w:rsidR="00A95554" w:rsidRPr="00833A3A">
        <w:rPr>
          <w:lang w:val="en-AU"/>
        </w:rPr>
        <w:t>Government</w:t>
      </w:r>
      <w:r w:rsidR="00833A3A">
        <w:rPr>
          <w:lang w:val="en-AU"/>
        </w:rPr>
        <w:t>’s</w:t>
      </w:r>
      <w:r w:rsidR="00A95554" w:rsidRPr="00833A3A">
        <w:rPr>
          <w:lang w:val="en-AU"/>
        </w:rPr>
        <w:t xml:space="preserve"> </w:t>
      </w:r>
      <w:r w:rsidR="00642821">
        <w:rPr>
          <w:lang w:val="en-AU"/>
        </w:rPr>
        <w:t>(</w:t>
      </w:r>
      <w:r w:rsidR="00A95554" w:rsidRPr="00833A3A">
        <w:rPr>
          <w:lang w:val="en-AU"/>
        </w:rPr>
        <w:t>a priori</w:t>
      </w:r>
      <w:r w:rsidR="00642821">
        <w:rPr>
          <w:lang w:val="en-AU"/>
        </w:rPr>
        <w:t>)</w:t>
      </w:r>
      <w:r w:rsidR="00A95554" w:rsidRPr="00833A3A">
        <w:rPr>
          <w:lang w:val="en-AU"/>
        </w:rPr>
        <w:t xml:space="preserve"> views about Commonwealth infrastructure requirements and directions;</w:t>
      </w:r>
    </w:p>
    <w:p w14:paraId="512841A1" w14:textId="77777777" w:rsidR="00B83CC8" w:rsidRPr="00833A3A" w:rsidRDefault="00CE7BE8" w:rsidP="00642821">
      <w:pPr>
        <w:pStyle w:val="ListParagraph"/>
        <w:numPr>
          <w:ilvl w:val="0"/>
          <w:numId w:val="7"/>
        </w:numPr>
        <w:spacing w:after="0"/>
        <w:ind w:left="567" w:hanging="567"/>
        <w:rPr>
          <w:lang w:val="en-AU"/>
        </w:rPr>
      </w:pPr>
      <w:r>
        <w:rPr>
          <w:lang w:val="en-AU"/>
        </w:rPr>
        <w:t>m</w:t>
      </w:r>
      <w:r w:rsidR="00B83CC8" w:rsidRPr="00833A3A">
        <w:rPr>
          <w:lang w:val="en-AU"/>
        </w:rPr>
        <w:t>ake recommendations for the role of the Commonwealth and its Government, informed by published opinions regarding legal matters and federalism;</w:t>
      </w:r>
    </w:p>
    <w:p w14:paraId="106A9C80" w14:textId="77777777" w:rsidR="00B83CC8" w:rsidRPr="00833A3A" w:rsidRDefault="00CE7BE8" w:rsidP="00642821">
      <w:pPr>
        <w:pStyle w:val="ListParagraph"/>
        <w:numPr>
          <w:ilvl w:val="0"/>
          <w:numId w:val="7"/>
        </w:numPr>
        <w:spacing w:after="0"/>
        <w:ind w:left="567" w:hanging="567"/>
        <w:rPr>
          <w:lang w:val="en-AU"/>
        </w:rPr>
      </w:pPr>
      <w:proofErr w:type="gramStart"/>
      <w:r>
        <w:rPr>
          <w:lang w:val="en-AU"/>
        </w:rPr>
        <w:t>b</w:t>
      </w:r>
      <w:r w:rsidR="00B83CC8" w:rsidRPr="00833A3A">
        <w:rPr>
          <w:lang w:val="en-AU"/>
        </w:rPr>
        <w:t>e</w:t>
      </w:r>
      <w:proofErr w:type="gramEnd"/>
      <w:r w:rsidR="00B83CC8" w:rsidRPr="00833A3A">
        <w:rPr>
          <w:lang w:val="en-AU"/>
        </w:rPr>
        <w:t xml:space="preserve"> issued in draft form, with an invitation for public submissions.</w:t>
      </w:r>
    </w:p>
    <w:p w14:paraId="65029A43" w14:textId="77777777" w:rsidR="00CE7BE8" w:rsidRDefault="00CE7BE8" w:rsidP="00CE7BE8">
      <w:pPr>
        <w:spacing w:after="0"/>
        <w:rPr>
          <w:lang w:val="en-AU"/>
        </w:rPr>
      </w:pPr>
    </w:p>
    <w:p w14:paraId="2FE4EC49" w14:textId="494B8774" w:rsidR="00B83CC8" w:rsidRDefault="00B83CC8" w:rsidP="00CE7BE8">
      <w:pPr>
        <w:spacing w:after="0"/>
        <w:rPr>
          <w:lang w:val="en-AU"/>
        </w:rPr>
      </w:pPr>
      <w:r>
        <w:rPr>
          <w:lang w:val="en-AU"/>
        </w:rPr>
        <w:t xml:space="preserve">The draft plan should be considered by Parliament, </w:t>
      </w:r>
      <w:r w:rsidR="00833A3A">
        <w:rPr>
          <w:lang w:val="en-AU"/>
        </w:rPr>
        <w:t>via</w:t>
      </w:r>
      <w:r>
        <w:rPr>
          <w:lang w:val="en-AU"/>
        </w:rPr>
        <w:t xml:space="preserve"> the Senate</w:t>
      </w:r>
      <w:r w:rsidR="00CE7BE8">
        <w:rPr>
          <w:lang w:val="en-AU"/>
        </w:rPr>
        <w:t>, before it is finalised</w:t>
      </w:r>
      <w:r>
        <w:rPr>
          <w:lang w:val="en-AU"/>
        </w:rPr>
        <w:t xml:space="preserve">.  Senate Committees </w:t>
      </w:r>
      <w:r w:rsidR="00D872D4">
        <w:rPr>
          <w:lang w:val="en-AU"/>
        </w:rPr>
        <w:t>are</w:t>
      </w:r>
      <w:r>
        <w:rPr>
          <w:lang w:val="en-AU"/>
        </w:rPr>
        <w:t xml:space="preserve"> ideally placed to take submissions and evidence on the draft.</w:t>
      </w:r>
    </w:p>
    <w:p w14:paraId="7C496E3A" w14:textId="77777777" w:rsidR="00C14B2B" w:rsidRDefault="00C14B2B" w:rsidP="00CE7BE8">
      <w:pPr>
        <w:spacing w:after="0"/>
        <w:rPr>
          <w:lang w:val="en-AU"/>
        </w:rPr>
      </w:pPr>
    </w:p>
    <w:p w14:paraId="2816B2BD" w14:textId="6BF7A83C" w:rsidR="00BC56FC" w:rsidRDefault="00175544" w:rsidP="00CE7BE8">
      <w:pPr>
        <w:spacing w:after="0"/>
        <w:rPr>
          <w:lang w:val="en-AU"/>
        </w:rPr>
      </w:pPr>
      <w:r>
        <w:rPr>
          <w:lang w:val="en-AU"/>
        </w:rPr>
        <w:t xml:space="preserve">This </w:t>
      </w:r>
      <w:r w:rsidR="00B83CC8">
        <w:rPr>
          <w:lang w:val="en-AU"/>
        </w:rPr>
        <w:t xml:space="preserve">approach would </w:t>
      </w:r>
      <w:r w:rsidR="00C14B2B">
        <w:rPr>
          <w:lang w:val="en-AU"/>
        </w:rPr>
        <w:t>support</w:t>
      </w:r>
      <w:r w:rsidR="00B83CC8">
        <w:rPr>
          <w:lang w:val="en-AU"/>
        </w:rPr>
        <w:t xml:space="preserve"> previous suggestions that </w:t>
      </w:r>
      <w:r w:rsidR="008A58FC">
        <w:rPr>
          <w:lang w:val="en-AU"/>
        </w:rPr>
        <w:t>I</w:t>
      </w:r>
      <w:r w:rsidR="006835D8">
        <w:rPr>
          <w:lang w:val="en-AU"/>
        </w:rPr>
        <w:t>nfrastructure Australia</w:t>
      </w:r>
      <w:r w:rsidR="00BB5574">
        <w:rPr>
          <w:lang w:val="en-AU"/>
        </w:rPr>
        <w:t xml:space="preserve"> </w:t>
      </w:r>
      <w:proofErr w:type="gramStart"/>
      <w:r w:rsidR="006835D8">
        <w:rPr>
          <w:lang w:val="en-AU"/>
        </w:rPr>
        <w:t>advi</w:t>
      </w:r>
      <w:r w:rsidR="00C14B2B">
        <w:rPr>
          <w:lang w:val="en-AU"/>
        </w:rPr>
        <w:t>s</w:t>
      </w:r>
      <w:r w:rsidR="006835D8">
        <w:rPr>
          <w:lang w:val="en-AU"/>
        </w:rPr>
        <w:t>e</w:t>
      </w:r>
      <w:proofErr w:type="gramEnd"/>
      <w:r w:rsidR="006835D8">
        <w:rPr>
          <w:lang w:val="en-AU"/>
        </w:rPr>
        <w:t xml:space="preserve"> and account to the Senate rather than </w:t>
      </w:r>
      <w:r w:rsidR="006C4B85">
        <w:rPr>
          <w:lang w:val="en-AU"/>
        </w:rPr>
        <w:t>the Government</w:t>
      </w:r>
      <w:r w:rsidR="006835D8">
        <w:rPr>
          <w:lang w:val="en-AU"/>
        </w:rPr>
        <w:t xml:space="preserve"> for matters outside Commonwealth responsibilit</w:t>
      </w:r>
      <w:r w:rsidR="007E544C">
        <w:rPr>
          <w:lang w:val="en-AU"/>
        </w:rPr>
        <w:t>ies</w:t>
      </w:r>
      <w:r w:rsidR="00BC56FC">
        <w:rPr>
          <w:lang w:val="en-AU"/>
        </w:rPr>
        <w:t>.</w:t>
      </w:r>
      <w:r w:rsidR="006835D8">
        <w:rPr>
          <w:lang w:val="en-AU"/>
        </w:rPr>
        <w:t xml:space="preserve">  </w:t>
      </w:r>
      <w:r w:rsidR="0002241A">
        <w:rPr>
          <w:lang w:val="en-AU"/>
        </w:rPr>
        <w:t>For these</w:t>
      </w:r>
      <w:r w:rsidR="00BB5574">
        <w:rPr>
          <w:lang w:val="en-AU"/>
        </w:rPr>
        <w:t xml:space="preserve"> matters</w:t>
      </w:r>
      <w:r w:rsidR="0002241A">
        <w:rPr>
          <w:lang w:val="en-AU"/>
        </w:rPr>
        <w:t xml:space="preserve"> </w:t>
      </w:r>
      <w:r w:rsidR="006835D8">
        <w:rPr>
          <w:lang w:val="en-AU"/>
        </w:rPr>
        <w:t xml:space="preserve">Parliament </w:t>
      </w:r>
      <w:r w:rsidR="007E544C">
        <w:rPr>
          <w:lang w:val="en-AU"/>
        </w:rPr>
        <w:t>should</w:t>
      </w:r>
      <w:r w:rsidR="006835D8">
        <w:rPr>
          <w:lang w:val="en-AU"/>
        </w:rPr>
        <w:t xml:space="preserve"> set criteria a</w:t>
      </w:r>
      <w:r w:rsidR="0002241A">
        <w:rPr>
          <w:lang w:val="en-AU"/>
        </w:rPr>
        <w:t xml:space="preserve">nd processes for </w:t>
      </w:r>
      <w:r w:rsidR="006835D8">
        <w:rPr>
          <w:lang w:val="en-AU"/>
        </w:rPr>
        <w:t>assess</w:t>
      </w:r>
      <w:r w:rsidR="0002241A">
        <w:rPr>
          <w:lang w:val="en-AU"/>
        </w:rPr>
        <w:t>ment</w:t>
      </w:r>
      <w:r w:rsidR="000D1AE0">
        <w:rPr>
          <w:lang w:val="en-AU"/>
        </w:rPr>
        <w:t xml:space="preserve"> and</w:t>
      </w:r>
      <w:r w:rsidR="00BC56FC">
        <w:rPr>
          <w:lang w:val="en-AU"/>
        </w:rPr>
        <w:t xml:space="preserve"> direct Infrastructure Australia </w:t>
      </w:r>
      <w:r w:rsidR="0002241A">
        <w:rPr>
          <w:lang w:val="en-AU"/>
        </w:rPr>
        <w:t>about</w:t>
      </w:r>
      <w:r w:rsidR="00BC56FC">
        <w:rPr>
          <w:lang w:val="en-AU"/>
        </w:rPr>
        <w:t xml:space="preserve"> wh</w:t>
      </w:r>
      <w:r w:rsidR="0002241A">
        <w:rPr>
          <w:lang w:val="en-AU"/>
        </w:rPr>
        <w:t>ich</w:t>
      </w:r>
      <w:r w:rsidR="00BC56FC">
        <w:rPr>
          <w:lang w:val="en-AU"/>
        </w:rPr>
        <w:t xml:space="preserve"> pro</w:t>
      </w:r>
      <w:r w:rsidR="0002241A">
        <w:rPr>
          <w:lang w:val="en-AU"/>
        </w:rPr>
        <w:t>posals</w:t>
      </w:r>
      <w:r w:rsidR="00BC56FC">
        <w:rPr>
          <w:lang w:val="en-AU"/>
        </w:rPr>
        <w:t xml:space="preserve"> should be assessed.</w:t>
      </w:r>
      <w:r w:rsidR="00002A67">
        <w:rPr>
          <w:rStyle w:val="EndnoteReference"/>
          <w:lang w:val="en-AU"/>
        </w:rPr>
        <w:endnoteReference w:id="5"/>
      </w:r>
      <w:r w:rsidR="00B83CC8">
        <w:rPr>
          <w:lang w:val="en-AU"/>
        </w:rPr>
        <w:t xml:space="preserve"> </w:t>
      </w:r>
    </w:p>
    <w:p w14:paraId="09D3C651" w14:textId="77777777" w:rsidR="00C14B2B" w:rsidRDefault="00C14B2B" w:rsidP="00CE7BE8">
      <w:pPr>
        <w:spacing w:after="0"/>
        <w:rPr>
          <w:lang w:val="en-AU"/>
        </w:rPr>
      </w:pPr>
    </w:p>
    <w:p w14:paraId="1C6BDA1C" w14:textId="45FF2BA6" w:rsidR="006835D8" w:rsidRDefault="006835D8" w:rsidP="00CE7BE8">
      <w:pPr>
        <w:spacing w:after="0"/>
        <w:rPr>
          <w:lang w:val="en-AU"/>
        </w:rPr>
      </w:pPr>
      <w:r>
        <w:rPr>
          <w:lang w:val="en-AU"/>
        </w:rPr>
        <w:t xml:space="preserve">Of course this presumes </w:t>
      </w:r>
      <w:r w:rsidR="00C14B2B">
        <w:rPr>
          <w:lang w:val="en-AU"/>
        </w:rPr>
        <w:t>some</w:t>
      </w:r>
      <w:r w:rsidR="00B83CC8">
        <w:rPr>
          <w:lang w:val="en-AU"/>
        </w:rPr>
        <w:t xml:space="preserve"> </w:t>
      </w:r>
      <w:r>
        <w:rPr>
          <w:lang w:val="en-AU"/>
        </w:rPr>
        <w:t>understanding of the role of the Commonwealth which appear</w:t>
      </w:r>
      <w:r w:rsidR="005B0483">
        <w:rPr>
          <w:lang w:val="en-AU"/>
        </w:rPr>
        <w:t>s</w:t>
      </w:r>
      <w:r>
        <w:rPr>
          <w:lang w:val="en-AU"/>
        </w:rPr>
        <w:t xml:space="preserve"> stubbornly absent</w:t>
      </w:r>
      <w:r w:rsidR="005B0483">
        <w:rPr>
          <w:lang w:val="en-AU"/>
        </w:rPr>
        <w:t>.</w:t>
      </w:r>
      <w:r w:rsidR="00BC56FC">
        <w:rPr>
          <w:lang w:val="en-AU"/>
        </w:rPr>
        <w:t xml:space="preserve">  </w:t>
      </w:r>
    </w:p>
    <w:p w14:paraId="709B1EFD" w14:textId="77777777" w:rsidR="006835D8" w:rsidRDefault="006835D8" w:rsidP="00CE7BE8">
      <w:pPr>
        <w:spacing w:after="0"/>
        <w:rPr>
          <w:lang w:val="en-AU"/>
        </w:rPr>
      </w:pPr>
    </w:p>
    <w:p w14:paraId="0A00C04E" w14:textId="77777777" w:rsidR="000D1AE0" w:rsidRDefault="000D1AE0" w:rsidP="00CE7BE8">
      <w:pPr>
        <w:spacing w:after="0"/>
        <w:rPr>
          <w:lang w:val="en-AU"/>
        </w:rPr>
      </w:pPr>
    </w:p>
    <w:p w14:paraId="59DE357E" w14:textId="77777777" w:rsidR="000D1AE0" w:rsidRDefault="000D1AE0" w:rsidP="00CE7BE8">
      <w:pPr>
        <w:spacing w:after="0"/>
        <w:rPr>
          <w:lang w:val="en-AU"/>
        </w:rPr>
      </w:pPr>
    </w:p>
    <w:p w14:paraId="3CB715B7" w14:textId="77777777" w:rsidR="00E81AC4" w:rsidRDefault="00175544" w:rsidP="00CE7BE8">
      <w:pPr>
        <w:spacing w:after="0"/>
        <w:rPr>
          <w:lang w:val="en-AU"/>
        </w:rPr>
      </w:pPr>
      <w:r>
        <w:rPr>
          <w:lang w:val="en-AU"/>
        </w:rPr>
        <w:t>J  Austen</w:t>
      </w:r>
    </w:p>
    <w:p w14:paraId="56C8D962" w14:textId="4AFA0809" w:rsidR="00175544" w:rsidRDefault="00002A67" w:rsidP="00CE7BE8">
      <w:pPr>
        <w:spacing w:after="0"/>
        <w:rPr>
          <w:lang w:val="en-AU"/>
        </w:rPr>
      </w:pPr>
      <w:r>
        <w:rPr>
          <w:lang w:val="en-AU"/>
        </w:rPr>
        <w:t>2 September</w:t>
      </w:r>
      <w:r w:rsidR="00175544">
        <w:rPr>
          <w:lang w:val="en-AU"/>
        </w:rPr>
        <w:t xml:space="preserve"> 2016</w:t>
      </w:r>
    </w:p>
    <w:p w14:paraId="71BDACF3" w14:textId="4D5CC2FC" w:rsidR="000A28C0" w:rsidRPr="00002A67" w:rsidRDefault="000A28C0" w:rsidP="00002A67">
      <w:pPr>
        <w:spacing w:after="0"/>
        <w:rPr>
          <w:b/>
          <w:lang w:val="en-AU"/>
        </w:rPr>
      </w:pPr>
    </w:p>
    <w:sectPr w:rsidR="000A28C0" w:rsidRPr="00002A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7B1BB" w14:textId="77777777" w:rsidR="008107C8" w:rsidRDefault="008107C8" w:rsidP="00897396">
      <w:pPr>
        <w:spacing w:after="0" w:line="240" w:lineRule="auto"/>
      </w:pPr>
      <w:r>
        <w:separator/>
      </w:r>
    </w:p>
  </w:endnote>
  <w:endnote w:type="continuationSeparator" w:id="0">
    <w:p w14:paraId="217D5DDB" w14:textId="77777777" w:rsidR="008107C8" w:rsidRDefault="008107C8" w:rsidP="00897396">
      <w:pPr>
        <w:spacing w:after="0" w:line="240" w:lineRule="auto"/>
      </w:pPr>
      <w:r>
        <w:continuationSeparator/>
      </w:r>
    </w:p>
  </w:endnote>
  <w:endnote w:id="1">
    <w:p w14:paraId="4B379F3F" w14:textId="77777777" w:rsidR="00002A67" w:rsidRPr="00002A67" w:rsidRDefault="00002A67" w:rsidP="00002A67">
      <w:pPr>
        <w:spacing w:after="0"/>
        <w:rPr>
          <w:sz w:val="20"/>
          <w:szCs w:val="20"/>
          <w:lang w:val="en-AU"/>
        </w:rPr>
      </w:pPr>
      <w:r w:rsidRPr="00002A67">
        <w:rPr>
          <w:rStyle w:val="EndnoteReference"/>
          <w:sz w:val="20"/>
          <w:szCs w:val="20"/>
        </w:rPr>
        <w:endnoteRef/>
      </w:r>
      <w:r w:rsidRPr="00002A67">
        <w:t xml:space="preserve"> </w:t>
      </w:r>
      <w:r w:rsidRPr="00002A67">
        <w:rPr>
          <w:sz w:val="20"/>
          <w:szCs w:val="20"/>
          <w:lang w:val="en-AU"/>
        </w:rPr>
        <w:t xml:space="preserve">Australian infrastructure plan at: http://infrastructureaustralia.gov.au/policy-publications/publications/Australian-Infrastructure-Plan.aspx </w:t>
      </w:r>
    </w:p>
    <w:p w14:paraId="783FECCF" w14:textId="2FE51897" w:rsidR="00002A67" w:rsidRDefault="00002A67" w:rsidP="00002A67">
      <w:pPr>
        <w:spacing w:after="0"/>
        <w:rPr>
          <w:sz w:val="20"/>
          <w:szCs w:val="20"/>
          <w:lang w:val="en-AU"/>
        </w:rPr>
      </w:pPr>
      <w:r w:rsidRPr="00002A67">
        <w:rPr>
          <w:sz w:val="20"/>
          <w:szCs w:val="20"/>
          <w:lang w:val="en-AU"/>
        </w:rPr>
        <w:t>Audit at: thejadebeagle.com</w:t>
      </w:r>
    </w:p>
    <w:p w14:paraId="58608F06" w14:textId="77777777" w:rsidR="00002A67" w:rsidRPr="00002A67" w:rsidRDefault="00002A67" w:rsidP="00002A67">
      <w:pPr>
        <w:spacing w:after="0"/>
        <w:rPr>
          <w:sz w:val="20"/>
          <w:szCs w:val="20"/>
          <w:lang w:val="en-AU"/>
        </w:rPr>
      </w:pPr>
    </w:p>
  </w:endnote>
  <w:endnote w:id="2">
    <w:p w14:paraId="7C50016E" w14:textId="28346D0F" w:rsidR="00002A67" w:rsidRDefault="00002A67" w:rsidP="00002A67">
      <w:pPr>
        <w:spacing w:after="0"/>
        <w:rPr>
          <w:sz w:val="20"/>
          <w:szCs w:val="20"/>
          <w:lang w:val="en-AU"/>
        </w:rPr>
      </w:pPr>
      <w:r w:rsidRPr="00002A67">
        <w:rPr>
          <w:rStyle w:val="EndnoteReference"/>
          <w:sz w:val="20"/>
          <w:szCs w:val="20"/>
        </w:rPr>
        <w:endnoteRef/>
      </w:r>
      <w:r w:rsidRPr="00002A67">
        <w:rPr>
          <w:sz w:val="20"/>
          <w:szCs w:val="20"/>
        </w:rPr>
        <w:t xml:space="preserve"> </w:t>
      </w:r>
      <w:r w:rsidRPr="00002A67">
        <w:rPr>
          <w:sz w:val="20"/>
          <w:szCs w:val="20"/>
          <w:lang w:val="en-AU"/>
        </w:rPr>
        <w:t>In 2007 Infrastructure Australia established a taxonomy to direct Government attention towards: international gateways; a national freight network; transforming our cities etc.  The 2014 Williams (No.2) case renders that categorisation irrelevant for Commonwealth roles.  The 2016 plan does not explain reasons for changing the taxonomy and does not account for the Williams case.</w:t>
      </w:r>
    </w:p>
    <w:p w14:paraId="0B5BB160" w14:textId="77777777" w:rsidR="00002A67" w:rsidRPr="00002A67" w:rsidRDefault="00002A67" w:rsidP="00002A67">
      <w:pPr>
        <w:spacing w:after="0"/>
        <w:rPr>
          <w:sz w:val="20"/>
          <w:szCs w:val="20"/>
          <w:lang w:val="en-AU"/>
        </w:rPr>
      </w:pPr>
    </w:p>
  </w:endnote>
  <w:endnote w:id="3">
    <w:p w14:paraId="5BDAA53D" w14:textId="77777777" w:rsidR="00002A67" w:rsidRPr="00002A67" w:rsidRDefault="00002A67" w:rsidP="00002A67">
      <w:pPr>
        <w:spacing w:after="0"/>
        <w:rPr>
          <w:sz w:val="20"/>
          <w:szCs w:val="20"/>
          <w:lang w:val="en-AU"/>
        </w:rPr>
      </w:pPr>
      <w:r w:rsidRPr="00002A67">
        <w:rPr>
          <w:rStyle w:val="EndnoteReference"/>
          <w:sz w:val="20"/>
          <w:szCs w:val="20"/>
        </w:rPr>
        <w:endnoteRef/>
      </w:r>
      <w:r w:rsidRPr="00002A67">
        <w:rPr>
          <w:sz w:val="20"/>
          <w:szCs w:val="20"/>
        </w:rPr>
        <w:t xml:space="preserve"> </w:t>
      </w:r>
      <w:r w:rsidRPr="00002A67">
        <w:rPr>
          <w:sz w:val="20"/>
          <w:szCs w:val="20"/>
          <w:lang w:val="en-AU"/>
        </w:rPr>
        <w:t>Road pricing at: http://johnmenadue.com/blog/?p=7193</w:t>
      </w:r>
    </w:p>
    <w:p w14:paraId="4C339791" w14:textId="2C6E4F15" w:rsidR="00002A67" w:rsidRPr="00002A67" w:rsidRDefault="00002A67" w:rsidP="00002A67">
      <w:pPr>
        <w:spacing w:after="0"/>
        <w:rPr>
          <w:sz w:val="20"/>
          <w:szCs w:val="20"/>
          <w:lang w:val="en-AU"/>
        </w:rPr>
      </w:pPr>
    </w:p>
  </w:endnote>
  <w:endnote w:id="4">
    <w:p w14:paraId="535DC092" w14:textId="65FF8326" w:rsidR="00002A67" w:rsidRDefault="00002A67" w:rsidP="00002A67">
      <w:pPr>
        <w:spacing w:after="0"/>
        <w:rPr>
          <w:sz w:val="20"/>
          <w:szCs w:val="20"/>
          <w:lang w:val="en-AU"/>
        </w:rPr>
      </w:pPr>
      <w:r w:rsidRPr="00002A67">
        <w:rPr>
          <w:rStyle w:val="EndnoteReference"/>
          <w:sz w:val="20"/>
          <w:szCs w:val="20"/>
        </w:rPr>
        <w:endnoteRef/>
      </w:r>
      <w:r w:rsidRPr="00002A67">
        <w:rPr>
          <w:sz w:val="20"/>
          <w:szCs w:val="20"/>
        </w:rPr>
        <w:t xml:space="preserve"> </w:t>
      </w:r>
      <w:r w:rsidRPr="00002A67">
        <w:rPr>
          <w:sz w:val="20"/>
          <w:szCs w:val="20"/>
          <w:lang w:val="en-AU"/>
        </w:rPr>
        <w:t>The Williams case and transport at: thejadebeagle.com</w:t>
      </w:r>
    </w:p>
    <w:p w14:paraId="57B05B55" w14:textId="77777777" w:rsidR="00002A67" w:rsidRPr="00002A67" w:rsidRDefault="00002A67" w:rsidP="00002A67">
      <w:pPr>
        <w:spacing w:after="0"/>
        <w:rPr>
          <w:sz w:val="20"/>
          <w:szCs w:val="20"/>
          <w:lang w:val="en-AU"/>
        </w:rPr>
      </w:pPr>
    </w:p>
  </w:endnote>
  <w:endnote w:id="5">
    <w:p w14:paraId="0EFAC21F" w14:textId="77777777" w:rsidR="00002A67" w:rsidRPr="00002A67" w:rsidRDefault="00002A67" w:rsidP="00002A67">
      <w:pPr>
        <w:spacing w:after="0"/>
        <w:rPr>
          <w:sz w:val="20"/>
          <w:szCs w:val="20"/>
          <w:lang w:val="en-AU"/>
        </w:rPr>
      </w:pPr>
      <w:r w:rsidRPr="00002A67">
        <w:rPr>
          <w:rStyle w:val="EndnoteReference"/>
          <w:sz w:val="20"/>
          <w:szCs w:val="20"/>
        </w:rPr>
        <w:endnoteRef/>
      </w:r>
      <w:r w:rsidRPr="00002A67">
        <w:rPr>
          <w:sz w:val="20"/>
          <w:szCs w:val="20"/>
        </w:rPr>
        <w:t xml:space="preserve"> </w:t>
      </w:r>
      <w:r w:rsidRPr="00002A67">
        <w:rPr>
          <w:sz w:val="20"/>
          <w:szCs w:val="20"/>
          <w:lang w:val="en-AU"/>
        </w:rPr>
        <w:t>Urbane transport at: http://johnmenadue.com/blog/?p=6688</w:t>
      </w:r>
    </w:p>
    <w:p w14:paraId="44F5C553" w14:textId="77777777" w:rsidR="00002A67" w:rsidRPr="00002A67" w:rsidRDefault="00002A67" w:rsidP="00002A67">
      <w:pPr>
        <w:spacing w:after="0"/>
        <w:rPr>
          <w:sz w:val="20"/>
          <w:szCs w:val="20"/>
          <w:lang w:val="en-AU"/>
        </w:rPr>
      </w:pPr>
    </w:p>
    <w:p w14:paraId="239FE57C" w14:textId="77777777" w:rsidR="00002A67" w:rsidRDefault="00002A67" w:rsidP="00002A67">
      <w:pPr>
        <w:spacing w:after="0"/>
        <w:rPr>
          <w:lang w:val="en-AU"/>
        </w:rPr>
      </w:pPr>
    </w:p>
    <w:p w14:paraId="2E532EFE" w14:textId="22750E08" w:rsidR="00002A67" w:rsidRPr="00002A67" w:rsidRDefault="00002A67">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82682"/>
      <w:docPartObj>
        <w:docPartGallery w:val="Page Numbers (Bottom of Page)"/>
        <w:docPartUnique/>
      </w:docPartObj>
    </w:sdtPr>
    <w:sdtEndPr>
      <w:rPr>
        <w:noProof/>
      </w:rPr>
    </w:sdtEndPr>
    <w:sdtContent>
      <w:p w14:paraId="4AB4F24A" w14:textId="77777777" w:rsidR="005B0483" w:rsidRDefault="005B0483">
        <w:pPr>
          <w:pStyle w:val="Footer"/>
          <w:jc w:val="center"/>
        </w:pPr>
        <w:r>
          <w:fldChar w:fldCharType="begin"/>
        </w:r>
        <w:r>
          <w:instrText xml:space="preserve"> PAGE   \* MERGEFORMAT </w:instrText>
        </w:r>
        <w:r>
          <w:fldChar w:fldCharType="separate"/>
        </w:r>
        <w:r w:rsidR="00D2207B">
          <w:rPr>
            <w:noProof/>
          </w:rPr>
          <w:t>3</w:t>
        </w:r>
        <w:r>
          <w:rPr>
            <w:noProof/>
          </w:rPr>
          <w:fldChar w:fldCharType="end"/>
        </w:r>
      </w:p>
    </w:sdtContent>
  </w:sdt>
  <w:p w14:paraId="1ABFD0FC" w14:textId="77777777" w:rsidR="005B0483" w:rsidRDefault="005B0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8C8F5" w14:textId="77777777" w:rsidR="008107C8" w:rsidRDefault="008107C8" w:rsidP="00897396">
      <w:pPr>
        <w:spacing w:after="0" w:line="240" w:lineRule="auto"/>
      </w:pPr>
      <w:r>
        <w:separator/>
      </w:r>
    </w:p>
  </w:footnote>
  <w:footnote w:type="continuationSeparator" w:id="0">
    <w:p w14:paraId="59754C05" w14:textId="77777777" w:rsidR="008107C8" w:rsidRDefault="008107C8" w:rsidP="00897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706E"/>
    <w:multiLevelType w:val="hybridMultilevel"/>
    <w:tmpl w:val="8390C1B2"/>
    <w:lvl w:ilvl="0" w:tplc="B8FAF73C">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407F"/>
    <w:multiLevelType w:val="hybridMultilevel"/>
    <w:tmpl w:val="14B6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0936"/>
    <w:multiLevelType w:val="hybridMultilevel"/>
    <w:tmpl w:val="A3C4435A"/>
    <w:lvl w:ilvl="0" w:tplc="1FCE8BA4">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56348"/>
    <w:multiLevelType w:val="hybridMultilevel"/>
    <w:tmpl w:val="1DA00794"/>
    <w:lvl w:ilvl="0" w:tplc="B8FAF73C">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11439"/>
    <w:multiLevelType w:val="hybridMultilevel"/>
    <w:tmpl w:val="0A2A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670F"/>
    <w:multiLevelType w:val="hybridMultilevel"/>
    <w:tmpl w:val="D3C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C19DF"/>
    <w:multiLevelType w:val="hybridMultilevel"/>
    <w:tmpl w:val="641056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42"/>
    <w:rsid w:val="000003E0"/>
    <w:rsid w:val="000009AB"/>
    <w:rsid w:val="000017AD"/>
    <w:rsid w:val="00002A67"/>
    <w:rsid w:val="0000310B"/>
    <w:rsid w:val="000147CF"/>
    <w:rsid w:val="00014BC9"/>
    <w:rsid w:val="00020080"/>
    <w:rsid w:val="0002241A"/>
    <w:rsid w:val="00023937"/>
    <w:rsid w:val="0003230F"/>
    <w:rsid w:val="00042F9A"/>
    <w:rsid w:val="00045444"/>
    <w:rsid w:val="000511FF"/>
    <w:rsid w:val="00055F24"/>
    <w:rsid w:val="00064942"/>
    <w:rsid w:val="000660BC"/>
    <w:rsid w:val="000700DB"/>
    <w:rsid w:val="000712B7"/>
    <w:rsid w:val="00072242"/>
    <w:rsid w:val="00080B29"/>
    <w:rsid w:val="00093682"/>
    <w:rsid w:val="0009591D"/>
    <w:rsid w:val="000A20B8"/>
    <w:rsid w:val="000A20FF"/>
    <w:rsid w:val="000A23B2"/>
    <w:rsid w:val="000A28C0"/>
    <w:rsid w:val="000B004D"/>
    <w:rsid w:val="000B0216"/>
    <w:rsid w:val="000B03CB"/>
    <w:rsid w:val="000B38E0"/>
    <w:rsid w:val="000B6136"/>
    <w:rsid w:val="000B78DB"/>
    <w:rsid w:val="000C1004"/>
    <w:rsid w:val="000C2A04"/>
    <w:rsid w:val="000C2DF6"/>
    <w:rsid w:val="000D1AE0"/>
    <w:rsid w:val="000D2629"/>
    <w:rsid w:val="000F579F"/>
    <w:rsid w:val="000F7D45"/>
    <w:rsid w:val="00101EBD"/>
    <w:rsid w:val="00113FAF"/>
    <w:rsid w:val="00115417"/>
    <w:rsid w:val="00122CC9"/>
    <w:rsid w:val="00122CEE"/>
    <w:rsid w:val="00134D4E"/>
    <w:rsid w:val="0013667E"/>
    <w:rsid w:val="00160AA7"/>
    <w:rsid w:val="00160B1A"/>
    <w:rsid w:val="00164E2F"/>
    <w:rsid w:val="001659FF"/>
    <w:rsid w:val="001667FB"/>
    <w:rsid w:val="00175544"/>
    <w:rsid w:val="001A398D"/>
    <w:rsid w:val="001A4D8A"/>
    <w:rsid w:val="001A6B2C"/>
    <w:rsid w:val="001B4EA2"/>
    <w:rsid w:val="001B6523"/>
    <w:rsid w:val="001C4F6E"/>
    <w:rsid w:val="001D1170"/>
    <w:rsid w:val="001D1A05"/>
    <w:rsid w:val="001E13E9"/>
    <w:rsid w:val="001E3788"/>
    <w:rsid w:val="001E6A49"/>
    <w:rsid w:val="001E78C7"/>
    <w:rsid w:val="001E7C0C"/>
    <w:rsid w:val="001F0ADA"/>
    <w:rsid w:val="001F306D"/>
    <w:rsid w:val="0020705A"/>
    <w:rsid w:val="00207F1E"/>
    <w:rsid w:val="002109B0"/>
    <w:rsid w:val="002266AA"/>
    <w:rsid w:val="00227196"/>
    <w:rsid w:val="00227A17"/>
    <w:rsid w:val="0023003B"/>
    <w:rsid w:val="00231AD5"/>
    <w:rsid w:val="002331F0"/>
    <w:rsid w:val="0023527A"/>
    <w:rsid w:val="0024394F"/>
    <w:rsid w:val="002454E6"/>
    <w:rsid w:val="00251ED0"/>
    <w:rsid w:val="00252899"/>
    <w:rsid w:val="00253352"/>
    <w:rsid w:val="002544B5"/>
    <w:rsid w:val="00265A5B"/>
    <w:rsid w:val="0027041E"/>
    <w:rsid w:val="00271740"/>
    <w:rsid w:val="002768A7"/>
    <w:rsid w:val="0027693B"/>
    <w:rsid w:val="00283562"/>
    <w:rsid w:val="00286155"/>
    <w:rsid w:val="0029741D"/>
    <w:rsid w:val="00297A9B"/>
    <w:rsid w:val="002C3C3B"/>
    <w:rsid w:val="002C7F70"/>
    <w:rsid w:val="002D254B"/>
    <w:rsid w:val="002D25A8"/>
    <w:rsid w:val="002D30FB"/>
    <w:rsid w:val="002D4244"/>
    <w:rsid w:val="002D6BAE"/>
    <w:rsid w:val="002D74CC"/>
    <w:rsid w:val="002E0D00"/>
    <w:rsid w:val="002E517A"/>
    <w:rsid w:val="002F0562"/>
    <w:rsid w:val="002F31CA"/>
    <w:rsid w:val="002F6229"/>
    <w:rsid w:val="00313B82"/>
    <w:rsid w:val="00314DC4"/>
    <w:rsid w:val="00317699"/>
    <w:rsid w:val="00320E58"/>
    <w:rsid w:val="00327DD0"/>
    <w:rsid w:val="00331B1B"/>
    <w:rsid w:val="00331C16"/>
    <w:rsid w:val="00335A19"/>
    <w:rsid w:val="00352DC5"/>
    <w:rsid w:val="003548FF"/>
    <w:rsid w:val="00356787"/>
    <w:rsid w:val="0035766D"/>
    <w:rsid w:val="00371B31"/>
    <w:rsid w:val="00376420"/>
    <w:rsid w:val="00376E3F"/>
    <w:rsid w:val="003778FE"/>
    <w:rsid w:val="00382288"/>
    <w:rsid w:val="003907D8"/>
    <w:rsid w:val="00393806"/>
    <w:rsid w:val="0039615E"/>
    <w:rsid w:val="003A0FC1"/>
    <w:rsid w:val="003A1E77"/>
    <w:rsid w:val="003A3162"/>
    <w:rsid w:val="003B32D6"/>
    <w:rsid w:val="003B5275"/>
    <w:rsid w:val="003C7EC2"/>
    <w:rsid w:val="003D08A2"/>
    <w:rsid w:val="003D4220"/>
    <w:rsid w:val="003D60BC"/>
    <w:rsid w:val="003F4583"/>
    <w:rsid w:val="003F67FD"/>
    <w:rsid w:val="00400840"/>
    <w:rsid w:val="004034C2"/>
    <w:rsid w:val="0041027C"/>
    <w:rsid w:val="00414BAC"/>
    <w:rsid w:val="00414D46"/>
    <w:rsid w:val="00424E77"/>
    <w:rsid w:val="00430E72"/>
    <w:rsid w:val="004543BE"/>
    <w:rsid w:val="00465A20"/>
    <w:rsid w:val="004669DD"/>
    <w:rsid w:val="0046746B"/>
    <w:rsid w:val="00470827"/>
    <w:rsid w:val="00472B8C"/>
    <w:rsid w:val="00474362"/>
    <w:rsid w:val="004832C7"/>
    <w:rsid w:val="0048377C"/>
    <w:rsid w:val="0049248C"/>
    <w:rsid w:val="00492F29"/>
    <w:rsid w:val="004932AD"/>
    <w:rsid w:val="004A0874"/>
    <w:rsid w:val="004A219C"/>
    <w:rsid w:val="004A266F"/>
    <w:rsid w:val="004B2947"/>
    <w:rsid w:val="004D24F7"/>
    <w:rsid w:val="004E0A0E"/>
    <w:rsid w:val="004E17CE"/>
    <w:rsid w:val="004E585A"/>
    <w:rsid w:val="004E7E28"/>
    <w:rsid w:val="00513ED2"/>
    <w:rsid w:val="00516B74"/>
    <w:rsid w:val="005251A8"/>
    <w:rsid w:val="00531370"/>
    <w:rsid w:val="005319FC"/>
    <w:rsid w:val="00537C9D"/>
    <w:rsid w:val="005419AC"/>
    <w:rsid w:val="005426D3"/>
    <w:rsid w:val="00546F37"/>
    <w:rsid w:val="00555D2F"/>
    <w:rsid w:val="00557B21"/>
    <w:rsid w:val="00557BA8"/>
    <w:rsid w:val="00561E45"/>
    <w:rsid w:val="00562A55"/>
    <w:rsid w:val="00567EF8"/>
    <w:rsid w:val="00577FA5"/>
    <w:rsid w:val="005829D0"/>
    <w:rsid w:val="00583648"/>
    <w:rsid w:val="00585FC3"/>
    <w:rsid w:val="00593E19"/>
    <w:rsid w:val="00597638"/>
    <w:rsid w:val="005A1423"/>
    <w:rsid w:val="005A18C5"/>
    <w:rsid w:val="005A6D9C"/>
    <w:rsid w:val="005B0483"/>
    <w:rsid w:val="005B436D"/>
    <w:rsid w:val="005B516D"/>
    <w:rsid w:val="005C3A97"/>
    <w:rsid w:val="005D14D8"/>
    <w:rsid w:val="005D3810"/>
    <w:rsid w:val="005E72C9"/>
    <w:rsid w:val="005F3D9A"/>
    <w:rsid w:val="00611408"/>
    <w:rsid w:val="00612894"/>
    <w:rsid w:val="006223DC"/>
    <w:rsid w:val="00625D19"/>
    <w:rsid w:val="00626825"/>
    <w:rsid w:val="00634230"/>
    <w:rsid w:val="00634923"/>
    <w:rsid w:val="00642821"/>
    <w:rsid w:val="00646D08"/>
    <w:rsid w:val="00651A1D"/>
    <w:rsid w:val="006552AC"/>
    <w:rsid w:val="0066589D"/>
    <w:rsid w:val="00676608"/>
    <w:rsid w:val="00680ED8"/>
    <w:rsid w:val="006822D1"/>
    <w:rsid w:val="006835D8"/>
    <w:rsid w:val="006935C5"/>
    <w:rsid w:val="006936CD"/>
    <w:rsid w:val="00693BFF"/>
    <w:rsid w:val="00697E66"/>
    <w:rsid w:val="006B2333"/>
    <w:rsid w:val="006B4099"/>
    <w:rsid w:val="006B475E"/>
    <w:rsid w:val="006C02D6"/>
    <w:rsid w:val="006C077A"/>
    <w:rsid w:val="006C4B85"/>
    <w:rsid w:val="006C6223"/>
    <w:rsid w:val="006C7D52"/>
    <w:rsid w:val="006D63F8"/>
    <w:rsid w:val="006D6579"/>
    <w:rsid w:val="006E059D"/>
    <w:rsid w:val="006E12CC"/>
    <w:rsid w:val="006E42E2"/>
    <w:rsid w:val="006E6C0D"/>
    <w:rsid w:val="006F4A3C"/>
    <w:rsid w:val="00704B60"/>
    <w:rsid w:val="00705B23"/>
    <w:rsid w:val="007236F7"/>
    <w:rsid w:val="0073373E"/>
    <w:rsid w:val="00735A77"/>
    <w:rsid w:val="00736DE6"/>
    <w:rsid w:val="00736FFA"/>
    <w:rsid w:val="0074020A"/>
    <w:rsid w:val="007408A0"/>
    <w:rsid w:val="00741B10"/>
    <w:rsid w:val="00746AB1"/>
    <w:rsid w:val="00762996"/>
    <w:rsid w:val="007771C4"/>
    <w:rsid w:val="0078269B"/>
    <w:rsid w:val="0078391F"/>
    <w:rsid w:val="0078482D"/>
    <w:rsid w:val="00784DA9"/>
    <w:rsid w:val="00785711"/>
    <w:rsid w:val="00792BF7"/>
    <w:rsid w:val="007971AE"/>
    <w:rsid w:val="00797E1A"/>
    <w:rsid w:val="007A3683"/>
    <w:rsid w:val="007A4078"/>
    <w:rsid w:val="007A6D28"/>
    <w:rsid w:val="007B0907"/>
    <w:rsid w:val="007B3691"/>
    <w:rsid w:val="007C3871"/>
    <w:rsid w:val="007C6373"/>
    <w:rsid w:val="007C79A1"/>
    <w:rsid w:val="007D57C7"/>
    <w:rsid w:val="007D7CF6"/>
    <w:rsid w:val="007D7FC1"/>
    <w:rsid w:val="007E314A"/>
    <w:rsid w:val="007E31A3"/>
    <w:rsid w:val="007E4BE5"/>
    <w:rsid w:val="007E544C"/>
    <w:rsid w:val="007E55CA"/>
    <w:rsid w:val="007E7C89"/>
    <w:rsid w:val="007F2B6A"/>
    <w:rsid w:val="007F3DFD"/>
    <w:rsid w:val="008019C7"/>
    <w:rsid w:val="008027A6"/>
    <w:rsid w:val="008078E1"/>
    <w:rsid w:val="00807CFB"/>
    <w:rsid w:val="008107C8"/>
    <w:rsid w:val="00817B03"/>
    <w:rsid w:val="00823D11"/>
    <w:rsid w:val="008271DD"/>
    <w:rsid w:val="00832B3D"/>
    <w:rsid w:val="00833A3A"/>
    <w:rsid w:val="00835590"/>
    <w:rsid w:val="00836DD6"/>
    <w:rsid w:val="0084013C"/>
    <w:rsid w:val="00840DB6"/>
    <w:rsid w:val="00842228"/>
    <w:rsid w:val="0084390D"/>
    <w:rsid w:val="0085222C"/>
    <w:rsid w:val="00853805"/>
    <w:rsid w:val="0085642B"/>
    <w:rsid w:val="008608FF"/>
    <w:rsid w:val="00867E5B"/>
    <w:rsid w:val="00873D81"/>
    <w:rsid w:val="0088358D"/>
    <w:rsid w:val="00883C42"/>
    <w:rsid w:val="008848F7"/>
    <w:rsid w:val="008946E3"/>
    <w:rsid w:val="00897396"/>
    <w:rsid w:val="00897990"/>
    <w:rsid w:val="008A58FC"/>
    <w:rsid w:val="008A5D2D"/>
    <w:rsid w:val="008A62FD"/>
    <w:rsid w:val="008C18DE"/>
    <w:rsid w:val="008C254D"/>
    <w:rsid w:val="008C74D8"/>
    <w:rsid w:val="008D00EB"/>
    <w:rsid w:val="008D36F8"/>
    <w:rsid w:val="008D789B"/>
    <w:rsid w:val="008E71C1"/>
    <w:rsid w:val="008F191F"/>
    <w:rsid w:val="008F2EF3"/>
    <w:rsid w:val="00904328"/>
    <w:rsid w:val="00904A86"/>
    <w:rsid w:val="009112F2"/>
    <w:rsid w:val="00912D23"/>
    <w:rsid w:val="00916E37"/>
    <w:rsid w:val="009170FE"/>
    <w:rsid w:val="0091760D"/>
    <w:rsid w:val="0092470F"/>
    <w:rsid w:val="00924D5A"/>
    <w:rsid w:val="009269B9"/>
    <w:rsid w:val="009361CC"/>
    <w:rsid w:val="009417DA"/>
    <w:rsid w:val="00945BE1"/>
    <w:rsid w:val="00962969"/>
    <w:rsid w:val="00964E16"/>
    <w:rsid w:val="009675DB"/>
    <w:rsid w:val="00975E71"/>
    <w:rsid w:val="009815D3"/>
    <w:rsid w:val="009846D8"/>
    <w:rsid w:val="00986368"/>
    <w:rsid w:val="0099150D"/>
    <w:rsid w:val="009A052A"/>
    <w:rsid w:val="009B021B"/>
    <w:rsid w:val="009B3EC6"/>
    <w:rsid w:val="009B48A6"/>
    <w:rsid w:val="009B4EC8"/>
    <w:rsid w:val="009C0310"/>
    <w:rsid w:val="009D021D"/>
    <w:rsid w:val="009E215E"/>
    <w:rsid w:val="009E2897"/>
    <w:rsid w:val="009E73B5"/>
    <w:rsid w:val="009E7A7F"/>
    <w:rsid w:val="009F1A81"/>
    <w:rsid w:val="009F41E1"/>
    <w:rsid w:val="009F41EA"/>
    <w:rsid w:val="009F59CA"/>
    <w:rsid w:val="00A006F5"/>
    <w:rsid w:val="00A03B3F"/>
    <w:rsid w:val="00A072C0"/>
    <w:rsid w:val="00A076C6"/>
    <w:rsid w:val="00A31038"/>
    <w:rsid w:val="00A525DA"/>
    <w:rsid w:val="00A64889"/>
    <w:rsid w:val="00A83F8B"/>
    <w:rsid w:val="00A8510C"/>
    <w:rsid w:val="00A95554"/>
    <w:rsid w:val="00AA1E88"/>
    <w:rsid w:val="00AA6F6F"/>
    <w:rsid w:val="00AB1432"/>
    <w:rsid w:val="00AB1E1F"/>
    <w:rsid w:val="00AB714D"/>
    <w:rsid w:val="00AE6ED5"/>
    <w:rsid w:val="00AF7ACE"/>
    <w:rsid w:val="00B0775B"/>
    <w:rsid w:val="00B25CAD"/>
    <w:rsid w:val="00B332E9"/>
    <w:rsid w:val="00B33986"/>
    <w:rsid w:val="00B35429"/>
    <w:rsid w:val="00B35D8E"/>
    <w:rsid w:val="00B40458"/>
    <w:rsid w:val="00B4790A"/>
    <w:rsid w:val="00B50F62"/>
    <w:rsid w:val="00B54412"/>
    <w:rsid w:val="00B56594"/>
    <w:rsid w:val="00B56BA1"/>
    <w:rsid w:val="00B6190F"/>
    <w:rsid w:val="00B646C8"/>
    <w:rsid w:val="00B6640B"/>
    <w:rsid w:val="00B711D3"/>
    <w:rsid w:val="00B83CC8"/>
    <w:rsid w:val="00B84DBE"/>
    <w:rsid w:val="00B95DBD"/>
    <w:rsid w:val="00BA16B4"/>
    <w:rsid w:val="00BA28A7"/>
    <w:rsid w:val="00BB1584"/>
    <w:rsid w:val="00BB3DF6"/>
    <w:rsid w:val="00BB5574"/>
    <w:rsid w:val="00BB6599"/>
    <w:rsid w:val="00BC1DCC"/>
    <w:rsid w:val="00BC56FC"/>
    <w:rsid w:val="00BC6DE4"/>
    <w:rsid w:val="00BE26B6"/>
    <w:rsid w:val="00BE39CD"/>
    <w:rsid w:val="00BF4791"/>
    <w:rsid w:val="00BF4D1C"/>
    <w:rsid w:val="00C02BBF"/>
    <w:rsid w:val="00C062D3"/>
    <w:rsid w:val="00C14B2B"/>
    <w:rsid w:val="00C16F42"/>
    <w:rsid w:val="00C16FD5"/>
    <w:rsid w:val="00C178D6"/>
    <w:rsid w:val="00C21787"/>
    <w:rsid w:val="00C23B50"/>
    <w:rsid w:val="00C23E44"/>
    <w:rsid w:val="00C25333"/>
    <w:rsid w:val="00C27F38"/>
    <w:rsid w:val="00C4030E"/>
    <w:rsid w:val="00C425AC"/>
    <w:rsid w:val="00C535A7"/>
    <w:rsid w:val="00C53786"/>
    <w:rsid w:val="00C53E46"/>
    <w:rsid w:val="00C573B1"/>
    <w:rsid w:val="00C669BA"/>
    <w:rsid w:val="00C7130D"/>
    <w:rsid w:val="00C7791F"/>
    <w:rsid w:val="00C827B5"/>
    <w:rsid w:val="00C82E74"/>
    <w:rsid w:val="00C835E2"/>
    <w:rsid w:val="00C87AA4"/>
    <w:rsid w:val="00C94C19"/>
    <w:rsid w:val="00C9681F"/>
    <w:rsid w:val="00CA46FF"/>
    <w:rsid w:val="00CA71BF"/>
    <w:rsid w:val="00CB08D8"/>
    <w:rsid w:val="00CB5658"/>
    <w:rsid w:val="00CD0E05"/>
    <w:rsid w:val="00CD57A0"/>
    <w:rsid w:val="00CD59DD"/>
    <w:rsid w:val="00CE7BE8"/>
    <w:rsid w:val="00CF1AD7"/>
    <w:rsid w:val="00CF577E"/>
    <w:rsid w:val="00CF69A3"/>
    <w:rsid w:val="00D002CB"/>
    <w:rsid w:val="00D11AAE"/>
    <w:rsid w:val="00D161A5"/>
    <w:rsid w:val="00D2207B"/>
    <w:rsid w:val="00D220BA"/>
    <w:rsid w:val="00D2550A"/>
    <w:rsid w:val="00D26200"/>
    <w:rsid w:val="00D34986"/>
    <w:rsid w:val="00D37B5F"/>
    <w:rsid w:val="00D4038E"/>
    <w:rsid w:val="00D427A0"/>
    <w:rsid w:val="00D44280"/>
    <w:rsid w:val="00D516A2"/>
    <w:rsid w:val="00D5397F"/>
    <w:rsid w:val="00D6273C"/>
    <w:rsid w:val="00D66483"/>
    <w:rsid w:val="00D71950"/>
    <w:rsid w:val="00D872D4"/>
    <w:rsid w:val="00D96030"/>
    <w:rsid w:val="00DB188A"/>
    <w:rsid w:val="00DB4089"/>
    <w:rsid w:val="00DB5428"/>
    <w:rsid w:val="00DC2680"/>
    <w:rsid w:val="00DC6FB7"/>
    <w:rsid w:val="00DE716E"/>
    <w:rsid w:val="00E062EA"/>
    <w:rsid w:val="00E14BB7"/>
    <w:rsid w:val="00E15B45"/>
    <w:rsid w:val="00E15F1A"/>
    <w:rsid w:val="00E16433"/>
    <w:rsid w:val="00E20F22"/>
    <w:rsid w:val="00E31448"/>
    <w:rsid w:val="00E32224"/>
    <w:rsid w:val="00E479C3"/>
    <w:rsid w:val="00E540EE"/>
    <w:rsid w:val="00E704B1"/>
    <w:rsid w:val="00E71186"/>
    <w:rsid w:val="00E73EFD"/>
    <w:rsid w:val="00E764B4"/>
    <w:rsid w:val="00E81AC4"/>
    <w:rsid w:val="00E82A69"/>
    <w:rsid w:val="00E87430"/>
    <w:rsid w:val="00E97B68"/>
    <w:rsid w:val="00EA5A1B"/>
    <w:rsid w:val="00EA6B1B"/>
    <w:rsid w:val="00EB0DB0"/>
    <w:rsid w:val="00EC2E2B"/>
    <w:rsid w:val="00EC5F42"/>
    <w:rsid w:val="00ED09AF"/>
    <w:rsid w:val="00ED33CA"/>
    <w:rsid w:val="00ED3721"/>
    <w:rsid w:val="00ED4D50"/>
    <w:rsid w:val="00ED7550"/>
    <w:rsid w:val="00EE2139"/>
    <w:rsid w:val="00EE32A6"/>
    <w:rsid w:val="00EF0FFA"/>
    <w:rsid w:val="00F0551F"/>
    <w:rsid w:val="00F10B97"/>
    <w:rsid w:val="00F12772"/>
    <w:rsid w:val="00F14241"/>
    <w:rsid w:val="00F216CD"/>
    <w:rsid w:val="00F22A04"/>
    <w:rsid w:val="00F43788"/>
    <w:rsid w:val="00F45C52"/>
    <w:rsid w:val="00F52EF8"/>
    <w:rsid w:val="00F544FD"/>
    <w:rsid w:val="00F61390"/>
    <w:rsid w:val="00F6582E"/>
    <w:rsid w:val="00F66F4D"/>
    <w:rsid w:val="00F92447"/>
    <w:rsid w:val="00F9689F"/>
    <w:rsid w:val="00F97C0B"/>
    <w:rsid w:val="00FA3750"/>
    <w:rsid w:val="00FA43F9"/>
    <w:rsid w:val="00FA630B"/>
    <w:rsid w:val="00FA6DC6"/>
    <w:rsid w:val="00FB01D5"/>
    <w:rsid w:val="00FB4A14"/>
    <w:rsid w:val="00FC0C10"/>
    <w:rsid w:val="00FD49F3"/>
    <w:rsid w:val="00FE04C3"/>
    <w:rsid w:val="00FE22DD"/>
    <w:rsid w:val="00FE4948"/>
    <w:rsid w:val="00FF44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3B90E"/>
  <w15:docId w15:val="{C63E729D-B34B-4CD9-9A41-AB0D764D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1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0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1D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B01D5"/>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897396"/>
    <w:pPr>
      <w:spacing w:after="0" w:line="240" w:lineRule="auto"/>
    </w:pPr>
    <w:rPr>
      <w:sz w:val="20"/>
      <w:szCs w:val="20"/>
    </w:rPr>
  </w:style>
  <w:style w:type="character" w:customStyle="1" w:styleId="EndnoteTextChar">
    <w:name w:val="Endnote Text Char"/>
    <w:basedOn w:val="DefaultParagraphFont"/>
    <w:link w:val="EndnoteText"/>
    <w:uiPriority w:val="99"/>
    <w:rsid w:val="00897396"/>
    <w:rPr>
      <w:sz w:val="20"/>
      <w:szCs w:val="20"/>
    </w:rPr>
  </w:style>
  <w:style w:type="character" w:styleId="EndnoteReference">
    <w:name w:val="endnote reference"/>
    <w:basedOn w:val="DefaultParagraphFont"/>
    <w:uiPriority w:val="99"/>
    <w:semiHidden/>
    <w:unhideWhenUsed/>
    <w:rsid w:val="00897396"/>
    <w:rPr>
      <w:vertAlign w:val="superscript"/>
    </w:rPr>
  </w:style>
  <w:style w:type="paragraph" w:styleId="FootnoteText">
    <w:name w:val="footnote text"/>
    <w:basedOn w:val="Normal"/>
    <w:link w:val="FootnoteTextChar"/>
    <w:uiPriority w:val="99"/>
    <w:unhideWhenUsed/>
    <w:rsid w:val="00897396"/>
    <w:pPr>
      <w:spacing w:after="0" w:line="240" w:lineRule="auto"/>
    </w:pPr>
    <w:rPr>
      <w:sz w:val="20"/>
      <w:szCs w:val="20"/>
    </w:rPr>
  </w:style>
  <w:style w:type="character" w:customStyle="1" w:styleId="FootnoteTextChar">
    <w:name w:val="Footnote Text Char"/>
    <w:basedOn w:val="DefaultParagraphFont"/>
    <w:link w:val="FootnoteText"/>
    <w:uiPriority w:val="99"/>
    <w:rsid w:val="00897396"/>
    <w:rPr>
      <w:sz w:val="20"/>
      <w:szCs w:val="20"/>
    </w:rPr>
  </w:style>
  <w:style w:type="character" w:styleId="FootnoteReference">
    <w:name w:val="footnote reference"/>
    <w:basedOn w:val="DefaultParagraphFont"/>
    <w:uiPriority w:val="99"/>
    <w:semiHidden/>
    <w:unhideWhenUsed/>
    <w:rsid w:val="00897396"/>
    <w:rPr>
      <w:vertAlign w:val="superscript"/>
    </w:rPr>
  </w:style>
  <w:style w:type="paragraph" w:styleId="Header">
    <w:name w:val="header"/>
    <w:basedOn w:val="Normal"/>
    <w:link w:val="HeaderChar"/>
    <w:uiPriority w:val="99"/>
    <w:unhideWhenUsed/>
    <w:rsid w:val="002D2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54B"/>
  </w:style>
  <w:style w:type="paragraph" w:styleId="Footer">
    <w:name w:val="footer"/>
    <w:basedOn w:val="Normal"/>
    <w:link w:val="FooterChar"/>
    <w:uiPriority w:val="99"/>
    <w:unhideWhenUsed/>
    <w:rsid w:val="002D2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54B"/>
  </w:style>
  <w:style w:type="character" w:customStyle="1" w:styleId="Heading3Char">
    <w:name w:val="Heading 3 Char"/>
    <w:basedOn w:val="DefaultParagraphFont"/>
    <w:link w:val="Heading3"/>
    <w:uiPriority w:val="9"/>
    <w:rsid w:val="00EB0DB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B97"/>
    <w:pPr>
      <w:ind w:left="720"/>
      <w:contextualSpacing/>
    </w:pPr>
  </w:style>
  <w:style w:type="character" w:styleId="Hyperlink">
    <w:name w:val="Hyperlink"/>
    <w:basedOn w:val="DefaultParagraphFont"/>
    <w:uiPriority w:val="99"/>
    <w:unhideWhenUsed/>
    <w:rsid w:val="00265A5B"/>
    <w:rPr>
      <w:color w:val="0563C1" w:themeColor="hyperlink"/>
      <w:u w:val="single"/>
    </w:rPr>
  </w:style>
  <w:style w:type="character" w:styleId="FollowedHyperlink">
    <w:name w:val="FollowedHyperlink"/>
    <w:basedOn w:val="DefaultParagraphFont"/>
    <w:uiPriority w:val="99"/>
    <w:semiHidden/>
    <w:unhideWhenUsed/>
    <w:rsid w:val="00AA1E88"/>
    <w:rPr>
      <w:color w:val="954F72" w:themeColor="followedHyperlink"/>
      <w:u w:val="single"/>
    </w:rPr>
  </w:style>
  <w:style w:type="paragraph" w:styleId="NormalWeb">
    <w:name w:val="Normal (Web)"/>
    <w:basedOn w:val="Normal"/>
    <w:uiPriority w:val="99"/>
    <w:semiHidden/>
    <w:unhideWhenUsed/>
    <w:rsid w:val="00625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5D19"/>
  </w:style>
  <w:style w:type="character" w:customStyle="1" w:styleId="recloc">
    <w:name w:val="recloc"/>
    <w:basedOn w:val="DefaultParagraphFont"/>
    <w:rsid w:val="00625D19"/>
  </w:style>
  <w:style w:type="table" w:styleId="TableGrid">
    <w:name w:val="Table Grid"/>
    <w:basedOn w:val="TableNormal"/>
    <w:uiPriority w:val="39"/>
    <w:rsid w:val="0049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
    <w:name w:val="published"/>
    <w:basedOn w:val="Normal"/>
    <w:rsid w:val="00D26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print">
    <w:name w:val="noprint"/>
    <w:basedOn w:val="DefaultParagraphFont"/>
    <w:rsid w:val="00D26200"/>
  </w:style>
  <w:style w:type="paragraph" w:styleId="Title">
    <w:name w:val="Title"/>
    <w:basedOn w:val="Normal"/>
    <w:next w:val="Normal"/>
    <w:link w:val="TitleChar"/>
    <w:uiPriority w:val="10"/>
    <w:qFormat/>
    <w:rsid w:val="00833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A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828">
      <w:bodyDiv w:val="1"/>
      <w:marLeft w:val="0"/>
      <w:marRight w:val="0"/>
      <w:marTop w:val="0"/>
      <w:marBottom w:val="0"/>
      <w:divBdr>
        <w:top w:val="none" w:sz="0" w:space="0" w:color="auto"/>
        <w:left w:val="none" w:sz="0" w:space="0" w:color="auto"/>
        <w:bottom w:val="none" w:sz="0" w:space="0" w:color="auto"/>
        <w:right w:val="none" w:sz="0" w:space="0" w:color="auto"/>
      </w:divBdr>
    </w:div>
    <w:div w:id="75979320">
      <w:bodyDiv w:val="1"/>
      <w:marLeft w:val="0"/>
      <w:marRight w:val="0"/>
      <w:marTop w:val="0"/>
      <w:marBottom w:val="0"/>
      <w:divBdr>
        <w:top w:val="none" w:sz="0" w:space="0" w:color="auto"/>
        <w:left w:val="none" w:sz="0" w:space="0" w:color="auto"/>
        <w:bottom w:val="none" w:sz="0" w:space="0" w:color="auto"/>
        <w:right w:val="none" w:sz="0" w:space="0" w:color="auto"/>
      </w:divBdr>
    </w:div>
    <w:div w:id="470753912">
      <w:bodyDiv w:val="1"/>
      <w:marLeft w:val="0"/>
      <w:marRight w:val="0"/>
      <w:marTop w:val="0"/>
      <w:marBottom w:val="0"/>
      <w:divBdr>
        <w:top w:val="none" w:sz="0" w:space="0" w:color="auto"/>
        <w:left w:val="none" w:sz="0" w:space="0" w:color="auto"/>
        <w:bottom w:val="none" w:sz="0" w:space="0" w:color="auto"/>
        <w:right w:val="none" w:sz="0" w:space="0" w:color="auto"/>
      </w:divBdr>
    </w:div>
    <w:div w:id="587158267">
      <w:bodyDiv w:val="1"/>
      <w:marLeft w:val="0"/>
      <w:marRight w:val="0"/>
      <w:marTop w:val="0"/>
      <w:marBottom w:val="0"/>
      <w:divBdr>
        <w:top w:val="none" w:sz="0" w:space="0" w:color="auto"/>
        <w:left w:val="none" w:sz="0" w:space="0" w:color="auto"/>
        <w:bottom w:val="none" w:sz="0" w:space="0" w:color="auto"/>
        <w:right w:val="none" w:sz="0" w:space="0" w:color="auto"/>
      </w:divBdr>
    </w:div>
    <w:div w:id="776680906">
      <w:bodyDiv w:val="1"/>
      <w:marLeft w:val="0"/>
      <w:marRight w:val="0"/>
      <w:marTop w:val="0"/>
      <w:marBottom w:val="0"/>
      <w:divBdr>
        <w:top w:val="none" w:sz="0" w:space="0" w:color="auto"/>
        <w:left w:val="none" w:sz="0" w:space="0" w:color="auto"/>
        <w:bottom w:val="none" w:sz="0" w:space="0" w:color="auto"/>
        <w:right w:val="none" w:sz="0" w:space="0" w:color="auto"/>
      </w:divBdr>
    </w:div>
    <w:div w:id="833104343">
      <w:bodyDiv w:val="1"/>
      <w:marLeft w:val="0"/>
      <w:marRight w:val="0"/>
      <w:marTop w:val="0"/>
      <w:marBottom w:val="0"/>
      <w:divBdr>
        <w:top w:val="none" w:sz="0" w:space="0" w:color="auto"/>
        <w:left w:val="none" w:sz="0" w:space="0" w:color="auto"/>
        <w:bottom w:val="none" w:sz="0" w:space="0" w:color="auto"/>
        <w:right w:val="none" w:sz="0" w:space="0" w:color="auto"/>
      </w:divBdr>
    </w:div>
    <w:div w:id="894050238">
      <w:bodyDiv w:val="1"/>
      <w:marLeft w:val="0"/>
      <w:marRight w:val="0"/>
      <w:marTop w:val="0"/>
      <w:marBottom w:val="0"/>
      <w:divBdr>
        <w:top w:val="none" w:sz="0" w:space="0" w:color="auto"/>
        <w:left w:val="none" w:sz="0" w:space="0" w:color="auto"/>
        <w:bottom w:val="none" w:sz="0" w:space="0" w:color="auto"/>
        <w:right w:val="none" w:sz="0" w:space="0" w:color="auto"/>
      </w:divBdr>
    </w:div>
    <w:div w:id="1499493836">
      <w:bodyDiv w:val="1"/>
      <w:marLeft w:val="0"/>
      <w:marRight w:val="0"/>
      <w:marTop w:val="0"/>
      <w:marBottom w:val="0"/>
      <w:divBdr>
        <w:top w:val="none" w:sz="0" w:space="0" w:color="auto"/>
        <w:left w:val="none" w:sz="0" w:space="0" w:color="auto"/>
        <w:bottom w:val="none" w:sz="0" w:space="0" w:color="auto"/>
        <w:right w:val="none" w:sz="0" w:space="0" w:color="auto"/>
      </w:divBdr>
      <w:divsChild>
        <w:div w:id="1552765306">
          <w:marLeft w:val="0"/>
          <w:marRight w:val="0"/>
          <w:marTop w:val="0"/>
          <w:marBottom w:val="120"/>
          <w:divBdr>
            <w:top w:val="none" w:sz="0" w:space="0" w:color="auto"/>
            <w:left w:val="none" w:sz="0" w:space="0" w:color="auto"/>
            <w:bottom w:val="none" w:sz="0" w:space="0" w:color="auto"/>
            <w:right w:val="none" w:sz="0" w:space="0" w:color="auto"/>
          </w:divBdr>
        </w:div>
      </w:divsChild>
    </w:div>
    <w:div w:id="21328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6AD7-D824-437F-85A1-74394665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4</cp:revision>
  <dcterms:created xsi:type="dcterms:W3CDTF">2016-09-02T01:58:00Z</dcterms:created>
  <dcterms:modified xsi:type="dcterms:W3CDTF">2016-09-02T03:27:00Z</dcterms:modified>
</cp:coreProperties>
</file>