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EF13" w14:textId="2BB95B4B" w:rsidR="00310A68" w:rsidRPr="00202D9F" w:rsidRDefault="00E92A66" w:rsidP="00976075">
      <w:pPr>
        <w:pStyle w:val="NoSpacing"/>
        <w:rPr>
          <w:rFonts w:ascii="Georgia" w:hAnsi="Georgia"/>
          <w:b/>
          <w:bCs/>
          <w:sz w:val="36"/>
          <w:szCs w:val="36"/>
          <w:lang w:eastAsia="en-AU"/>
        </w:rPr>
      </w:pPr>
      <w:bookmarkStart w:id="0" w:name="_top"/>
      <w:bookmarkStart w:id="1" w:name="_Hlk67250530"/>
      <w:bookmarkEnd w:id="0"/>
      <w:r>
        <w:rPr>
          <w:rFonts w:ascii="Georgia" w:hAnsi="Georgia"/>
          <w:b/>
          <w:bCs/>
          <w:sz w:val="36"/>
          <w:szCs w:val="36"/>
          <w:lang w:eastAsia="en-AU"/>
        </w:rPr>
        <w:t xml:space="preserve">JOHN AUSTEN: Newcastle Port – judicial </w:t>
      </w:r>
      <w:r w:rsidR="005C64EC">
        <w:rPr>
          <w:rFonts w:ascii="Georgia" w:hAnsi="Georgia"/>
          <w:b/>
          <w:bCs/>
          <w:sz w:val="36"/>
          <w:szCs w:val="36"/>
          <w:lang w:eastAsia="en-AU"/>
        </w:rPr>
        <w:t>over</w:t>
      </w:r>
      <w:r>
        <w:rPr>
          <w:rFonts w:ascii="Georgia" w:hAnsi="Georgia"/>
          <w:b/>
          <w:bCs/>
          <w:sz w:val="36"/>
          <w:szCs w:val="36"/>
          <w:lang w:eastAsia="en-AU"/>
        </w:rPr>
        <w:t>-</w:t>
      </w:r>
      <w:r w:rsidR="005C64EC">
        <w:rPr>
          <w:rFonts w:ascii="Georgia" w:hAnsi="Georgia"/>
          <w:b/>
          <w:bCs/>
          <w:sz w:val="36"/>
          <w:szCs w:val="36"/>
          <w:lang w:eastAsia="en-AU"/>
        </w:rPr>
        <w:t>reach</w:t>
      </w:r>
      <w:r w:rsidR="005D627D">
        <w:rPr>
          <w:rFonts w:ascii="Georgia" w:hAnsi="Georgia"/>
          <w:b/>
          <w:bCs/>
          <w:sz w:val="36"/>
          <w:szCs w:val="36"/>
          <w:lang w:eastAsia="en-AU"/>
        </w:rPr>
        <w:t>?</w:t>
      </w:r>
    </w:p>
    <w:p w14:paraId="0AEA8F8F" w14:textId="14D27B09" w:rsidR="00310A68" w:rsidRPr="00C02C5D" w:rsidRDefault="00310A68" w:rsidP="0097607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en-AU"/>
        </w:rPr>
      </w:pPr>
      <w:r w:rsidRPr="00C452D2">
        <w:rPr>
          <w:rFonts w:ascii="Georgia" w:eastAsia="Times New Roman" w:hAnsi="Georgia" w:cs="Arial"/>
          <w:color w:val="777777"/>
          <w:sz w:val="18"/>
          <w:szCs w:val="18"/>
          <w:lang w:eastAsia="en-AU"/>
        </w:rPr>
        <w:t xml:space="preserve"> </w:t>
      </w:r>
    </w:p>
    <w:p w14:paraId="201C9AD0" w14:textId="01329076" w:rsidR="00310A68" w:rsidRPr="00C02C5D" w:rsidRDefault="005D627D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</w:pP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The Federal Court’s rejection of </w:t>
      </w:r>
      <w:r w:rsidR="00FE373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a </w:t>
      </w: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case against penalties </w:t>
      </w:r>
      <w:r w:rsidR="00E92A66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facing</w:t>
      </w: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Newcastle </w:t>
      </w:r>
      <w:r w:rsidR="007929CE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P</w:t>
      </w: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ort </w:t>
      </w:r>
      <w:r w:rsidR="00FF7507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seem</w:t>
      </w:r>
      <w:r w:rsidR="00E92A66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ed</w:t>
      </w: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</w:t>
      </w:r>
      <w:r w:rsidR="00E92A66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to </w:t>
      </w:r>
      <w:r w:rsidR="00976075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misunderst</w:t>
      </w:r>
      <w:r w:rsidR="00742877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and</w:t>
      </w:r>
      <w:r w:rsidR="00976075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</w:t>
      </w:r>
      <w:r w:rsidR="00742877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transport </w:t>
      </w:r>
      <w:r w:rsidR="00E92A66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policy matters</w:t>
      </w:r>
      <w:r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.</w:t>
      </w:r>
      <w:r w:rsidR="00126C65" w:rsidRPr="00C02C5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4C187D42" w14:textId="77777777" w:rsidR="00A07018" w:rsidRPr="00C02C5D" w:rsidRDefault="00A07018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E4BAE56" w14:textId="77777777" w:rsidR="004E5276" w:rsidRDefault="00380448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Since 2016, </w:t>
      </w:r>
      <w:hyperlink w:anchor="_top" w:history="1">
        <w:r w:rsidR="00D679BF" w:rsidRPr="00D679BF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posts</w:t>
        </w:r>
      </w:hyperlink>
      <w:r w:rsidR="00D679B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in Pearls and Irritations have 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dr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awn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attention to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secret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NSW Government scheme to hinder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Newcastle port’s wish for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container terminal.  One effect is to 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seemingly 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hamstring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attempts by 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world’s largest coal port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to diversify and deal with global (climate) policy realities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="00D679B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hyperlink r:id="rId8" w:history="1">
        <w:r w:rsidR="004E5276" w:rsidRPr="00C90D9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https://johnmenadue.com/john-menadue-newcastle-port-another-botched-privatisation-a-repost-from-5-september-2016/</w:t>
        </w:r>
      </w:hyperlink>
    </w:p>
    <w:p w14:paraId="7B24BD78" w14:textId="4B859C67" w:rsidR="005D627D" w:rsidRPr="00C02C5D" w:rsidRDefault="005D627D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FCE0657" w14:textId="554B755A" w:rsidR="005D627D" w:rsidRPr="00C02C5D" w:rsidRDefault="005D627D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scheme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547B0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has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Newcastle Port paying a penalty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to compensate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private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ly owned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Port Botany for every container moved through such a terminal.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Somehow a call by</w:t>
      </w:r>
      <w:r w:rsidR="00D7620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Botany 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bidders for </w:t>
      </w:r>
      <w:r w:rsidR="0004336A">
        <w:rPr>
          <w:rFonts w:ascii="Georgia" w:eastAsia="Times New Roman" w:hAnsi="Georgia" w:cs="Times New Roman"/>
          <w:sz w:val="24"/>
          <w:szCs w:val="24"/>
          <w:lang w:eastAsia="en-AU"/>
        </w:rPr>
        <w:t>assurance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the Government would</w:t>
      </w:r>
      <w:r w:rsidR="0004336A">
        <w:rPr>
          <w:rFonts w:ascii="Georgia" w:eastAsia="Times New Roman" w:hAnsi="Georgia" w:cs="Times New Roman"/>
          <w:sz w:val="24"/>
          <w:szCs w:val="24"/>
          <w:lang w:eastAsia="en-AU"/>
        </w:rPr>
        <w:t>n’t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develop its own terminal at Newcastle morphed into </w:t>
      </w:r>
      <w:r w:rsidR="00D76203">
        <w:rPr>
          <w:rFonts w:ascii="Georgia" w:eastAsia="Times New Roman" w:hAnsi="Georgia" w:cs="Times New Roman"/>
          <w:sz w:val="24"/>
          <w:szCs w:val="24"/>
          <w:lang w:eastAsia="en-AU"/>
        </w:rPr>
        <w:t>penalt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ies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D76203">
        <w:rPr>
          <w:rFonts w:ascii="Georgia" w:eastAsia="Times New Roman" w:hAnsi="Georgia" w:cs="Times New Roman"/>
          <w:sz w:val="24"/>
          <w:szCs w:val="24"/>
          <w:lang w:eastAsia="en-AU"/>
        </w:rPr>
        <w:t>for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any terminal –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including a p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>rivate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ly funded one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</w:t>
      </w:r>
    </w:p>
    <w:p w14:paraId="7F4E6015" w14:textId="7CC911AB" w:rsidR="005D627D" w:rsidRPr="00C02C5D" w:rsidRDefault="005D627D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469AC290" w14:textId="6B86D769" w:rsidR="00380448" w:rsidRPr="00C02C5D" w:rsidRDefault="00364CD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he Federal Government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and Opposition</w:t>
      </w:r>
      <w:r w:rsidR="0038044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failed to do anything about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this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trade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impediment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Without</w:t>
      </w:r>
      <w:r w:rsidR="0038044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those </w:t>
      </w:r>
      <w:r w:rsidR="0038044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politicians pulling their weight,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in 2018 </w:t>
      </w:r>
      <w:r w:rsidR="00380448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</w:t>
      </w:r>
      <w:r w:rsidR="005D627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he Australian Competition and Consumers Commission</w:t>
      </w:r>
      <w:r w:rsidR="0038044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instituted proceeding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alleg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ing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 breach of the Competition Act’s anti-competitive laws. </w:t>
      </w:r>
    </w:p>
    <w:p w14:paraId="014EB5B9" w14:textId="77777777" w:rsidR="00380448" w:rsidRPr="00C02C5D" w:rsidRDefault="00380448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1E1EB932" w14:textId="77777777" w:rsidR="004E5276" w:rsidRDefault="00380448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hyperlink w:anchor="_top" w:history="1">
        <w:r w:rsidR="00D679BF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Federal Court</w:t>
        </w:r>
      </w:hyperlink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– Justice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Jagot – ruled against the Commission. </w:t>
      </w:r>
      <w:r w:rsidR="00A37A0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hyperlink r:id="rId9" w:history="1">
        <w:r w:rsidR="004E5276" w:rsidRPr="00C90D9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https://www.judgments.fedcourt.gov.au/judgments/Judgments/fca/single/2021/2021fca0720</w:t>
        </w:r>
      </w:hyperlink>
    </w:p>
    <w:p w14:paraId="61922F42" w14:textId="427C1260" w:rsidR="00A37A01" w:rsidRPr="00C02C5D" w:rsidRDefault="00A37A01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0EF3299" w14:textId="7285D1CD" w:rsidR="00C90320" w:rsidRPr="00C02C5D" w:rsidRDefault="00547B0E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decision hinged on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rown immunity.  To explain, the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scheme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was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secretly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included in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privatisations of Port Botany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(2013)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and Newcastle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(2014).  The Court said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privatisations </w:t>
      </w:r>
      <w:r w:rsidR="007929CE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are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A37A0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not business activities.  As</w:t>
      </w:r>
      <w:r w:rsidR="00C90320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the Competition Act applies only to business activities the deal was ‘immune’.</w:t>
      </w:r>
    </w:p>
    <w:p w14:paraId="2CD9B1F6" w14:textId="48E33EDB" w:rsidR="00A37A01" w:rsidRPr="00C02C5D" w:rsidRDefault="00A37A01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</w:p>
    <w:p w14:paraId="0EBE70FD" w14:textId="62805580" w:rsidR="00C90320" w:rsidRPr="00C02C5D" w:rsidRDefault="007929CE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This article is not interested in that.  Rather, it is interested in the Court’s further musings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: the scheme 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is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not anti-competitive;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 container terminal at Newcastle is ‘fanciful’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</w:p>
    <w:p w14:paraId="58203C76" w14:textId="751340B0" w:rsidR="00C90320" w:rsidRPr="00C02C5D" w:rsidRDefault="00C90320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7EA58C48" w14:textId="0AF43486" w:rsidR="000E7766" w:rsidRPr="00C02C5D" w:rsidRDefault="000E776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Anti-competitive?</w:t>
      </w:r>
    </w:p>
    <w:p w14:paraId="3377DF04" w14:textId="131E4D30" w:rsidR="000E7766" w:rsidRPr="00C02C5D" w:rsidRDefault="000E776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Court argu</w:t>
      </w:r>
      <w:r w:rsidR="00FF75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ed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the scheme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sought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to maximise revenue from the sale of Botany, rather than stifle competition.</w:t>
      </w:r>
    </w:p>
    <w:p w14:paraId="37C82D2D" w14:textId="77777777" w:rsidR="000E7766" w:rsidRPr="00C02C5D" w:rsidRDefault="000E776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AE33140" w14:textId="0ED00C06" w:rsidR="00FF7507" w:rsidRPr="00C02C5D" w:rsidRDefault="000E776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don’t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understand that.  The only way to maximise revenue from the Botany sale was to restrict potential competition.  </w:t>
      </w:r>
    </w:p>
    <w:p w14:paraId="701B2C8A" w14:textId="77777777" w:rsidR="00FF7507" w:rsidRPr="00C02C5D" w:rsidRDefault="00FF75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6B857F84" w14:textId="535FE3CB" w:rsidR="00FF7507" w:rsidRPr="00C02C5D" w:rsidRDefault="00FF75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Further, t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he Botany bidders –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themselves 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container port experts –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and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Government consistently 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act as if Newcastle ha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0E77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the potential to compete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without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some such scheme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</w:p>
    <w:p w14:paraId="0E9B56BA" w14:textId="77777777" w:rsidR="00FF7507" w:rsidRPr="00C02C5D" w:rsidRDefault="00FF75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9E98874" w14:textId="31728217" w:rsidR="00DA3341" w:rsidRPr="00C02C5D" w:rsidRDefault="00DA3341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Court seem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ed to give more weight to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Government’s 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latest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excuses than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to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logic and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observed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actions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</w:p>
    <w:p w14:paraId="1847429B" w14:textId="77777777" w:rsidR="00976075" w:rsidRPr="00C02C5D" w:rsidRDefault="00976075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u w:val="single"/>
          <w:lang w:eastAsia="en-AU"/>
        </w:rPr>
      </w:pPr>
    </w:p>
    <w:p w14:paraId="398C4A32" w14:textId="4AFC1FA8" w:rsidR="00DA3341" w:rsidRPr="00C02C5D" w:rsidRDefault="00DA3341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Fanciful?</w:t>
      </w:r>
    </w:p>
    <w:p w14:paraId="69B1FF00" w14:textId="44680729" w:rsidR="0074317A" w:rsidRPr="00C02C5D" w:rsidRDefault="00FF75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is comment was part the Court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’s reasoning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to overcome the fact </w:t>
      </w:r>
      <w:r w:rsidR="005F138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container terminal in Newcastle would attract trade from Botany.   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Court said 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because it could never happen, anything to </w:t>
      </w:r>
      <w:r w:rsidR="00C1063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reduce the prospect of it happening could not be anti-competitive.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One reason it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supposedly could never happen 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is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</w:t>
      </w:r>
      <w:proofErr w:type="gramStart"/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>Government</w:t>
      </w:r>
      <w:proofErr w:type="gramEnd"/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policy.</w:t>
      </w:r>
    </w:p>
    <w:p w14:paraId="7F1D69BF" w14:textId="77777777" w:rsidR="0074317A" w:rsidRPr="00C02C5D" w:rsidRDefault="0074317A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5879A97" w14:textId="30BB3488" w:rsidR="0074317A" w:rsidRPr="00C02C5D" w:rsidRDefault="0074317A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policy: Botany’s container capacity is to be exhausted before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another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terminal in NSW </w:t>
      </w:r>
      <w:r w:rsidR="00FE373F">
        <w:rPr>
          <w:rFonts w:ascii="Georgia" w:eastAsia="Times New Roman" w:hAnsi="Georgia" w:cs="Times New Roman"/>
          <w:sz w:val="24"/>
          <w:szCs w:val="24"/>
          <w:lang w:eastAsia="en-AU"/>
        </w:rPr>
        <w:t>is built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</w:p>
    <w:p w14:paraId="67282520" w14:textId="77777777" w:rsidR="0074317A" w:rsidRPr="00C02C5D" w:rsidRDefault="0074317A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625D7B4C" w14:textId="05B3C82E" w:rsidR="0074317A" w:rsidRPr="00C02C5D" w:rsidRDefault="00976075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Why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the Government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should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>keep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such a policy post privatisation – which is intended to remove Government influence on port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business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– escapes me.</w:t>
      </w:r>
    </w:p>
    <w:p w14:paraId="129BAD85" w14:textId="77777777" w:rsidR="0074317A" w:rsidRPr="00C02C5D" w:rsidRDefault="0074317A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627AA24" w14:textId="77777777" w:rsidR="004E5276" w:rsidRDefault="00E92A66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Nonetheless,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there is 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 fatal flaw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– which t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he Court failed to 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appreciate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: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Botany’s capacity, like ports in many metropolises, 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is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limited by </w:t>
      </w:r>
      <w:hyperlink w:anchor="_top" w:history="1">
        <w:r w:rsidR="00D679BF">
          <w:rPr>
            <w:rStyle w:val="Hyperlink"/>
            <w:rFonts w:ascii="Georgia" w:hAnsi="Georgia"/>
            <w:sz w:val="24"/>
            <w:szCs w:val="24"/>
          </w:rPr>
          <w:t>road traffic</w:t>
        </w:r>
      </w:hyperlink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outside the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port 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>precinct – not by terminal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74317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or berths.</w:t>
      </w:r>
      <w:r w:rsid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hyperlink r:id="rId10" w:history="1">
        <w:r w:rsidR="004E5276" w:rsidRPr="002E1C76">
          <w:rPr>
            <w:rStyle w:val="Hyperlink"/>
            <w:rFonts w:ascii="Georgia" w:hAnsi="Georgia"/>
            <w:sz w:val="24"/>
            <w:szCs w:val="24"/>
          </w:rPr>
          <w:t>https://www.bitre.gov.au/sites/default/files/2019-11/cr_001%20%282%29.pdf</w:t>
        </w:r>
      </w:hyperlink>
    </w:p>
    <w:p w14:paraId="77672AC2" w14:textId="1C5BD857" w:rsidR="0074317A" w:rsidRDefault="0074317A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59EE8EF8" w14:textId="77777777" w:rsidR="004E5276" w:rsidRPr="002E1C76" w:rsidRDefault="00875082" w:rsidP="004E5276">
      <w:pPr>
        <w:pStyle w:val="FootnoteText"/>
        <w:rPr>
          <w:rFonts w:ascii="Georgia" w:hAnsi="Georgia"/>
          <w:sz w:val="24"/>
          <w:szCs w:val="24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That was the point 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>of the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hyperlink w:anchor="_top" w:history="1">
        <w:r w:rsidR="00D679BF">
          <w:rPr>
            <w:rStyle w:val="Hyperlink"/>
            <w:rFonts w:ascii="Georgia" w:hAnsi="Georgia"/>
            <w:sz w:val="24"/>
            <w:szCs w:val="24"/>
          </w:rPr>
          <w:t>National Ports Strategy</w:t>
        </w:r>
      </w:hyperlink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– cited by the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>ourt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In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that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,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Governments agreed policy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should treat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ports as a function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>not a place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  T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he difference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: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F2410C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former requires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planning for land 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transport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to the port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, of which Botany was 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an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ex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ample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of what </w:t>
      </w:r>
      <w:r w:rsidR="00DF637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to</w:t>
      </w:r>
      <w:r w:rsidR="00A77F9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avoid</w:t>
      </w:r>
      <w:r w:rsidR="00602EC0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="005C4553" w:rsidRPr="005C4553">
        <w:rPr>
          <w:sz w:val="18"/>
          <w:szCs w:val="18"/>
        </w:rPr>
        <w:t xml:space="preserve"> </w:t>
      </w:r>
      <w:hyperlink r:id="rId11" w:history="1">
        <w:r w:rsidR="004E5276" w:rsidRPr="002E1C76">
          <w:rPr>
            <w:rStyle w:val="Hyperlink"/>
            <w:rFonts w:ascii="Georgia" w:hAnsi="Georgia"/>
            <w:sz w:val="24"/>
            <w:szCs w:val="24"/>
          </w:rPr>
          <w:t>https://www.infrastructureaustralia.gov.au/sites/default/files/2019-06/COAG_National_Ports_Strategy.pdf</w:t>
        </w:r>
      </w:hyperlink>
    </w:p>
    <w:p w14:paraId="2FEFA267" w14:textId="77777777" w:rsidR="004E5276" w:rsidRPr="00C02C5D" w:rsidRDefault="004E5276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770EF983" w14:textId="7F98401A" w:rsidR="00D940A2" w:rsidRPr="00C02C5D" w:rsidRDefault="00D940A2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Court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underestimated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Botany’s</w:t>
      </w:r>
      <w:r w:rsidR="0093224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– and Sydney’s -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land transport problems.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</w:t>
      </w:r>
    </w:p>
    <w:p w14:paraId="1B577488" w14:textId="77777777" w:rsidR="00D940A2" w:rsidRPr="00C02C5D" w:rsidRDefault="00D940A2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77CE83B1" w14:textId="77777777" w:rsidR="004E5276" w:rsidRDefault="00D940A2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It cited a </w:t>
      </w:r>
      <w:r w:rsidR="00E05D7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claim only 2% of traffic on the M5 east relate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E05D7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to Botany.  </w:t>
      </w:r>
      <w:r w:rsidR="0093224F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Drivers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on the M5 – and elsewhere - </w:t>
      </w:r>
      <w:r w:rsidR="0093224F" w:rsidRPr="00C02C5D">
        <w:rPr>
          <w:rFonts w:ascii="Georgia" w:eastAsia="Times New Roman" w:hAnsi="Georgia" w:cs="Times New Roman"/>
          <w:sz w:val="24"/>
          <w:szCs w:val="24"/>
          <w:lang w:eastAsia="en-AU"/>
        </w:rPr>
        <w:t>would think that an understatement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, as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evidently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does the Government </w:t>
      </w:r>
      <w:r w:rsidR="00714F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e.g.,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hyperlink w:anchor="_top" w:history="1">
        <w:r w:rsidR="004F0C0B" w:rsidRPr="004F0C0B">
          <w:rPr>
            <w:rStyle w:val="Hyperlink"/>
            <w:rFonts w:ascii="Georgia" w:hAnsi="Georgia"/>
            <w:sz w:val="24"/>
            <w:szCs w:val="24"/>
          </w:rPr>
          <w:t>Sydney gateway</w:t>
        </w:r>
      </w:hyperlink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project</w:t>
      </w:r>
      <w:r w:rsidR="00E05D7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="005C4553"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E05D71"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hyperlink r:id="rId12" w:history="1">
        <w:r w:rsidR="004E5276" w:rsidRPr="002E1C7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https://www.infrastructure.nsw.gov.au/media/2154/sydney-gateway-program_final-business-case-summary.pdf</w:t>
        </w:r>
      </w:hyperlink>
      <w:r w:rsidR="004E5276"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 </w:t>
      </w:r>
    </w:p>
    <w:p w14:paraId="5E1C662C" w14:textId="77777777" w:rsidR="002E1C76" w:rsidRPr="00C02C5D" w:rsidRDefault="002E1C7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0C4E61D6" w14:textId="1B06D1EB" w:rsidR="00D940A2" w:rsidRPr="002E1C76" w:rsidRDefault="00E05D71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reason</w:t>
      </w:r>
      <w:r w:rsidR="00F2410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: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2%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(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probably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)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refers to 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truck numbers rather th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>an the</w:t>
      </w:r>
      <w:r w:rsidR="00997BB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effect of trucks on traffic.  T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hose t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rucks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likely 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>us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e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3224F" w:rsidRPr="00C02C5D">
        <w:rPr>
          <w:rFonts w:ascii="Georgia" w:eastAsia="Times New Roman" w:hAnsi="Georgia" w:cs="Times New Roman"/>
          <w:sz w:val="24"/>
          <w:szCs w:val="24"/>
          <w:lang w:eastAsia="en-AU"/>
        </w:rPr>
        <w:t>over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12% of space </w:t>
      </w:r>
      <w:r w:rsidR="0093224F" w:rsidRPr="00C02C5D">
        <w:rPr>
          <w:rFonts w:ascii="Georgia" w:eastAsia="Times New Roman" w:hAnsi="Georgia" w:cs="Times New Roman"/>
          <w:sz w:val="24"/>
          <w:szCs w:val="24"/>
          <w:lang w:eastAsia="en-AU"/>
        </w:rPr>
        <w:t>on that, and other, roads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  In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heavy traffic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that greatly</w:t>
      </w:r>
      <w:r w:rsidR="00D940A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adds to </w:t>
      </w:r>
      <w:hyperlink w:anchor="_top" w:history="1">
        <w:r w:rsidR="004F0C0B">
          <w:rPr>
            <w:rStyle w:val="Hyperlink"/>
            <w:rFonts w:ascii="Georgia" w:hAnsi="Georgia" w:cstheme="minorHAnsi"/>
            <w:sz w:val="24"/>
            <w:szCs w:val="24"/>
          </w:rPr>
          <w:t>congestion</w:t>
        </w:r>
      </w:hyperlink>
      <w:r w:rsidR="004F0C0B">
        <w:rPr>
          <w:rFonts w:ascii="Georgia" w:hAnsi="Georgia" w:cstheme="minorHAnsi"/>
          <w:sz w:val="24"/>
          <w:szCs w:val="24"/>
        </w:rPr>
        <w:t>.</w:t>
      </w:r>
      <w:r w:rsidR="004E5276">
        <w:rPr>
          <w:rFonts w:ascii="Georgia" w:hAnsi="Georgia" w:cstheme="minorHAnsi"/>
          <w:sz w:val="24"/>
          <w:szCs w:val="24"/>
        </w:rPr>
        <w:t xml:space="preserve">  </w:t>
      </w:r>
      <w:hyperlink r:id="rId13" w:history="1">
        <w:r w:rsidR="004E5276" w:rsidRPr="002E1C76">
          <w:rPr>
            <w:rStyle w:val="Hyperlink"/>
            <w:rFonts w:ascii="Georgia" w:hAnsi="Georgia" w:cstheme="minorHAnsi"/>
            <w:sz w:val="24"/>
            <w:szCs w:val="24"/>
          </w:rPr>
          <w:t>https://www.containerterminalpolicyinnsw.com.au/wp-content/uploads/2016/01/RTA-M5-Expansion-Modelling-Report-RTA-5-May-2009.pdf</w:t>
        </w:r>
      </w:hyperlink>
    </w:p>
    <w:p w14:paraId="161E0BFD" w14:textId="19BEA6BB" w:rsidR="0093224F" w:rsidRPr="00C02C5D" w:rsidRDefault="0093224F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70074F0A" w14:textId="0D588480" w:rsidR="0093224F" w:rsidRPr="00C02C5D" w:rsidRDefault="0093224F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More to the point, the relevant issue is the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converse – the 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impact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of congestion on trucks.  Botany is, and will remain, amid some of the heaviest road traffic in Australia.</w:t>
      </w:r>
      <w:r w:rsidR="002E1C76" w:rsidRPr="00C02C5D">
        <w:rPr>
          <w:sz w:val="18"/>
          <w:szCs w:val="18"/>
        </w:rPr>
        <w:t xml:space="preserve"> </w:t>
      </w:r>
    </w:p>
    <w:p w14:paraId="5EBA972F" w14:textId="77777777" w:rsidR="0093224F" w:rsidRPr="00C02C5D" w:rsidRDefault="0093224F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612BCF8F" w14:textId="19BB2EA3" w:rsidR="00FD4959" w:rsidRPr="00C02C5D" w:rsidRDefault="0093224F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effect is compounded by distances port trucks travel.  The Court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accepted a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claim 80% of Botany’s containers end up within 40km of the port.  Apart from inherent circularity,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data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problems, 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ignoring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a lower -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57%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- 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>figure from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Transport for NSW,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</w:t>
      </w:r>
      <w:r w:rsidR="00D76203">
        <w:rPr>
          <w:rFonts w:ascii="Georgia" w:eastAsia="Times New Roman" w:hAnsi="Georgia" w:cs="Times New Roman"/>
          <w:sz w:val="24"/>
          <w:szCs w:val="24"/>
          <w:lang w:eastAsia="en-AU"/>
        </w:rPr>
        <w:t>e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distance being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as the crow flies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,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and it seem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ingly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being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negated by 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ydney’s freight precincts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moving 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west </w:t>
      </w:r>
      <w:r w:rsidR="00FD0968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since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first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302BF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made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(2005)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etc.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- it is not a proxy for </w:t>
      </w:r>
      <w:r w:rsidR="005C0A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freight 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costs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, which of course, would include </w:t>
      </w:r>
      <w:r w:rsidR="005C0A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time lost due to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congestion</w:t>
      </w:r>
      <w:r w:rsidR="00FD4959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</w:p>
    <w:p w14:paraId="25CB163B" w14:textId="77777777" w:rsidR="00FD4959" w:rsidRPr="00C02C5D" w:rsidRDefault="00FD4959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4CD58947" w14:textId="77777777" w:rsidR="004E5276" w:rsidRPr="002E1C76" w:rsidRDefault="00FD4959" w:rsidP="004E5276">
      <w:pPr>
        <w:pStyle w:val="FootnoteText"/>
        <w:rPr>
          <w:rFonts w:ascii="Georgia" w:hAnsi="Georgia"/>
          <w:sz w:val="24"/>
          <w:szCs w:val="24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More </w:t>
      </w:r>
      <w:r w:rsidR="00E92A6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recent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, and relevant, data shows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average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port trucking costs in Sydney </w:t>
      </w:r>
      <w:hyperlink w:anchor="_top" w:history="1">
        <w:r w:rsidR="004F0C0B">
          <w:rPr>
            <w:rStyle w:val="Hyperlink"/>
            <w:rFonts w:ascii="Georgia" w:hAnsi="Georgia"/>
            <w:sz w:val="24"/>
            <w:szCs w:val="24"/>
          </w:rPr>
          <w:t>higher</w:t>
        </w:r>
      </w:hyperlink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than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elsewhere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in Australia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-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half of all export-import container costs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-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$20 per teu more than Melbourne, $100 more than Adelaide.  That was prior to opening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of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– and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substantial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new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truck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tolls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on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– WestConnex and </w:t>
      </w:r>
      <w:proofErr w:type="spellStart"/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NorthConnex</w:t>
      </w:r>
      <w:proofErr w:type="spellEnd"/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="005C4553" w:rsidRPr="002E1C76">
        <w:rPr>
          <w:rFonts w:ascii="Georgia" w:hAnsi="Georgia"/>
          <w:sz w:val="24"/>
          <w:szCs w:val="24"/>
        </w:rPr>
        <w:t xml:space="preserve"> </w:t>
      </w:r>
      <w:hyperlink r:id="rId14" w:history="1">
        <w:r w:rsidR="004E5276" w:rsidRPr="002E1C76">
          <w:rPr>
            <w:rStyle w:val="Hyperlink"/>
            <w:rFonts w:ascii="Georgia" w:hAnsi="Georgia"/>
            <w:sz w:val="24"/>
            <w:szCs w:val="24"/>
          </w:rPr>
          <w:t>https://www.bitre.gov.au/publications/2021/waterline-66</w:t>
        </w:r>
      </w:hyperlink>
    </w:p>
    <w:p w14:paraId="5330A7A9" w14:textId="0DB273C2" w:rsidR="00FD0968" w:rsidRPr="00C02C5D" w:rsidRDefault="00FD0968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120F8EC1" w14:textId="1C38EB05" w:rsidR="00E92A66" w:rsidRPr="00C02C5D" w:rsidRDefault="00976075" w:rsidP="00976075">
      <w:pPr>
        <w:spacing w:after="0"/>
        <w:rPr>
          <w:rFonts w:ascii="Georgia" w:hAnsi="Georgia"/>
          <w:b/>
          <w:bCs/>
          <w:sz w:val="24"/>
          <w:szCs w:val="24"/>
          <w:lang w:eastAsia="en-AU"/>
        </w:rPr>
      </w:pPr>
      <w:r w:rsidRPr="00C02C5D">
        <w:rPr>
          <w:rFonts w:ascii="Georgia" w:hAnsi="Georgia"/>
          <w:b/>
          <w:bCs/>
          <w:sz w:val="24"/>
          <w:szCs w:val="24"/>
          <w:lang w:eastAsia="en-AU"/>
        </w:rPr>
        <w:t>S</w:t>
      </w:r>
      <w:r w:rsidR="00E92A66" w:rsidRPr="00C02C5D">
        <w:rPr>
          <w:rFonts w:ascii="Georgia" w:hAnsi="Georgia"/>
          <w:b/>
          <w:bCs/>
          <w:sz w:val="24"/>
          <w:szCs w:val="24"/>
          <w:lang w:eastAsia="en-AU"/>
        </w:rPr>
        <w:t>trategic mess</w:t>
      </w:r>
    </w:p>
    <w:p w14:paraId="1EB61F40" w14:textId="77777777" w:rsidR="004E5276" w:rsidRPr="002E1C76" w:rsidRDefault="00FD0968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Like at the national level,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strategic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freight policy in NSW is a </w:t>
      </w:r>
      <w:hyperlink w:anchor="_top" w:history="1">
        <w:r w:rsidR="00F45569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mess</w:t>
        </w:r>
      </w:hyperlink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It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fail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to understand basics like: freight follows least cost pathways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</w:t>
      </w:r>
      <w:hyperlink r:id="rId15" w:history="1">
        <w:r w:rsidR="004E5276" w:rsidRPr="002E1C7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https://johnmenadue.com/john-austen-australian-freight-policy-where-is-my-chainsaw-part-1-of-2/</w:t>
        </w:r>
      </w:hyperlink>
      <w:r w:rsidR="004E5276"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</w:t>
      </w:r>
    </w:p>
    <w:p w14:paraId="4BD98F99" w14:textId="77777777" w:rsidR="004E5276" w:rsidRPr="00C02C5D" w:rsidRDefault="004E5276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7F80045" w14:textId="77777777" w:rsidR="00974354" w:rsidRPr="00C02C5D" w:rsidRDefault="00974354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08E1601" w14:textId="56CE1EA4" w:rsidR="00FC0019" w:rsidRPr="00FC0019" w:rsidRDefault="00FD0968" w:rsidP="00FC0019">
      <w:pPr>
        <w:spacing w:after="0"/>
        <w:rPr>
          <w:rFonts w:ascii="Georgia" w:hAnsi="Georgia"/>
          <w:sz w:val="24"/>
          <w:szCs w:val="24"/>
          <w:lang w:eastAsia="en-GB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picture the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Government presents for the Botany-first p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olicy: preventing a </w:t>
      </w:r>
      <w:r w:rsidR="0097607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Newcastle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terminal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avoids a queue of trucks carrying containers over 150km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to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western Sydney. 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This was put to, but not accepted by, a </w:t>
      </w:r>
      <w:hyperlink w:anchor="_top" w:history="1">
        <w:r w:rsidR="00F45569">
          <w:rPr>
            <w:rStyle w:val="Hyperlink"/>
            <w:rFonts w:ascii="Georgia" w:hAnsi="Georgia"/>
            <w:sz w:val="24"/>
            <w:szCs w:val="24"/>
            <w:lang w:eastAsia="en-GB"/>
          </w:rPr>
          <w:t>Parliamentary Inquiry</w:t>
        </w:r>
      </w:hyperlink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in 2019.</w:t>
      </w:r>
      <w:r w:rsidR="00FC0019" w:rsidRPr="00FC0019">
        <w:rPr>
          <w:lang w:eastAsia="en-GB"/>
        </w:rPr>
        <w:t xml:space="preserve"> </w:t>
      </w:r>
      <w:hyperlink r:id="rId16" w:history="1">
        <w:r w:rsidR="004E5276" w:rsidRPr="00FC0019">
          <w:rPr>
            <w:rStyle w:val="Hyperlink"/>
            <w:rFonts w:ascii="Georgia" w:hAnsi="Georgia"/>
            <w:sz w:val="24"/>
            <w:szCs w:val="24"/>
            <w:lang w:eastAsia="en-GB"/>
          </w:rPr>
          <w:t>https://www.parliament.nsw.gov.au/lcdocs/inquiries/2516/Final%20version%20of%20report%20-%2025%20February%202019.pdf</w:t>
        </w:r>
      </w:hyperlink>
    </w:p>
    <w:p w14:paraId="2E515972" w14:textId="77777777" w:rsidR="00A669A7" w:rsidRPr="00C02C5D" w:rsidRDefault="00A669A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45B003AA" w14:textId="3AEFEAD6" w:rsidR="00974354" w:rsidRPr="00C02C5D" w:rsidRDefault="00FD0968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reality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: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with a Newcastle terminal m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any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container trucks running between Botany and Newcastle via central Sydney would be redeployed to carry cargo from Newcastle to the Hunter and northern regions.</w:t>
      </w:r>
    </w:p>
    <w:p w14:paraId="09E9013B" w14:textId="602F3028" w:rsidR="00974354" w:rsidRPr="00C02C5D" w:rsidRDefault="00974354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0D574740" w14:textId="00F90534" w:rsidR="00974354" w:rsidRPr="002E1C76" w:rsidRDefault="009936C9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h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>e present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run through central Sydney is exacerbated by lack of a </w:t>
      </w:r>
      <w:r w:rsidR="004C3E45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sensible </w:t>
      </w:r>
      <w:hyperlink w:anchor="_top" w:history="1">
        <w:r w:rsidR="00F45569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designated</w:t>
        </w:r>
      </w:hyperlink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freight route.  The route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designated by 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>the Government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adds over 40km – and several expensive tolls - to a truck trip between Botany and Newcastle.  </w:t>
      </w:r>
      <w:r w:rsidR="00A669A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gap in the freight network</w:t>
      </w:r>
      <w:r w:rsidR="0097435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will remain after </w:t>
      </w:r>
      <w:r w:rsidR="00A669A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WestConnex is completed.</w:t>
      </w:r>
      <w:r w:rsidR="00302BFC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So much for </w:t>
      </w:r>
      <w:r w:rsidR="007C735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NSW 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‘</w:t>
      </w:r>
      <w:r w:rsidR="00302BF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strateg</w:t>
      </w:r>
      <w:r w:rsidR="00C02C5D" w:rsidRPr="00C02C5D">
        <w:rPr>
          <w:rFonts w:ascii="Georgia" w:eastAsia="Times New Roman" w:hAnsi="Georgia" w:cs="Times New Roman"/>
          <w:sz w:val="24"/>
          <w:szCs w:val="24"/>
          <w:lang w:eastAsia="en-AU"/>
        </w:rPr>
        <w:t>y’</w:t>
      </w:r>
      <w:r w:rsidR="00302BF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.</w:t>
      </w:r>
      <w:r w:rsidR="002E1C76" w:rsidRPr="00C02C5D">
        <w:rPr>
          <w:rFonts w:ascii="Georgia" w:hAnsi="Georgia"/>
          <w:sz w:val="24"/>
          <w:szCs w:val="24"/>
        </w:rPr>
        <w:t xml:space="preserve"> </w:t>
      </w:r>
      <w:hyperlink r:id="rId17" w:history="1">
        <w:r w:rsidR="004E5276" w:rsidRPr="002E1C7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https://spatial.infrastructure.gov.au/portal/apps/webappviewer/index.html?id=9690eb423b4f446485781ea8a61851d2</w:t>
        </w:r>
      </w:hyperlink>
    </w:p>
    <w:p w14:paraId="01425DE5" w14:textId="6A18CFC3" w:rsidR="00DA7E07" w:rsidRPr="002E1C76" w:rsidRDefault="00DA7E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54E7672C" w14:textId="1DDFE823" w:rsidR="00DA7E07" w:rsidRPr="00C02C5D" w:rsidRDefault="00DA7E0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There is no public information capable of supporting an anti-Newcastle policy, and plenty of public information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suggesting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such policy is wrong.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The Parliamentary inquiry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(above) 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said it was given contradictory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information</w:t>
      </w:r>
      <w:r w:rsidR="00FC001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on the key land transport issue – hardly an endorsement of </w:t>
      </w:r>
      <w:r w:rsidR="00302BFC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policy or data on which it is supposedly based.</w:t>
      </w:r>
    </w:p>
    <w:p w14:paraId="2CBA69DD" w14:textId="2110F42D" w:rsidR="00FD0968" w:rsidRPr="00C02C5D" w:rsidRDefault="00FD0968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2274336C" w14:textId="294D26FA" w:rsidR="00976075" w:rsidRPr="00C02C5D" w:rsidRDefault="00976075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 xml:space="preserve">Policy </w:t>
      </w:r>
      <w:r w:rsidR="009936C9" w:rsidRPr="00C02C5D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sustainability?</w:t>
      </w:r>
    </w:p>
    <w:p w14:paraId="062FAFA9" w14:textId="51069C5D" w:rsidR="00A669A7" w:rsidRPr="00C02C5D" w:rsidRDefault="00A669A7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Court mused th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e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policy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was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developed along lines sought by Infrastructure Australia’s project assessments.  </w:t>
      </w:r>
      <w:r w:rsidR="00EC4A71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That is not so.  Assessments require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demonstration of:</w:t>
      </w:r>
      <w:r w:rsidR="00EC4A7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problems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; options; a business case; ex post review.  The</w:t>
      </w:r>
      <w:r w:rsidR="009936C9" w:rsidRPr="00C02C5D">
        <w:rPr>
          <w:rFonts w:ascii="Georgia" w:eastAsia="Times New Roman" w:hAnsi="Georgia" w:cs="Times New Roman"/>
          <w:sz w:val="24"/>
          <w:szCs w:val="24"/>
          <w:lang w:eastAsia="en-AU"/>
        </w:rPr>
        <w:t>re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has not </w:t>
      </w:r>
      <w:r w:rsidR="009936C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been any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demonstrat</w:t>
      </w:r>
      <w:r w:rsidR="009936C9" w:rsidRPr="00C02C5D">
        <w:rPr>
          <w:rFonts w:ascii="Georgia" w:eastAsia="Times New Roman" w:hAnsi="Georgia" w:cs="Times New Roman"/>
          <w:sz w:val="24"/>
          <w:szCs w:val="24"/>
          <w:lang w:eastAsia="en-AU"/>
        </w:rPr>
        <w:t>ion of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any </w:t>
      </w:r>
      <w:r w:rsidR="00364CD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of these.</w:t>
      </w:r>
    </w:p>
    <w:p w14:paraId="61C9C12A" w14:textId="14044F37" w:rsidR="006B0D56" w:rsidRPr="00C02C5D" w:rsidRDefault="006B0D5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42924B0C" w14:textId="77777777" w:rsidR="004E5276" w:rsidRPr="002E1C76" w:rsidRDefault="006B0D56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The Court also argued the policy is likely to continue as it has been operating for some years.  That may be so.  However, more significant was the Court</w:t>
      </w:r>
      <w:r w:rsidR="009936C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noting it origin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ated i</w:t>
      </w:r>
      <w:r w:rsidR="009936C9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2012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-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same time NSW embarked on other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 xml:space="preserve">strategic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transport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stupidities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: Sydney Metro; Transport Asset Holding </w:t>
      </w:r>
      <w:hyperlink w:anchor="_top" w:history="1">
        <w:r w:rsidR="00F45569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Entity</w:t>
        </w:r>
      </w:hyperlink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; opposition to Badgerys Creek airport.</w:t>
      </w:r>
      <w:r w:rsidRPr="002E1C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hyperlink r:id="rId18" w:history="1">
        <w:r w:rsidR="004E5276" w:rsidRPr="002E1C76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https://johnmenadue.com/nsw-rail-policy-more-than-cooking-the-books/</w:t>
        </w:r>
      </w:hyperlink>
    </w:p>
    <w:p w14:paraId="045FAB21" w14:textId="0155D4A5" w:rsidR="006B0D56" w:rsidRPr="002E1C76" w:rsidRDefault="006B0D56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4ADE5031" w14:textId="32A8BD92" w:rsidR="00DF6374" w:rsidRPr="00C02C5D" w:rsidRDefault="00DF6374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It appears the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C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ourt thought the NSW Government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>has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6B0D5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role in ascertaining the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financial merit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- or supporting construction - of a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Newcastle 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>terminal.  Such thinking is wrong.  The Government’s role, if any, is merely project regulatory approval.  As such approval is not the same as initiation of a project, Government opinions about viability should be discarded.</w:t>
      </w:r>
    </w:p>
    <w:p w14:paraId="0CFBC41F" w14:textId="77777777" w:rsidR="00DF6374" w:rsidRPr="00C02C5D" w:rsidRDefault="00DF6374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6966198C" w14:textId="2691F84B" w:rsidR="000976F5" w:rsidRPr="00C02C5D" w:rsidRDefault="00DF6374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Hence </w:t>
      </w:r>
      <w:r w:rsidR="0087508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NSW policy </w:t>
      </w:r>
      <w:r w:rsidR="0074287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against</w:t>
      </w:r>
      <w:r w:rsidR="0087508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a </w:t>
      </w:r>
      <w:r w:rsidR="00D7620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Newcastle </w:t>
      </w:r>
      <w:r w:rsidR="00875082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terminal </w:t>
      </w:r>
      <w:r w:rsidR="002877D2">
        <w:rPr>
          <w:rFonts w:ascii="Georgia" w:eastAsia="Times New Roman" w:hAnsi="Georgia" w:cs="Times New Roman"/>
          <w:sz w:val="24"/>
          <w:szCs w:val="24"/>
          <w:lang w:eastAsia="en-AU"/>
        </w:rPr>
        <w:t>can only have</w:t>
      </w:r>
      <w:r w:rsidR="006B0D56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o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ne aim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  <w:r w:rsidR="00F2410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Bi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dders for Botany </w:t>
      </w:r>
      <w:r w:rsidR="00F2410C" w:rsidRPr="00C02C5D">
        <w:rPr>
          <w:rFonts w:ascii="Georgia" w:eastAsia="Times New Roman" w:hAnsi="Georgia" w:cs="Times New Roman"/>
          <w:sz w:val="24"/>
          <w:szCs w:val="24"/>
          <w:lang w:eastAsia="en-AU"/>
        </w:rPr>
        <w:t>believed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57406A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without </w:t>
      </w:r>
      <w:r w:rsidR="00671A73" w:rsidRPr="00C02C5D">
        <w:rPr>
          <w:rFonts w:ascii="Georgia" w:eastAsia="Times New Roman" w:hAnsi="Georgia" w:cs="Times New Roman"/>
          <w:sz w:val="24"/>
          <w:szCs w:val="24"/>
          <w:lang w:eastAsia="en-AU"/>
        </w:rPr>
        <w:t>that aim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5A6B84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a 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terminal at Newcastle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may go-ahead </w:t>
      </w:r>
      <w:r w:rsidR="007A7DDF" w:rsidRPr="00C02C5D">
        <w:rPr>
          <w:rFonts w:ascii="Georgia" w:eastAsia="Times New Roman" w:hAnsi="Georgia" w:cs="Times New Roman"/>
          <w:sz w:val="24"/>
          <w:szCs w:val="24"/>
          <w:lang w:eastAsia="en-AU"/>
        </w:rPr>
        <w:t>because of Sydney’s landside constraints.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</w:t>
      </w:r>
    </w:p>
    <w:p w14:paraId="1ADB015B" w14:textId="318228DB" w:rsidR="007A7DDF" w:rsidRPr="00C02C5D" w:rsidRDefault="007A7DDF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</w:t>
      </w:r>
    </w:p>
    <w:p w14:paraId="5E84D43F" w14:textId="04B8021F" w:rsidR="004B59EC" w:rsidRDefault="007A7DDF" w:rsidP="00976075">
      <w:pPr>
        <w:spacing w:after="0" w:line="240" w:lineRule="auto"/>
        <w:textAlignment w:val="baseline"/>
        <w:rPr>
          <w:rFonts w:ascii="Georgia" w:hAnsi="Georgia"/>
          <w:i/>
          <w:iCs/>
          <w:sz w:val="24"/>
          <w:szCs w:val="24"/>
        </w:rPr>
      </w:pP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The </w:t>
      </w:r>
      <w:r w:rsidR="00DA7E07" w:rsidRPr="00C02C5D">
        <w:rPr>
          <w:rFonts w:ascii="Georgia" w:eastAsia="Times New Roman" w:hAnsi="Georgia" w:cs="Times New Roman"/>
          <w:sz w:val="24"/>
          <w:szCs w:val="24"/>
          <w:lang w:eastAsia="en-AU"/>
        </w:rPr>
        <w:t>aim?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 To </w:t>
      </w:r>
      <w:r w:rsidR="006B0D56" w:rsidRPr="00C02C5D">
        <w:rPr>
          <w:rFonts w:ascii="Georgia" w:eastAsia="Times New Roman" w:hAnsi="Georgia" w:cs="Times New Roman"/>
          <w:sz w:val="24"/>
          <w:szCs w:val="24"/>
          <w:lang w:eastAsia="en-AU"/>
        </w:rPr>
        <w:t>shield Botany from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potential competition from Newcastle</w:t>
      </w:r>
      <w:r w:rsidR="00E834A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by a</w:t>
      </w:r>
      <w:r w:rsidR="005A6B84" w:rsidRPr="00C02C5D">
        <w:rPr>
          <w:rFonts w:ascii="Georgia" w:eastAsia="Times New Roman" w:hAnsi="Georgia" w:cs="Times New Roman"/>
          <w:sz w:val="24"/>
          <w:szCs w:val="24"/>
          <w:lang w:eastAsia="en-AU"/>
        </w:rPr>
        <w:t>n opaque</w:t>
      </w:r>
      <w:r w:rsidR="00E834A1"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non-regulatory method</w:t>
      </w:r>
      <w:r w:rsidRPr="00C02C5D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</w:p>
    <w:p w14:paraId="40ADD25F" w14:textId="676C5D5A" w:rsidR="00C02C5D" w:rsidRPr="00981AD3" w:rsidRDefault="00C02C5D" w:rsidP="00976075">
      <w:pPr>
        <w:spacing w:after="0" w:line="240" w:lineRule="auto"/>
        <w:textAlignment w:val="baseline"/>
        <w:rPr>
          <w:rFonts w:ascii="Georgia" w:hAnsi="Georgia"/>
          <w:i/>
          <w:iCs/>
          <w:sz w:val="24"/>
          <w:szCs w:val="24"/>
        </w:rPr>
      </w:pPr>
    </w:p>
    <w:p w14:paraId="6739C050" w14:textId="216F4F7D" w:rsidR="009936C9" w:rsidRPr="00981AD3" w:rsidRDefault="009936C9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</w:pPr>
      <w:r w:rsidRPr="00981AD3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Conclusion</w:t>
      </w:r>
    </w:p>
    <w:p w14:paraId="1C1E54BE" w14:textId="03AF2064" w:rsidR="00AF42DD" w:rsidRPr="00981AD3" w:rsidRDefault="0057406A" w:rsidP="00976075">
      <w:pPr>
        <w:spacing w:after="0"/>
        <w:rPr>
          <w:rFonts w:ascii="Georgia" w:eastAsia="Times New Roman" w:hAnsi="Georgia" w:cs="Times New Roman"/>
          <w:sz w:val="24"/>
          <w:szCs w:val="24"/>
          <w:lang w:eastAsia="en-AU"/>
        </w:rPr>
      </w:pPr>
      <w:r w:rsidRPr="00981AD3">
        <w:rPr>
          <w:rFonts w:ascii="Georgia" w:eastAsia="Times New Roman" w:hAnsi="Georgia" w:cs="Times New Roman"/>
          <w:sz w:val="24"/>
          <w:szCs w:val="24"/>
          <w:lang w:eastAsia="en-AU"/>
        </w:rPr>
        <w:t>T</w:t>
      </w:r>
      <w:r w:rsidR="000976F5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he </w:t>
      </w:r>
      <w:r w:rsidR="006B0D56" w:rsidRPr="00981AD3">
        <w:rPr>
          <w:rFonts w:ascii="Georgia" w:eastAsia="Times New Roman" w:hAnsi="Georgia" w:cs="Times New Roman"/>
          <w:sz w:val="24"/>
          <w:szCs w:val="24"/>
          <w:lang w:eastAsia="en-AU"/>
        </w:rPr>
        <w:t>C</w:t>
      </w:r>
      <w:r w:rsidR="000976F5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ourt’s </w:t>
      </w:r>
      <w:r w:rsidR="007A7DDF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discussion </w:t>
      </w:r>
      <w:r w:rsidR="008E0739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beyond Crown immunity - </w:t>
      </w:r>
      <w:r w:rsidR="009936C9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of a Newcastle container terminal </w:t>
      </w:r>
      <w:r w:rsidR="008E0739" w:rsidRPr="00981AD3">
        <w:rPr>
          <w:rFonts w:ascii="Georgia" w:eastAsia="Times New Roman" w:hAnsi="Georgia" w:cs="Times New Roman"/>
          <w:sz w:val="24"/>
          <w:szCs w:val="24"/>
          <w:lang w:eastAsia="en-AU"/>
        </w:rPr>
        <w:t>-</w:t>
      </w:r>
      <w:r w:rsidR="006B0D56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0976F5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could be read as </w:t>
      </w:r>
      <w:r w:rsidR="00101549">
        <w:rPr>
          <w:rFonts w:ascii="Georgia" w:eastAsia="Times New Roman" w:hAnsi="Georgia" w:cs="Times New Roman"/>
          <w:sz w:val="24"/>
          <w:szCs w:val="24"/>
          <w:lang w:eastAsia="en-AU"/>
        </w:rPr>
        <w:t xml:space="preserve">being needless and </w:t>
      </w:r>
      <w:r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misunderstanding </w:t>
      </w:r>
      <w:r w:rsidR="00AB33D6">
        <w:rPr>
          <w:rFonts w:ascii="Georgia" w:eastAsia="Times New Roman" w:hAnsi="Georgia" w:cs="Times New Roman"/>
          <w:sz w:val="24"/>
          <w:szCs w:val="24"/>
          <w:lang w:eastAsia="en-AU"/>
        </w:rPr>
        <w:t>basic</w:t>
      </w:r>
      <w:r w:rsidR="006B0D56"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 </w:t>
      </w:r>
      <w:r w:rsidR="008E0739" w:rsidRPr="00981AD3">
        <w:rPr>
          <w:rFonts w:ascii="Georgia" w:eastAsia="Times New Roman" w:hAnsi="Georgia" w:cs="Times New Roman"/>
          <w:sz w:val="24"/>
          <w:szCs w:val="24"/>
          <w:lang w:eastAsia="en-AU"/>
        </w:rPr>
        <w:t>issues</w:t>
      </w:r>
      <w:r w:rsidR="00AB33D6">
        <w:rPr>
          <w:rFonts w:ascii="Georgia" w:eastAsia="Times New Roman" w:hAnsi="Georgia" w:cs="Times New Roman"/>
          <w:sz w:val="24"/>
          <w:szCs w:val="24"/>
          <w:lang w:eastAsia="en-AU"/>
        </w:rPr>
        <w:t xml:space="preserve">.  </w:t>
      </w:r>
    </w:p>
    <w:p w14:paraId="38B338B5" w14:textId="77777777" w:rsidR="00AF42DD" w:rsidRPr="00981AD3" w:rsidRDefault="00AF42DD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06A3C6FD" w14:textId="77777777" w:rsidR="004E5276" w:rsidRDefault="00AF42DD" w:rsidP="004E527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981AD3">
        <w:rPr>
          <w:rFonts w:ascii="Georgia" w:eastAsia="Times New Roman" w:hAnsi="Georgia" w:cs="Times New Roman"/>
          <w:sz w:val="24"/>
          <w:szCs w:val="24"/>
          <w:lang w:eastAsia="en-AU"/>
        </w:rPr>
        <w:t xml:space="preserve">Little wonder it attracted </w:t>
      </w:r>
      <w:hyperlink w:anchor="_top" w:history="1">
        <w:r w:rsidR="00F45569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criticism</w:t>
        </w:r>
      </w:hyperlink>
      <w:r w:rsidR="00F4556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  <w:r w:rsidR="004E527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</w:t>
      </w:r>
      <w:hyperlink r:id="rId19" w:history="1">
        <w:r w:rsidR="004E5276" w:rsidRPr="007D38BA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https://www.newcastleherald.com.au/story/7349037/judge-demolishes-newcastles-container-case-in-460-page-federal-court-verdict/</w:t>
        </w:r>
      </w:hyperlink>
    </w:p>
    <w:p w14:paraId="6180B859" w14:textId="541590EE" w:rsidR="004B59EC" w:rsidRDefault="004B59EC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3443AB71" w14:textId="77777777" w:rsidR="007E6003" w:rsidRDefault="007E6003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0D634FF8" w14:textId="77777777" w:rsidR="00A77F92" w:rsidRDefault="00A77F92" w:rsidP="00976075">
      <w:pPr>
        <w:spacing w:after="0" w:line="240" w:lineRule="auto"/>
        <w:textAlignment w:val="baseline"/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</w:pPr>
    </w:p>
    <w:bookmarkEnd w:id="1"/>
    <w:p w14:paraId="3936CCB8" w14:textId="2BC3F7DF" w:rsidR="00C67B7E" w:rsidRDefault="00C67B7E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14:paraId="76D25AB8" w14:textId="342EF165" w:rsidR="008E0739" w:rsidRPr="00780CB1" w:rsidRDefault="008E0739" w:rsidP="008E0739">
      <w:pPr>
        <w:spacing w:after="0" w:line="240" w:lineRule="auto"/>
        <w:textAlignment w:val="baseline"/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</w:pPr>
      <w:r w:rsidRPr="00C452D2"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 xml:space="preserve">John Austen is happily </w:t>
      </w:r>
      <w:r w:rsidRPr="00780CB1"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>retired former official</w:t>
      </w:r>
      <w:r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>.</w:t>
      </w:r>
      <w:r w:rsidRPr="00780CB1"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>Further d</w:t>
      </w:r>
      <w:r w:rsidRPr="00780CB1">
        <w:rPr>
          <w:rFonts w:ascii="Georgia" w:hAnsi="Georgia"/>
          <w:i/>
          <w:iCs/>
          <w:color w:val="272727"/>
          <w:sz w:val="24"/>
          <w:szCs w:val="24"/>
          <w:shd w:val="clear" w:color="auto" w:fill="FFFFFF"/>
        </w:rPr>
        <w:t>etails are at thejadebeagle.com.</w:t>
      </w:r>
    </w:p>
    <w:p w14:paraId="16F57C13" w14:textId="098CA0C6" w:rsidR="00C71899" w:rsidRPr="00780CB1" w:rsidRDefault="00C71899" w:rsidP="00976075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AU"/>
        </w:rPr>
      </w:pPr>
    </w:p>
    <w:sectPr w:rsidR="00C71899" w:rsidRPr="00780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722C" w14:textId="77777777" w:rsidR="00AD26B4" w:rsidRDefault="00AD26B4" w:rsidP="00737494">
      <w:pPr>
        <w:spacing w:after="0" w:line="240" w:lineRule="auto"/>
      </w:pPr>
      <w:r>
        <w:separator/>
      </w:r>
    </w:p>
  </w:endnote>
  <w:endnote w:type="continuationSeparator" w:id="0">
    <w:p w14:paraId="66E36949" w14:textId="77777777" w:rsidR="00AD26B4" w:rsidRDefault="00AD26B4" w:rsidP="007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0C01" w14:textId="77777777" w:rsidR="00AD26B4" w:rsidRDefault="00AD26B4" w:rsidP="00737494">
      <w:pPr>
        <w:spacing w:after="0" w:line="240" w:lineRule="auto"/>
      </w:pPr>
      <w:r>
        <w:separator/>
      </w:r>
    </w:p>
  </w:footnote>
  <w:footnote w:type="continuationSeparator" w:id="0">
    <w:p w14:paraId="4769A007" w14:textId="77777777" w:rsidR="00AD26B4" w:rsidRDefault="00AD26B4" w:rsidP="0073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5B0"/>
    <w:multiLevelType w:val="hybridMultilevel"/>
    <w:tmpl w:val="5282D8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8"/>
    <w:rsid w:val="0000454C"/>
    <w:rsid w:val="00006504"/>
    <w:rsid w:val="00017F3C"/>
    <w:rsid w:val="00020350"/>
    <w:rsid w:val="00034E4F"/>
    <w:rsid w:val="00036A77"/>
    <w:rsid w:val="0004336A"/>
    <w:rsid w:val="000506B2"/>
    <w:rsid w:val="00053776"/>
    <w:rsid w:val="0005668C"/>
    <w:rsid w:val="000808AC"/>
    <w:rsid w:val="00082B1D"/>
    <w:rsid w:val="00084D72"/>
    <w:rsid w:val="00086F65"/>
    <w:rsid w:val="00091165"/>
    <w:rsid w:val="00093321"/>
    <w:rsid w:val="00096A6C"/>
    <w:rsid w:val="000976F5"/>
    <w:rsid w:val="000B4882"/>
    <w:rsid w:val="000B4B25"/>
    <w:rsid w:val="000E3D9A"/>
    <w:rsid w:val="000E7140"/>
    <w:rsid w:val="000E7766"/>
    <w:rsid w:val="000E7A80"/>
    <w:rsid w:val="000F45A0"/>
    <w:rsid w:val="00101549"/>
    <w:rsid w:val="0011494E"/>
    <w:rsid w:val="00116849"/>
    <w:rsid w:val="00126C65"/>
    <w:rsid w:val="00131BEE"/>
    <w:rsid w:val="00141735"/>
    <w:rsid w:val="001475F9"/>
    <w:rsid w:val="001517B4"/>
    <w:rsid w:val="00153605"/>
    <w:rsid w:val="00154FD9"/>
    <w:rsid w:val="00160D76"/>
    <w:rsid w:val="00165A82"/>
    <w:rsid w:val="00180790"/>
    <w:rsid w:val="001859EB"/>
    <w:rsid w:val="0018656C"/>
    <w:rsid w:val="001A112D"/>
    <w:rsid w:val="001A218B"/>
    <w:rsid w:val="001C7A12"/>
    <w:rsid w:val="001E2019"/>
    <w:rsid w:val="001E439A"/>
    <w:rsid w:val="001F28C9"/>
    <w:rsid w:val="001F67CB"/>
    <w:rsid w:val="00202D9F"/>
    <w:rsid w:val="00207A3D"/>
    <w:rsid w:val="002126F1"/>
    <w:rsid w:val="00213B77"/>
    <w:rsid w:val="00246F98"/>
    <w:rsid w:val="00252511"/>
    <w:rsid w:val="0025664C"/>
    <w:rsid w:val="00262E50"/>
    <w:rsid w:val="0028674E"/>
    <w:rsid w:val="002877D2"/>
    <w:rsid w:val="0029225A"/>
    <w:rsid w:val="00292CEB"/>
    <w:rsid w:val="00293E3E"/>
    <w:rsid w:val="002A1B9C"/>
    <w:rsid w:val="002A40CA"/>
    <w:rsid w:val="002B1D51"/>
    <w:rsid w:val="002B21E7"/>
    <w:rsid w:val="002B2E51"/>
    <w:rsid w:val="002B7BFB"/>
    <w:rsid w:val="002C071F"/>
    <w:rsid w:val="002C3E25"/>
    <w:rsid w:val="002C476A"/>
    <w:rsid w:val="002E1C76"/>
    <w:rsid w:val="002E24F5"/>
    <w:rsid w:val="002E4E14"/>
    <w:rsid w:val="002F053F"/>
    <w:rsid w:val="002F5EC2"/>
    <w:rsid w:val="003022D3"/>
    <w:rsid w:val="003025AA"/>
    <w:rsid w:val="00302BFC"/>
    <w:rsid w:val="00310A68"/>
    <w:rsid w:val="00310DEE"/>
    <w:rsid w:val="003113A8"/>
    <w:rsid w:val="00354E1F"/>
    <w:rsid w:val="00355F30"/>
    <w:rsid w:val="003631CB"/>
    <w:rsid w:val="00364CD7"/>
    <w:rsid w:val="003766DE"/>
    <w:rsid w:val="00380448"/>
    <w:rsid w:val="00383971"/>
    <w:rsid w:val="003912CA"/>
    <w:rsid w:val="003916E0"/>
    <w:rsid w:val="00393886"/>
    <w:rsid w:val="00394F96"/>
    <w:rsid w:val="003A4E32"/>
    <w:rsid w:val="003A6A36"/>
    <w:rsid w:val="003A6C87"/>
    <w:rsid w:val="003B439F"/>
    <w:rsid w:val="003B45D3"/>
    <w:rsid w:val="003D0BAA"/>
    <w:rsid w:val="003D2422"/>
    <w:rsid w:val="003D79AC"/>
    <w:rsid w:val="003E137B"/>
    <w:rsid w:val="003F50EF"/>
    <w:rsid w:val="003F7BAA"/>
    <w:rsid w:val="004077C1"/>
    <w:rsid w:val="00411281"/>
    <w:rsid w:val="0045133D"/>
    <w:rsid w:val="00452B2B"/>
    <w:rsid w:val="00454103"/>
    <w:rsid w:val="004633AF"/>
    <w:rsid w:val="004634B3"/>
    <w:rsid w:val="00483665"/>
    <w:rsid w:val="00484AA8"/>
    <w:rsid w:val="00485C76"/>
    <w:rsid w:val="00494963"/>
    <w:rsid w:val="004A0DF2"/>
    <w:rsid w:val="004A2B65"/>
    <w:rsid w:val="004A3849"/>
    <w:rsid w:val="004A6F3D"/>
    <w:rsid w:val="004A73B7"/>
    <w:rsid w:val="004A7B93"/>
    <w:rsid w:val="004B59EC"/>
    <w:rsid w:val="004C3E45"/>
    <w:rsid w:val="004D1E1A"/>
    <w:rsid w:val="004D63E0"/>
    <w:rsid w:val="004D7860"/>
    <w:rsid w:val="004E5276"/>
    <w:rsid w:val="004E6AD2"/>
    <w:rsid w:val="004F0C0B"/>
    <w:rsid w:val="004F6FA9"/>
    <w:rsid w:val="0050436F"/>
    <w:rsid w:val="00505061"/>
    <w:rsid w:val="005064DC"/>
    <w:rsid w:val="00510B6D"/>
    <w:rsid w:val="00512F5D"/>
    <w:rsid w:val="00516D44"/>
    <w:rsid w:val="005230C8"/>
    <w:rsid w:val="005355AC"/>
    <w:rsid w:val="00535B96"/>
    <w:rsid w:val="00547B0E"/>
    <w:rsid w:val="00547E90"/>
    <w:rsid w:val="00555E16"/>
    <w:rsid w:val="00555FDE"/>
    <w:rsid w:val="0056015C"/>
    <w:rsid w:val="00565E8A"/>
    <w:rsid w:val="005676E2"/>
    <w:rsid w:val="00571F41"/>
    <w:rsid w:val="005729B7"/>
    <w:rsid w:val="0057406A"/>
    <w:rsid w:val="00575C3D"/>
    <w:rsid w:val="00582F8D"/>
    <w:rsid w:val="00591A90"/>
    <w:rsid w:val="00593D35"/>
    <w:rsid w:val="00593E88"/>
    <w:rsid w:val="005A6B84"/>
    <w:rsid w:val="005A7E9A"/>
    <w:rsid w:val="005B187B"/>
    <w:rsid w:val="005C0A45"/>
    <w:rsid w:val="005C4553"/>
    <w:rsid w:val="005C64EC"/>
    <w:rsid w:val="005D627D"/>
    <w:rsid w:val="005E00C4"/>
    <w:rsid w:val="005E417A"/>
    <w:rsid w:val="005E49E1"/>
    <w:rsid w:val="005F1388"/>
    <w:rsid w:val="005F2B4E"/>
    <w:rsid w:val="005F6B60"/>
    <w:rsid w:val="005F7A64"/>
    <w:rsid w:val="00602EC0"/>
    <w:rsid w:val="00605A15"/>
    <w:rsid w:val="00607F13"/>
    <w:rsid w:val="006112F8"/>
    <w:rsid w:val="00612D9D"/>
    <w:rsid w:val="006226FF"/>
    <w:rsid w:val="006258FD"/>
    <w:rsid w:val="00626631"/>
    <w:rsid w:val="006469DC"/>
    <w:rsid w:val="00663AFE"/>
    <w:rsid w:val="00671A73"/>
    <w:rsid w:val="006738C6"/>
    <w:rsid w:val="00675DBA"/>
    <w:rsid w:val="00691EEB"/>
    <w:rsid w:val="00693329"/>
    <w:rsid w:val="006A7254"/>
    <w:rsid w:val="006A73FB"/>
    <w:rsid w:val="006B0D56"/>
    <w:rsid w:val="006B18B7"/>
    <w:rsid w:val="006B3E79"/>
    <w:rsid w:val="006B4DDF"/>
    <w:rsid w:val="006B5375"/>
    <w:rsid w:val="006B74AD"/>
    <w:rsid w:val="006D17D8"/>
    <w:rsid w:val="006D6D42"/>
    <w:rsid w:val="006E3126"/>
    <w:rsid w:val="006E32F9"/>
    <w:rsid w:val="006F2455"/>
    <w:rsid w:val="006F5082"/>
    <w:rsid w:val="006F50D4"/>
    <w:rsid w:val="007136E4"/>
    <w:rsid w:val="00714FA2"/>
    <w:rsid w:val="00726022"/>
    <w:rsid w:val="00737494"/>
    <w:rsid w:val="00740AB1"/>
    <w:rsid w:val="00740C3F"/>
    <w:rsid w:val="0074176E"/>
    <w:rsid w:val="00741D51"/>
    <w:rsid w:val="00742877"/>
    <w:rsid w:val="0074317A"/>
    <w:rsid w:val="007470AD"/>
    <w:rsid w:val="0075350F"/>
    <w:rsid w:val="00765F2C"/>
    <w:rsid w:val="00774277"/>
    <w:rsid w:val="0077663A"/>
    <w:rsid w:val="00780CB1"/>
    <w:rsid w:val="007929CE"/>
    <w:rsid w:val="0079713B"/>
    <w:rsid w:val="007A0326"/>
    <w:rsid w:val="007A230E"/>
    <w:rsid w:val="007A6297"/>
    <w:rsid w:val="007A7DDF"/>
    <w:rsid w:val="007B1E85"/>
    <w:rsid w:val="007B2226"/>
    <w:rsid w:val="007C7353"/>
    <w:rsid w:val="007D6483"/>
    <w:rsid w:val="007D6D13"/>
    <w:rsid w:val="007E0817"/>
    <w:rsid w:val="007E197C"/>
    <w:rsid w:val="007E6003"/>
    <w:rsid w:val="007F7AEC"/>
    <w:rsid w:val="007F7AF4"/>
    <w:rsid w:val="00806899"/>
    <w:rsid w:val="008255A6"/>
    <w:rsid w:val="008268AE"/>
    <w:rsid w:val="0083417C"/>
    <w:rsid w:val="0083763F"/>
    <w:rsid w:val="008400A1"/>
    <w:rsid w:val="00851FCC"/>
    <w:rsid w:val="00856011"/>
    <w:rsid w:val="00866887"/>
    <w:rsid w:val="00867670"/>
    <w:rsid w:val="00874C5C"/>
    <w:rsid w:val="00875082"/>
    <w:rsid w:val="008755DC"/>
    <w:rsid w:val="00883914"/>
    <w:rsid w:val="00885F5D"/>
    <w:rsid w:val="00890466"/>
    <w:rsid w:val="00892C1D"/>
    <w:rsid w:val="00894E5C"/>
    <w:rsid w:val="008B198C"/>
    <w:rsid w:val="008B1B40"/>
    <w:rsid w:val="008B45C1"/>
    <w:rsid w:val="008C22AD"/>
    <w:rsid w:val="008C2BBE"/>
    <w:rsid w:val="008C2DD6"/>
    <w:rsid w:val="008D5D3A"/>
    <w:rsid w:val="008D72FF"/>
    <w:rsid w:val="008E0739"/>
    <w:rsid w:val="008F10B9"/>
    <w:rsid w:val="008F1681"/>
    <w:rsid w:val="008F18ED"/>
    <w:rsid w:val="008F3D44"/>
    <w:rsid w:val="008F5AEE"/>
    <w:rsid w:val="00905120"/>
    <w:rsid w:val="00906DB6"/>
    <w:rsid w:val="00925433"/>
    <w:rsid w:val="00925457"/>
    <w:rsid w:val="00925F04"/>
    <w:rsid w:val="00925F6C"/>
    <w:rsid w:val="0093224F"/>
    <w:rsid w:val="009361D3"/>
    <w:rsid w:val="00943C8D"/>
    <w:rsid w:val="00952C52"/>
    <w:rsid w:val="0096222E"/>
    <w:rsid w:val="00965583"/>
    <w:rsid w:val="009666BD"/>
    <w:rsid w:val="00966BCE"/>
    <w:rsid w:val="00970B54"/>
    <w:rsid w:val="00972303"/>
    <w:rsid w:val="00974354"/>
    <w:rsid w:val="00975DFE"/>
    <w:rsid w:val="00976075"/>
    <w:rsid w:val="00981AD3"/>
    <w:rsid w:val="00982A08"/>
    <w:rsid w:val="00986AED"/>
    <w:rsid w:val="00990097"/>
    <w:rsid w:val="009903FC"/>
    <w:rsid w:val="009936C9"/>
    <w:rsid w:val="00997BB2"/>
    <w:rsid w:val="009A0910"/>
    <w:rsid w:val="009B1ACB"/>
    <w:rsid w:val="009B340A"/>
    <w:rsid w:val="009B707F"/>
    <w:rsid w:val="009D68A5"/>
    <w:rsid w:val="009E4320"/>
    <w:rsid w:val="009F3F91"/>
    <w:rsid w:val="009F4297"/>
    <w:rsid w:val="00A07018"/>
    <w:rsid w:val="00A10ABC"/>
    <w:rsid w:val="00A12574"/>
    <w:rsid w:val="00A225C0"/>
    <w:rsid w:val="00A26E0B"/>
    <w:rsid w:val="00A36424"/>
    <w:rsid w:val="00A37A01"/>
    <w:rsid w:val="00A51F1D"/>
    <w:rsid w:val="00A57958"/>
    <w:rsid w:val="00A606D9"/>
    <w:rsid w:val="00A630B6"/>
    <w:rsid w:val="00A64B80"/>
    <w:rsid w:val="00A669A7"/>
    <w:rsid w:val="00A70A4C"/>
    <w:rsid w:val="00A723EE"/>
    <w:rsid w:val="00A72C0B"/>
    <w:rsid w:val="00A73541"/>
    <w:rsid w:val="00A774C6"/>
    <w:rsid w:val="00A77F92"/>
    <w:rsid w:val="00A854E3"/>
    <w:rsid w:val="00A877A1"/>
    <w:rsid w:val="00A95674"/>
    <w:rsid w:val="00A97FBC"/>
    <w:rsid w:val="00AA00B0"/>
    <w:rsid w:val="00AA144E"/>
    <w:rsid w:val="00AA6624"/>
    <w:rsid w:val="00AB33D6"/>
    <w:rsid w:val="00AB58E1"/>
    <w:rsid w:val="00AB5EC8"/>
    <w:rsid w:val="00AC441B"/>
    <w:rsid w:val="00AC5B39"/>
    <w:rsid w:val="00AC67EB"/>
    <w:rsid w:val="00AD0730"/>
    <w:rsid w:val="00AD26B4"/>
    <w:rsid w:val="00AD4E81"/>
    <w:rsid w:val="00AE3306"/>
    <w:rsid w:val="00AE6703"/>
    <w:rsid w:val="00AF0228"/>
    <w:rsid w:val="00AF27A2"/>
    <w:rsid w:val="00AF42DD"/>
    <w:rsid w:val="00AF7CDD"/>
    <w:rsid w:val="00B13A20"/>
    <w:rsid w:val="00B36115"/>
    <w:rsid w:val="00B52FB8"/>
    <w:rsid w:val="00B54D3A"/>
    <w:rsid w:val="00B57A5B"/>
    <w:rsid w:val="00B91828"/>
    <w:rsid w:val="00B942A7"/>
    <w:rsid w:val="00B94FDF"/>
    <w:rsid w:val="00BA43D7"/>
    <w:rsid w:val="00BA488A"/>
    <w:rsid w:val="00BA54AA"/>
    <w:rsid w:val="00BB115A"/>
    <w:rsid w:val="00BB732D"/>
    <w:rsid w:val="00BC523C"/>
    <w:rsid w:val="00BD4C22"/>
    <w:rsid w:val="00BE3121"/>
    <w:rsid w:val="00BF4CAC"/>
    <w:rsid w:val="00C00D4F"/>
    <w:rsid w:val="00C02519"/>
    <w:rsid w:val="00C02C5D"/>
    <w:rsid w:val="00C1063D"/>
    <w:rsid w:val="00C13373"/>
    <w:rsid w:val="00C139CB"/>
    <w:rsid w:val="00C2232D"/>
    <w:rsid w:val="00C250BF"/>
    <w:rsid w:val="00C32DF1"/>
    <w:rsid w:val="00C4362B"/>
    <w:rsid w:val="00C452D2"/>
    <w:rsid w:val="00C6104D"/>
    <w:rsid w:val="00C618EF"/>
    <w:rsid w:val="00C64823"/>
    <w:rsid w:val="00C67B7E"/>
    <w:rsid w:val="00C71899"/>
    <w:rsid w:val="00C73CED"/>
    <w:rsid w:val="00C767EE"/>
    <w:rsid w:val="00C845B2"/>
    <w:rsid w:val="00C8536C"/>
    <w:rsid w:val="00C87078"/>
    <w:rsid w:val="00C8751F"/>
    <w:rsid w:val="00C90320"/>
    <w:rsid w:val="00C92878"/>
    <w:rsid w:val="00C94B0E"/>
    <w:rsid w:val="00CA0EC8"/>
    <w:rsid w:val="00CA3F10"/>
    <w:rsid w:val="00CB2E0A"/>
    <w:rsid w:val="00CB3642"/>
    <w:rsid w:val="00D027F0"/>
    <w:rsid w:val="00D02C80"/>
    <w:rsid w:val="00D070F0"/>
    <w:rsid w:val="00D24D87"/>
    <w:rsid w:val="00D27A1A"/>
    <w:rsid w:val="00D30BC5"/>
    <w:rsid w:val="00D3334A"/>
    <w:rsid w:val="00D3753B"/>
    <w:rsid w:val="00D3798C"/>
    <w:rsid w:val="00D61AC8"/>
    <w:rsid w:val="00D61D9B"/>
    <w:rsid w:val="00D679BF"/>
    <w:rsid w:val="00D76203"/>
    <w:rsid w:val="00D8196E"/>
    <w:rsid w:val="00D81F3A"/>
    <w:rsid w:val="00D86C60"/>
    <w:rsid w:val="00D86CC0"/>
    <w:rsid w:val="00D9122A"/>
    <w:rsid w:val="00D940A2"/>
    <w:rsid w:val="00D9667B"/>
    <w:rsid w:val="00DA3341"/>
    <w:rsid w:val="00DA3DB4"/>
    <w:rsid w:val="00DA4D69"/>
    <w:rsid w:val="00DA7E07"/>
    <w:rsid w:val="00DB0CEE"/>
    <w:rsid w:val="00DC1F68"/>
    <w:rsid w:val="00DC2153"/>
    <w:rsid w:val="00DC38CB"/>
    <w:rsid w:val="00DD2A62"/>
    <w:rsid w:val="00DD5B4A"/>
    <w:rsid w:val="00DD78D8"/>
    <w:rsid w:val="00DE31BD"/>
    <w:rsid w:val="00DF4483"/>
    <w:rsid w:val="00DF6374"/>
    <w:rsid w:val="00E006C0"/>
    <w:rsid w:val="00E01DDF"/>
    <w:rsid w:val="00E04277"/>
    <w:rsid w:val="00E045A9"/>
    <w:rsid w:val="00E05D71"/>
    <w:rsid w:val="00E07EBE"/>
    <w:rsid w:val="00E14689"/>
    <w:rsid w:val="00E25E01"/>
    <w:rsid w:val="00E301F9"/>
    <w:rsid w:val="00E35090"/>
    <w:rsid w:val="00E461B3"/>
    <w:rsid w:val="00E47B94"/>
    <w:rsid w:val="00E6516D"/>
    <w:rsid w:val="00E72B8C"/>
    <w:rsid w:val="00E73096"/>
    <w:rsid w:val="00E834A1"/>
    <w:rsid w:val="00E90435"/>
    <w:rsid w:val="00E92A66"/>
    <w:rsid w:val="00E962F1"/>
    <w:rsid w:val="00EB733B"/>
    <w:rsid w:val="00EC4A71"/>
    <w:rsid w:val="00ED027C"/>
    <w:rsid w:val="00ED1774"/>
    <w:rsid w:val="00EE2CA2"/>
    <w:rsid w:val="00EE5361"/>
    <w:rsid w:val="00F01CAF"/>
    <w:rsid w:val="00F0510A"/>
    <w:rsid w:val="00F06C53"/>
    <w:rsid w:val="00F07832"/>
    <w:rsid w:val="00F10126"/>
    <w:rsid w:val="00F160F9"/>
    <w:rsid w:val="00F17EB3"/>
    <w:rsid w:val="00F2410C"/>
    <w:rsid w:val="00F2502D"/>
    <w:rsid w:val="00F27C4E"/>
    <w:rsid w:val="00F41A30"/>
    <w:rsid w:val="00F45569"/>
    <w:rsid w:val="00F47606"/>
    <w:rsid w:val="00F574A1"/>
    <w:rsid w:val="00F75812"/>
    <w:rsid w:val="00F84D1C"/>
    <w:rsid w:val="00F866E8"/>
    <w:rsid w:val="00F94EB1"/>
    <w:rsid w:val="00F95D3F"/>
    <w:rsid w:val="00FA26D6"/>
    <w:rsid w:val="00FA5608"/>
    <w:rsid w:val="00FB42F8"/>
    <w:rsid w:val="00FB68BA"/>
    <w:rsid w:val="00FC0019"/>
    <w:rsid w:val="00FC47F0"/>
    <w:rsid w:val="00FD0968"/>
    <w:rsid w:val="00FD4959"/>
    <w:rsid w:val="00FD64C8"/>
    <w:rsid w:val="00FE009E"/>
    <w:rsid w:val="00FE373F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8EA"/>
  <w15:chartTrackingRefBased/>
  <w15:docId w15:val="{D589A213-8FB5-4DC4-B002-075C5DB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A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eta-sep">
    <w:name w:val="meta-sep"/>
    <w:basedOn w:val="DefaultParagraphFont"/>
    <w:rsid w:val="00310A68"/>
  </w:style>
  <w:style w:type="character" w:customStyle="1" w:styleId="author">
    <w:name w:val="author"/>
    <w:basedOn w:val="DefaultParagraphFont"/>
    <w:rsid w:val="00310A68"/>
  </w:style>
  <w:style w:type="character" w:styleId="Hyperlink">
    <w:name w:val="Hyperlink"/>
    <w:basedOn w:val="DefaultParagraphFont"/>
    <w:uiPriority w:val="99"/>
    <w:unhideWhenUsed/>
    <w:rsid w:val="00310A68"/>
    <w:rPr>
      <w:color w:val="0000FF"/>
      <w:u w:val="single"/>
    </w:rPr>
  </w:style>
  <w:style w:type="character" w:customStyle="1" w:styleId="meta-prep">
    <w:name w:val="meta-prep"/>
    <w:basedOn w:val="DefaultParagraphFont"/>
    <w:rsid w:val="00310A68"/>
  </w:style>
  <w:style w:type="character" w:customStyle="1" w:styleId="entry-date">
    <w:name w:val="entry-date"/>
    <w:basedOn w:val="DefaultParagraphFont"/>
    <w:rsid w:val="00310A68"/>
  </w:style>
  <w:style w:type="paragraph" w:styleId="NormalWeb">
    <w:name w:val="Normal (Web)"/>
    <w:basedOn w:val="Normal"/>
    <w:uiPriority w:val="99"/>
    <w:semiHidden/>
    <w:unhideWhenUsed/>
    <w:rsid w:val="003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10A68"/>
    <w:rPr>
      <w:i/>
      <w:iCs/>
    </w:rPr>
  </w:style>
  <w:style w:type="character" w:styleId="Strong">
    <w:name w:val="Strong"/>
    <w:basedOn w:val="DefaultParagraphFont"/>
    <w:uiPriority w:val="22"/>
    <w:qFormat/>
    <w:rsid w:val="00310A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C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74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4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494"/>
    <w:rPr>
      <w:vertAlign w:val="superscript"/>
    </w:rPr>
  </w:style>
  <w:style w:type="paragraph" w:styleId="NoSpacing">
    <w:name w:val="No Spacing"/>
    <w:uiPriority w:val="1"/>
    <w:qFormat/>
    <w:rsid w:val="007B2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2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B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A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EF"/>
  </w:style>
  <w:style w:type="paragraph" w:styleId="Footer">
    <w:name w:val="footer"/>
    <w:basedOn w:val="Normal"/>
    <w:link w:val="FooterChar"/>
    <w:uiPriority w:val="99"/>
    <w:unhideWhenUsed/>
    <w:rsid w:val="00C6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EF"/>
  </w:style>
  <w:style w:type="paragraph" w:styleId="FootnoteText">
    <w:name w:val="footnote text"/>
    <w:basedOn w:val="Normal"/>
    <w:link w:val="FootnoteTextChar"/>
    <w:uiPriority w:val="99"/>
    <w:semiHidden/>
    <w:unhideWhenUsed/>
    <w:rsid w:val="005C4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menadue-newcastle-port-another-botched-privatisation-a-repost-from-5-september-2016/" TargetMode="External"/><Relationship Id="rId13" Type="http://schemas.openxmlformats.org/officeDocument/2006/relationships/hyperlink" Target="https://www.containerterminalpolicyinnsw.com.au/wp-content/uploads/2016/01/RTA-M5-Expansion-Modelling-Report-RTA-5-May-2009.pdf" TargetMode="External"/><Relationship Id="rId18" Type="http://schemas.openxmlformats.org/officeDocument/2006/relationships/hyperlink" Target="https://johnmenadue.com/nsw-rail-policy-more-than-cooking-the-book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frastructure.nsw.gov.au/media/2154/sydney-gateway-program_final-business-case-summary.pdf" TargetMode="External"/><Relationship Id="rId17" Type="http://schemas.openxmlformats.org/officeDocument/2006/relationships/hyperlink" Target="https://spatial.infrastructure.gov.au/portal/apps/webappviewer/index.html?id=9690eb423b4f446485781ea8a61851d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liament.nsw.gov.au/lcdocs/inquiries/2516/Final%20version%20of%20report%20-%2025%20February%2020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rastructureaustralia.gov.au/sites/default/files/2019-06/COAG_National_Ports_Strateg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hnmenadue.com/john-austen-australian-freight-policy-where-is-my-chainsaw-part-1-of-2/" TargetMode="External"/><Relationship Id="rId10" Type="http://schemas.openxmlformats.org/officeDocument/2006/relationships/hyperlink" Target="https://www.bitre.gov.au/sites/default/files/2019-11/cr_001%20%282%29.pdf" TargetMode="External"/><Relationship Id="rId19" Type="http://schemas.openxmlformats.org/officeDocument/2006/relationships/hyperlink" Target="https://www.newcastleherald.com.au/story/7349037/judge-demolishes-newcastles-container-case-in-460-page-federal-court-verd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dgments.fedcourt.gov.au/judgments/Judgments/fca/single/2021/2021fca0720" TargetMode="External"/><Relationship Id="rId14" Type="http://schemas.openxmlformats.org/officeDocument/2006/relationships/hyperlink" Target="https://www.bitre.gov.au/publications/2021/waterline-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CF80-5313-4CE7-9C24-588154F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2021-08-12T00:18:00Z</dcterms:created>
  <dcterms:modified xsi:type="dcterms:W3CDTF">2021-08-12T00:18:00Z</dcterms:modified>
</cp:coreProperties>
</file>