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3780141"/>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1FB38F57" w14:textId="7A891C20" w:rsidR="001877AB" w:rsidRDefault="001877AB" w:rsidP="000C029B">
          <w:pPr>
            <w:pStyle w:val="TOCHeading"/>
            <w:spacing w:before="0"/>
          </w:pPr>
          <w:r>
            <w:t>Contents</w:t>
          </w:r>
        </w:p>
        <w:p w14:paraId="604C3F2F" w14:textId="6DF014F3" w:rsidR="009B097D" w:rsidRDefault="001877AB">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111195419" w:history="1">
            <w:r w:rsidR="009B097D" w:rsidRPr="00EB528B">
              <w:rPr>
                <w:rStyle w:val="Hyperlink"/>
                <w:noProof/>
              </w:rPr>
              <w:t>0.</w:t>
            </w:r>
            <w:r w:rsidR="009B097D">
              <w:rPr>
                <w:rFonts w:eastAsiaTheme="minorEastAsia"/>
                <w:noProof/>
                <w:lang w:eastAsia="en-AU"/>
              </w:rPr>
              <w:tab/>
            </w:r>
            <w:r w:rsidR="009B097D" w:rsidRPr="00EB528B">
              <w:rPr>
                <w:rStyle w:val="Hyperlink"/>
                <w:noProof/>
              </w:rPr>
              <w:t>Overview</w:t>
            </w:r>
            <w:r w:rsidR="009B097D">
              <w:rPr>
                <w:noProof/>
                <w:webHidden/>
              </w:rPr>
              <w:tab/>
            </w:r>
            <w:r w:rsidR="009B097D">
              <w:rPr>
                <w:noProof/>
                <w:webHidden/>
              </w:rPr>
              <w:fldChar w:fldCharType="begin"/>
            </w:r>
            <w:r w:rsidR="009B097D">
              <w:rPr>
                <w:noProof/>
                <w:webHidden/>
              </w:rPr>
              <w:instrText xml:space="preserve"> PAGEREF _Toc111195419 \h </w:instrText>
            </w:r>
            <w:r w:rsidR="009B097D">
              <w:rPr>
                <w:noProof/>
                <w:webHidden/>
              </w:rPr>
            </w:r>
            <w:r w:rsidR="009B097D">
              <w:rPr>
                <w:noProof/>
                <w:webHidden/>
              </w:rPr>
              <w:fldChar w:fldCharType="separate"/>
            </w:r>
            <w:r w:rsidR="009B097D">
              <w:rPr>
                <w:noProof/>
                <w:webHidden/>
              </w:rPr>
              <w:t>2</w:t>
            </w:r>
            <w:r w:rsidR="009B097D">
              <w:rPr>
                <w:noProof/>
                <w:webHidden/>
              </w:rPr>
              <w:fldChar w:fldCharType="end"/>
            </w:r>
          </w:hyperlink>
        </w:p>
        <w:p w14:paraId="6820DB9E" w14:textId="6E9FD6EF" w:rsidR="009B097D" w:rsidRDefault="009B097D">
          <w:pPr>
            <w:pStyle w:val="TOC2"/>
            <w:tabs>
              <w:tab w:val="left" w:pos="660"/>
              <w:tab w:val="right" w:leader="dot" w:pos="9016"/>
            </w:tabs>
            <w:rPr>
              <w:rFonts w:eastAsiaTheme="minorEastAsia"/>
              <w:noProof/>
              <w:lang w:eastAsia="en-AU"/>
            </w:rPr>
          </w:pPr>
          <w:hyperlink w:anchor="_Toc111195420" w:history="1">
            <w:r w:rsidRPr="00EB528B">
              <w:rPr>
                <w:rStyle w:val="Hyperlink"/>
                <w:noProof/>
              </w:rPr>
              <w:t>1.</w:t>
            </w:r>
            <w:r>
              <w:rPr>
                <w:rFonts w:eastAsiaTheme="minorEastAsia"/>
                <w:noProof/>
                <w:lang w:eastAsia="en-AU"/>
              </w:rPr>
              <w:tab/>
            </w:r>
            <w:r w:rsidRPr="00EB528B">
              <w:rPr>
                <w:rStyle w:val="Hyperlink"/>
                <w:noProof/>
              </w:rPr>
              <w:t>Advisory principles</w:t>
            </w:r>
            <w:r>
              <w:rPr>
                <w:noProof/>
                <w:webHidden/>
              </w:rPr>
              <w:tab/>
            </w:r>
            <w:r>
              <w:rPr>
                <w:noProof/>
                <w:webHidden/>
              </w:rPr>
              <w:fldChar w:fldCharType="begin"/>
            </w:r>
            <w:r>
              <w:rPr>
                <w:noProof/>
                <w:webHidden/>
              </w:rPr>
              <w:instrText xml:space="preserve"> PAGEREF _Toc111195420 \h </w:instrText>
            </w:r>
            <w:r>
              <w:rPr>
                <w:noProof/>
                <w:webHidden/>
              </w:rPr>
            </w:r>
            <w:r>
              <w:rPr>
                <w:noProof/>
                <w:webHidden/>
              </w:rPr>
              <w:fldChar w:fldCharType="separate"/>
            </w:r>
            <w:r>
              <w:rPr>
                <w:noProof/>
                <w:webHidden/>
              </w:rPr>
              <w:t>2</w:t>
            </w:r>
            <w:r>
              <w:rPr>
                <w:noProof/>
                <w:webHidden/>
              </w:rPr>
              <w:fldChar w:fldCharType="end"/>
            </w:r>
          </w:hyperlink>
        </w:p>
        <w:p w14:paraId="4F962BAB" w14:textId="7A4FC971" w:rsidR="009B097D" w:rsidRDefault="009B097D">
          <w:pPr>
            <w:pStyle w:val="TOC2"/>
            <w:tabs>
              <w:tab w:val="left" w:pos="660"/>
              <w:tab w:val="right" w:leader="dot" w:pos="9016"/>
            </w:tabs>
            <w:rPr>
              <w:rFonts w:eastAsiaTheme="minorEastAsia"/>
              <w:noProof/>
              <w:lang w:eastAsia="en-AU"/>
            </w:rPr>
          </w:pPr>
          <w:hyperlink w:anchor="_Toc111195421" w:history="1">
            <w:r w:rsidRPr="00EB528B">
              <w:rPr>
                <w:rStyle w:val="Hyperlink"/>
                <w:noProof/>
              </w:rPr>
              <w:t>2.</w:t>
            </w:r>
            <w:r>
              <w:rPr>
                <w:rFonts w:eastAsiaTheme="minorEastAsia"/>
                <w:noProof/>
                <w:lang w:eastAsia="en-AU"/>
              </w:rPr>
              <w:tab/>
            </w:r>
            <w:r w:rsidRPr="00EB528B">
              <w:rPr>
                <w:rStyle w:val="Hyperlink"/>
                <w:noProof/>
              </w:rPr>
              <w:t>Infrastructure advice</w:t>
            </w:r>
            <w:r>
              <w:rPr>
                <w:noProof/>
                <w:webHidden/>
              </w:rPr>
              <w:tab/>
            </w:r>
            <w:r>
              <w:rPr>
                <w:noProof/>
                <w:webHidden/>
              </w:rPr>
              <w:fldChar w:fldCharType="begin"/>
            </w:r>
            <w:r>
              <w:rPr>
                <w:noProof/>
                <w:webHidden/>
              </w:rPr>
              <w:instrText xml:space="preserve"> PAGEREF _Toc111195421 \h </w:instrText>
            </w:r>
            <w:r>
              <w:rPr>
                <w:noProof/>
                <w:webHidden/>
              </w:rPr>
            </w:r>
            <w:r>
              <w:rPr>
                <w:noProof/>
                <w:webHidden/>
              </w:rPr>
              <w:fldChar w:fldCharType="separate"/>
            </w:r>
            <w:r>
              <w:rPr>
                <w:noProof/>
                <w:webHidden/>
              </w:rPr>
              <w:t>3</w:t>
            </w:r>
            <w:r>
              <w:rPr>
                <w:noProof/>
                <w:webHidden/>
              </w:rPr>
              <w:fldChar w:fldCharType="end"/>
            </w:r>
          </w:hyperlink>
        </w:p>
        <w:p w14:paraId="4F160ED8" w14:textId="2AD5A0A3" w:rsidR="009B097D" w:rsidRDefault="009B097D">
          <w:pPr>
            <w:pStyle w:val="TOC2"/>
            <w:tabs>
              <w:tab w:val="left" w:pos="660"/>
              <w:tab w:val="right" w:leader="dot" w:pos="9016"/>
            </w:tabs>
            <w:rPr>
              <w:rFonts w:eastAsiaTheme="minorEastAsia"/>
              <w:noProof/>
              <w:lang w:eastAsia="en-AU"/>
            </w:rPr>
          </w:pPr>
          <w:hyperlink w:anchor="_Toc111195422" w:history="1">
            <w:r w:rsidRPr="00EB528B">
              <w:rPr>
                <w:rStyle w:val="Hyperlink"/>
                <w:noProof/>
              </w:rPr>
              <w:t>3.</w:t>
            </w:r>
            <w:r>
              <w:rPr>
                <w:rFonts w:eastAsiaTheme="minorEastAsia"/>
                <w:noProof/>
                <w:lang w:eastAsia="en-AU"/>
              </w:rPr>
              <w:tab/>
            </w:r>
            <w:r w:rsidRPr="00EB528B">
              <w:rPr>
                <w:rStyle w:val="Hyperlink"/>
                <w:noProof/>
              </w:rPr>
              <w:t>Original Infrastructure Australia</w:t>
            </w:r>
            <w:r>
              <w:rPr>
                <w:noProof/>
                <w:webHidden/>
              </w:rPr>
              <w:tab/>
            </w:r>
            <w:r>
              <w:rPr>
                <w:noProof/>
                <w:webHidden/>
              </w:rPr>
              <w:fldChar w:fldCharType="begin"/>
            </w:r>
            <w:r>
              <w:rPr>
                <w:noProof/>
                <w:webHidden/>
              </w:rPr>
              <w:instrText xml:space="preserve"> PAGEREF _Toc111195422 \h </w:instrText>
            </w:r>
            <w:r>
              <w:rPr>
                <w:noProof/>
                <w:webHidden/>
              </w:rPr>
            </w:r>
            <w:r>
              <w:rPr>
                <w:noProof/>
                <w:webHidden/>
              </w:rPr>
              <w:fldChar w:fldCharType="separate"/>
            </w:r>
            <w:r>
              <w:rPr>
                <w:noProof/>
                <w:webHidden/>
              </w:rPr>
              <w:t>3</w:t>
            </w:r>
            <w:r>
              <w:rPr>
                <w:noProof/>
                <w:webHidden/>
              </w:rPr>
              <w:fldChar w:fldCharType="end"/>
            </w:r>
          </w:hyperlink>
        </w:p>
        <w:p w14:paraId="1C445880" w14:textId="4E2CB8E6" w:rsidR="009B097D" w:rsidRDefault="009B097D">
          <w:pPr>
            <w:pStyle w:val="TOC3"/>
            <w:tabs>
              <w:tab w:val="left" w:pos="1100"/>
              <w:tab w:val="right" w:leader="dot" w:pos="9016"/>
            </w:tabs>
            <w:rPr>
              <w:rFonts w:eastAsiaTheme="minorEastAsia"/>
              <w:noProof/>
              <w:lang w:eastAsia="en-AU"/>
            </w:rPr>
          </w:pPr>
          <w:hyperlink w:anchor="_Toc111195423" w:history="1">
            <w:r w:rsidRPr="00EB528B">
              <w:rPr>
                <w:rStyle w:val="Hyperlink"/>
                <w:noProof/>
              </w:rPr>
              <w:t>3.1</w:t>
            </w:r>
            <w:r>
              <w:rPr>
                <w:rFonts w:eastAsiaTheme="minorEastAsia"/>
                <w:noProof/>
                <w:lang w:eastAsia="en-AU"/>
              </w:rPr>
              <w:tab/>
            </w:r>
            <w:r w:rsidRPr="00EB528B">
              <w:rPr>
                <w:rStyle w:val="Hyperlink"/>
                <w:noProof/>
              </w:rPr>
              <w:t>The supposed problem</w:t>
            </w:r>
            <w:r>
              <w:rPr>
                <w:noProof/>
                <w:webHidden/>
              </w:rPr>
              <w:tab/>
            </w:r>
            <w:r>
              <w:rPr>
                <w:noProof/>
                <w:webHidden/>
              </w:rPr>
              <w:fldChar w:fldCharType="begin"/>
            </w:r>
            <w:r>
              <w:rPr>
                <w:noProof/>
                <w:webHidden/>
              </w:rPr>
              <w:instrText xml:space="preserve"> PAGEREF _Toc111195423 \h </w:instrText>
            </w:r>
            <w:r>
              <w:rPr>
                <w:noProof/>
                <w:webHidden/>
              </w:rPr>
            </w:r>
            <w:r>
              <w:rPr>
                <w:noProof/>
                <w:webHidden/>
              </w:rPr>
              <w:fldChar w:fldCharType="separate"/>
            </w:r>
            <w:r>
              <w:rPr>
                <w:noProof/>
                <w:webHidden/>
              </w:rPr>
              <w:t>3</w:t>
            </w:r>
            <w:r>
              <w:rPr>
                <w:noProof/>
                <w:webHidden/>
              </w:rPr>
              <w:fldChar w:fldCharType="end"/>
            </w:r>
          </w:hyperlink>
        </w:p>
        <w:p w14:paraId="0503ECC9" w14:textId="2E15A1BA" w:rsidR="009B097D" w:rsidRDefault="009B097D">
          <w:pPr>
            <w:pStyle w:val="TOC3"/>
            <w:tabs>
              <w:tab w:val="left" w:pos="1100"/>
              <w:tab w:val="right" w:leader="dot" w:pos="9016"/>
            </w:tabs>
            <w:rPr>
              <w:rFonts w:eastAsiaTheme="minorEastAsia"/>
              <w:noProof/>
              <w:lang w:eastAsia="en-AU"/>
            </w:rPr>
          </w:pPr>
          <w:hyperlink w:anchor="_Toc111195424" w:history="1">
            <w:r w:rsidRPr="00EB528B">
              <w:rPr>
                <w:rStyle w:val="Hyperlink"/>
                <w:noProof/>
                <w:lang w:eastAsia="en-AU"/>
              </w:rPr>
              <w:t>3.2</w:t>
            </w:r>
            <w:r>
              <w:rPr>
                <w:rFonts w:eastAsiaTheme="minorEastAsia"/>
                <w:noProof/>
                <w:lang w:eastAsia="en-AU"/>
              </w:rPr>
              <w:tab/>
            </w:r>
            <w:r w:rsidRPr="00EB528B">
              <w:rPr>
                <w:rStyle w:val="Hyperlink"/>
                <w:noProof/>
                <w:lang w:eastAsia="en-AU"/>
              </w:rPr>
              <w:t>The real problem</w:t>
            </w:r>
            <w:r>
              <w:rPr>
                <w:noProof/>
                <w:webHidden/>
              </w:rPr>
              <w:tab/>
            </w:r>
            <w:r>
              <w:rPr>
                <w:noProof/>
                <w:webHidden/>
              </w:rPr>
              <w:fldChar w:fldCharType="begin"/>
            </w:r>
            <w:r>
              <w:rPr>
                <w:noProof/>
                <w:webHidden/>
              </w:rPr>
              <w:instrText xml:space="preserve"> PAGEREF _Toc111195424 \h </w:instrText>
            </w:r>
            <w:r>
              <w:rPr>
                <w:noProof/>
                <w:webHidden/>
              </w:rPr>
            </w:r>
            <w:r>
              <w:rPr>
                <w:noProof/>
                <w:webHidden/>
              </w:rPr>
              <w:fldChar w:fldCharType="separate"/>
            </w:r>
            <w:r>
              <w:rPr>
                <w:noProof/>
                <w:webHidden/>
              </w:rPr>
              <w:t>4</w:t>
            </w:r>
            <w:r>
              <w:rPr>
                <w:noProof/>
                <w:webHidden/>
              </w:rPr>
              <w:fldChar w:fldCharType="end"/>
            </w:r>
          </w:hyperlink>
        </w:p>
        <w:p w14:paraId="029F9D09" w14:textId="17A4E8F9" w:rsidR="009B097D" w:rsidRDefault="009B097D">
          <w:pPr>
            <w:pStyle w:val="TOC3"/>
            <w:tabs>
              <w:tab w:val="left" w:pos="1100"/>
              <w:tab w:val="right" w:leader="dot" w:pos="9016"/>
            </w:tabs>
            <w:rPr>
              <w:rFonts w:eastAsiaTheme="minorEastAsia"/>
              <w:noProof/>
              <w:lang w:eastAsia="en-AU"/>
            </w:rPr>
          </w:pPr>
          <w:hyperlink w:anchor="_Toc111195425" w:history="1">
            <w:r w:rsidRPr="00EB528B">
              <w:rPr>
                <w:rStyle w:val="Hyperlink"/>
                <w:noProof/>
                <w:lang w:eastAsia="en-AU"/>
              </w:rPr>
              <w:t>3.3</w:t>
            </w:r>
            <w:r>
              <w:rPr>
                <w:rFonts w:eastAsiaTheme="minorEastAsia"/>
                <w:noProof/>
                <w:lang w:eastAsia="en-AU"/>
              </w:rPr>
              <w:tab/>
            </w:r>
            <w:r w:rsidRPr="00EB528B">
              <w:rPr>
                <w:rStyle w:val="Hyperlink"/>
                <w:noProof/>
                <w:lang w:eastAsia="en-AU"/>
              </w:rPr>
              <w:t>Tackling the problem</w:t>
            </w:r>
            <w:r>
              <w:rPr>
                <w:noProof/>
                <w:webHidden/>
              </w:rPr>
              <w:tab/>
            </w:r>
            <w:r>
              <w:rPr>
                <w:noProof/>
                <w:webHidden/>
              </w:rPr>
              <w:fldChar w:fldCharType="begin"/>
            </w:r>
            <w:r>
              <w:rPr>
                <w:noProof/>
                <w:webHidden/>
              </w:rPr>
              <w:instrText xml:space="preserve"> PAGEREF _Toc111195425 \h </w:instrText>
            </w:r>
            <w:r>
              <w:rPr>
                <w:noProof/>
                <w:webHidden/>
              </w:rPr>
            </w:r>
            <w:r>
              <w:rPr>
                <w:noProof/>
                <w:webHidden/>
              </w:rPr>
              <w:fldChar w:fldCharType="separate"/>
            </w:r>
            <w:r>
              <w:rPr>
                <w:noProof/>
                <w:webHidden/>
              </w:rPr>
              <w:t>4</w:t>
            </w:r>
            <w:r>
              <w:rPr>
                <w:noProof/>
                <w:webHidden/>
              </w:rPr>
              <w:fldChar w:fldCharType="end"/>
            </w:r>
          </w:hyperlink>
        </w:p>
        <w:p w14:paraId="405816B8" w14:textId="0C1E4E2E" w:rsidR="009B097D" w:rsidRDefault="009B097D">
          <w:pPr>
            <w:pStyle w:val="TOC3"/>
            <w:tabs>
              <w:tab w:val="left" w:pos="1100"/>
              <w:tab w:val="right" w:leader="dot" w:pos="9016"/>
            </w:tabs>
            <w:rPr>
              <w:rFonts w:eastAsiaTheme="minorEastAsia"/>
              <w:noProof/>
              <w:lang w:eastAsia="en-AU"/>
            </w:rPr>
          </w:pPr>
          <w:hyperlink w:anchor="_Toc111195426" w:history="1">
            <w:r w:rsidRPr="00EB528B">
              <w:rPr>
                <w:rStyle w:val="Hyperlink"/>
                <w:noProof/>
                <w:lang w:eastAsia="en-AU"/>
              </w:rPr>
              <w:t>3.4</w:t>
            </w:r>
            <w:r>
              <w:rPr>
                <w:rFonts w:eastAsiaTheme="minorEastAsia"/>
                <w:noProof/>
                <w:lang w:eastAsia="en-AU"/>
              </w:rPr>
              <w:tab/>
            </w:r>
            <w:r w:rsidRPr="00EB528B">
              <w:rPr>
                <w:rStyle w:val="Hyperlink"/>
                <w:noProof/>
                <w:lang w:eastAsia="en-AU"/>
              </w:rPr>
              <w:t>Implications</w:t>
            </w:r>
            <w:r>
              <w:rPr>
                <w:noProof/>
                <w:webHidden/>
              </w:rPr>
              <w:tab/>
            </w:r>
            <w:r>
              <w:rPr>
                <w:noProof/>
                <w:webHidden/>
              </w:rPr>
              <w:fldChar w:fldCharType="begin"/>
            </w:r>
            <w:r>
              <w:rPr>
                <w:noProof/>
                <w:webHidden/>
              </w:rPr>
              <w:instrText xml:space="preserve"> PAGEREF _Toc111195426 \h </w:instrText>
            </w:r>
            <w:r>
              <w:rPr>
                <w:noProof/>
                <w:webHidden/>
              </w:rPr>
            </w:r>
            <w:r>
              <w:rPr>
                <w:noProof/>
                <w:webHidden/>
              </w:rPr>
              <w:fldChar w:fldCharType="separate"/>
            </w:r>
            <w:r>
              <w:rPr>
                <w:noProof/>
                <w:webHidden/>
              </w:rPr>
              <w:t>5</w:t>
            </w:r>
            <w:r>
              <w:rPr>
                <w:noProof/>
                <w:webHidden/>
              </w:rPr>
              <w:fldChar w:fldCharType="end"/>
            </w:r>
          </w:hyperlink>
        </w:p>
        <w:p w14:paraId="0E6C7062" w14:textId="6A36F09B" w:rsidR="009B097D" w:rsidRDefault="009B097D">
          <w:pPr>
            <w:pStyle w:val="TOC2"/>
            <w:tabs>
              <w:tab w:val="left" w:pos="660"/>
              <w:tab w:val="right" w:leader="dot" w:pos="9016"/>
            </w:tabs>
            <w:rPr>
              <w:rFonts w:eastAsiaTheme="minorEastAsia"/>
              <w:noProof/>
              <w:lang w:eastAsia="en-AU"/>
            </w:rPr>
          </w:pPr>
          <w:hyperlink w:anchor="_Toc111195427" w:history="1">
            <w:r w:rsidRPr="00EB528B">
              <w:rPr>
                <w:rStyle w:val="Hyperlink"/>
                <w:noProof/>
              </w:rPr>
              <w:t>4.</w:t>
            </w:r>
            <w:r>
              <w:rPr>
                <w:rFonts w:eastAsiaTheme="minorEastAsia"/>
                <w:noProof/>
                <w:lang w:eastAsia="en-AU"/>
              </w:rPr>
              <w:tab/>
            </w:r>
            <w:r w:rsidRPr="00EB528B">
              <w:rPr>
                <w:rStyle w:val="Hyperlink"/>
                <w:noProof/>
              </w:rPr>
              <w:t>The changed Infrastructure Australia</w:t>
            </w:r>
            <w:r>
              <w:rPr>
                <w:noProof/>
                <w:webHidden/>
              </w:rPr>
              <w:tab/>
            </w:r>
            <w:r>
              <w:rPr>
                <w:noProof/>
                <w:webHidden/>
              </w:rPr>
              <w:fldChar w:fldCharType="begin"/>
            </w:r>
            <w:r>
              <w:rPr>
                <w:noProof/>
                <w:webHidden/>
              </w:rPr>
              <w:instrText xml:space="preserve"> PAGEREF _Toc111195427 \h </w:instrText>
            </w:r>
            <w:r>
              <w:rPr>
                <w:noProof/>
                <w:webHidden/>
              </w:rPr>
            </w:r>
            <w:r>
              <w:rPr>
                <w:noProof/>
                <w:webHidden/>
              </w:rPr>
              <w:fldChar w:fldCharType="separate"/>
            </w:r>
            <w:r>
              <w:rPr>
                <w:noProof/>
                <w:webHidden/>
              </w:rPr>
              <w:t>6</w:t>
            </w:r>
            <w:r>
              <w:rPr>
                <w:noProof/>
                <w:webHidden/>
              </w:rPr>
              <w:fldChar w:fldCharType="end"/>
            </w:r>
          </w:hyperlink>
        </w:p>
        <w:p w14:paraId="71201A6B" w14:textId="0B3E3D35" w:rsidR="009B097D" w:rsidRDefault="009B097D">
          <w:pPr>
            <w:pStyle w:val="TOC3"/>
            <w:tabs>
              <w:tab w:val="left" w:pos="1100"/>
              <w:tab w:val="right" w:leader="dot" w:pos="9016"/>
            </w:tabs>
            <w:rPr>
              <w:rFonts w:eastAsiaTheme="minorEastAsia"/>
              <w:noProof/>
              <w:lang w:eastAsia="en-AU"/>
            </w:rPr>
          </w:pPr>
          <w:hyperlink w:anchor="_Toc111195428" w:history="1">
            <w:r w:rsidRPr="00EB528B">
              <w:rPr>
                <w:rStyle w:val="Hyperlink"/>
                <w:noProof/>
                <w:lang w:eastAsia="en-AU"/>
              </w:rPr>
              <w:t>4.1</w:t>
            </w:r>
            <w:r>
              <w:rPr>
                <w:rFonts w:eastAsiaTheme="minorEastAsia"/>
                <w:noProof/>
                <w:lang w:eastAsia="en-AU"/>
              </w:rPr>
              <w:tab/>
            </w:r>
            <w:r w:rsidRPr="00EB528B">
              <w:rPr>
                <w:rStyle w:val="Hyperlink"/>
                <w:noProof/>
                <w:lang w:eastAsia="en-AU"/>
              </w:rPr>
              <w:t>Corporation</w:t>
            </w:r>
            <w:r>
              <w:rPr>
                <w:noProof/>
                <w:webHidden/>
              </w:rPr>
              <w:tab/>
            </w:r>
            <w:r>
              <w:rPr>
                <w:noProof/>
                <w:webHidden/>
              </w:rPr>
              <w:fldChar w:fldCharType="begin"/>
            </w:r>
            <w:r>
              <w:rPr>
                <w:noProof/>
                <w:webHidden/>
              </w:rPr>
              <w:instrText xml:space="preserve"> PAGEREF _Toc111195428 \h </w:instrText>
            </w:r>
            <w:r>
              <w:rPr>
                <w:noProof/>
                <w:webHidden/>
              </w:rPr>
            </w:r>
            <w:r>
              <w:rPr>
                <w:noProof/>
                <w:webHidden/>
              </w:rPr>
              <w:fldChar w:fldCharType="separate"/>
            </w:r>
            <w:r>
              <w:rPr>
                <w:noProof/>
                <w:webHidden/>
              </w:rPr>
              <w:t>6</w:t>
            </w:r>
            <w:r>
              <w:rPr>
                <w:noProof/>
                <w:webHidden/>
              </w:rPr>
              <w:fldChar w:fldCharType="end"/>
            </w:r>
          </w:hyperlink>
        </w:p>
        <w:p w14:paraId="77A26B43" w14:textId="61FF80D3" w:rsidR="009B097D" w:rsidRDefault="009B097D">
          <w:pPr>
            <w:pStyle w:val="TOC3"/>
            <w:tabs>
              <w:tab w:val="left" w:pos="1100"/>
              <w:tab w:val="right" w:leader="dot" w:pos="9016"/>
            </w:tabs>
            <w:rPr>
              <w:rFonts w:eastAsiaTheme="minorEastAsia"/>
              <w:noProof/>
              <w:lang w:eastAsia="en-AU"/>
            </w:rPr>
          </w:pPr>
          <w:hyperlink w:anchor="_Toc111195429" w:history="1">
            <w:r w:rsidRPr="00EB528B">
              <w:rPr>
                <w:rStyle w:val="Hyperlink"/>
                <w:noProof/>
                <w:lang w:eastAsia="en-AU"/>
              </w:rPr>
              <w:t>4.2</w:t>
            </w:r>
            <w:r>
              <w:rPr>
                <w:rFonts w:eastAsiaTheme="minorEastAsia"/>
                <w:noProof/>
                <w:lang w:eastAsia="en-AU"/>
              </w:rPr>
              <w:tab/>
            </w:r>
            <w:r w:rsidRPr="00EB528B">
              <w:rPr>
                <w:rStyle w:val="Hyperlink"/>
                <w:noProof/>
                <w:lang w:eastAsia="en-AU"/>
              </w:rPr>
              <w:t>Change to context – Williams (No.2)</w:t>
            </w:r>
            <w:r>
              <w:rPr>
                <w:noProof/>
                <w:webHidden/>
              </w:rPr>
              <w:tab/>
            </w:r>
            <w:r>
              <w:rPr>
                <w:noProof/>
                <w:webHidden/>
              </w:rPr>
              <w:fldChar w:fldCharType="begin"/>
            </w:r>
            <w:r>
              <w:rPr>
                <w:noProof/>
                <w:webHidden/>
              </w:rPr>
              <w:instrText xml:space="preserve"> PAGEREF _Toc111195429 \h </w:instrText>
            </w:r>
            <w:r>
              <w:rPr>
                <w:noProof/>
                <w:webHidden/>
              </w:rPr>
            </w:r>
            <w:r>
              <w:rPr>
                <w:noProof/>
                <w:webHidden/>
              </w:rPr>
              <w:fldChar w:fldCharType="separate"/>
            </w:r>
            <w:r>
              <w:rPr>
                <w:noProof/>
                <w:webHidden/>
              </w:rPr>
              <w:t>6</w:t>
            </w:r>
            <w:r>
              <w:rPr>
                <w:noProof/>
                <w:webHidden/>
              </w:rPr>
              <w:fldChar w:fldCharType="end"/>
            </w:r>
          </w:hyperlink>
        </w:p>
        <w:p w14:paraId="2CF9D4DD" w14:textId="3FEC8B60" w:rsidR="009B097D" w:rsidRDefault="009B097D">
          <w:pPr>
            <w:pStyle w:val="TOC3"/>
            <w:tabs>
              <w:tab w:val="left" w:pos="1100"/>
              <w:tab w:val="right" w:leader="dot" w:pos="9016"/>
            </w:tabs>
            <w:rPr>
              <w:rFonts w:eastAsiaTheme="minorEastAsia"/>
              <w:noProof/>
              <w:lang w:eastAsia="en-AU"/>
            </w:rPr>
          </w:pPr>
          <w:hyperlink w:anchor="_Toc111195430" w:history="1">
            <w:r w:rsidRPr="00EB528B">
              <w:rPr>
                <w:rStyle w:val="Hyperlink"/>
                <w:noProof/>
                <w:lang w:eastAsia="en-AU"/>
              </w:rPr>
              <w:t>4.3</w:t>
            </w:r>
            <w:r>
              <w:rPr>
                <w:rFonts w:eastAsiaTheme="minorEastAsia"/>
                <w:noProof/>
                <w:lang w:eastAsia="en-AU"/>
              </w:rPr>
              <w:tab/>
            </w:r>
            <w:r w:rsidRPr="00EB528B">
              <w:rPr>
                <w:rStyle w:val="Hyperlink"/>
                <w:noProof/>
                <w:lang w:eastAsia="en-AU"/>
              </w:rPr>
              <w:t>Invalidation of assumptions</w:t>
            </w:r>
            <w:r>
              <w:rPr>
                <w:noProof/>
                <w:webHidden/>
              </w:rPr>
              <w:tab/>
            </w:r>
            <w:r>
              <w:rPr>
                <w:noProof/>
                <w:webHidden/>
              </w:rPr>
              <w:fldChar w:fldCharType="begin"/>
            </w:r>
            <w:r>
              <w:rPr>
                <w:noProof/>
                <w:webHidden/>
              </w:rPr>
              <w:instrText xml:space="preserve"> PAGEREF _Toc111195430 \h </w:instrText>
            </w:r>
            <w:r>
              <w:rPr>
                <w:noProof/>
                <w:webHidden/>
              </w:rPr>
            </w:r>
            <w:r>
              <w:rPr>
                <w:noProof/>
                <w:webHidden/>
              </w:rPr>
              <w:fldChar w:fldCharType="separate"/>
            </w:r>
            <w:r>
              <w:rPr>
                <w:noProof/>
                <w:webHidden/>
              </w:rPr>
              <w:t>7</w:t>
            </w:r>
            <w:r>
              <w:rPr>
                <w:noProof/>
                <w:webHidden/>
              </w:rPr>
              <w:fldChar w:fldCharType="end"/>
            </w:r>
          </w:hyperlink>
        </w:p>
        <w:p w14:paraId="0767EEF1" w14:textId="20A734EF" w:rsidR="009B097D" w:rsidRDefault="009B097D">
          <w:pPr>
            <w:pStyle w:val="TOC3"/>
            <w:tabs>
              <w:tab w:val="left" w:pos="1100"/>
              <w:tab w:val="right" w:leader="dot" w:pos="9016"/>
            </w:tabs>
            <w:rPr>
              <w:rFonts w:eastAsiaTheme="minorEastAsia"/>
              <w:noProof/>
              <w:lang w:eastAsia="en-AU"/>
            </w:rPr>
          </w:pPr>
          <w:hyperlink w:anchor="_Toc111195431" w:history="1">
            <w:r w:rsidRPr="00EB528B">
              <w:rPr>
                <w:rStyle w:val="Hyperlink"/>
                <w:noProof/>
                <w:lang w:eastAsia="en-AU"/>
              </w:rPr>
              <w:t>4.4</w:t>
            </w:r>
            <w:r>
              <w:rPr>
                <w:rFonts w:eastAsiaTheme="minorEastAsia"/>
                <w:noProof/>
                <w:lang w:eastAsia="en-AU"/>
              </w:rPr>
              <w:tab/>
            </w:r>
            <w:r w:rsidRPr="00EB528B">
              <w:rPr>
                <w:rStyle w:val="Hyperlink"/>
                <w:noProof/>
                <w:lang w:eastAsia="en-AU"/>
              </w:rPr>
              <w:t>Response?</w:t>
            </w:r>
            <w:r>
              <w:rPr>
                <w:noProof/>
                <w:webHidden/>
              </w:rPr>
              <w:tab/>
            </w:r>
            <w:r>
              <w:rPr>
                <w:noProof/>
                <w:webHidden/>
              </w:rPr>
              <w:fldChar w:fldCharType="begin"/>
            </w:r>
            <w:r>
              <w:rPr>
                <w:noProof/>
                <w:webHidden/>
              </w:rPr>
              <w:instrText xml:space="preserve"> PAGEREF _Toc111195431 \h </w:instrText>
            </w:r>
            <w:r>
              <w:rPr>
                <w:noProof/>
                <w:webHidden/>
              </w:rPr>
            </w:r>
            <w:r>
              <w:rPr>
                <w:noProof/>
                <w:webHidden/>
              </w:rPr>
              <w:fldChar w:fldCharType="separate"/>
            </w:r>
            <w:r>
              <w:rPr>
                <w:noProof/>
                <w:webHidden/>
              </w:rPr>
              <w:t>7</w:t>
            </w:r>
            <w:r>
              <w:rPr>
                <w:noProof/>
                <w:webHidden/>
              </w:rPr>
              <w:fldChar w:fldCharType="end"/>
            </w:r>
          </w:hyperlink>
        </w:p>
        <w:p w14:paraId="3946400F" w14:textId="34AF51E2" w:rsidR="009B097D" w:rsidRDefault="009B097D">
          <w:pPr>
            <w:pStyle w:val="TOC3"/>
            <w:tabs>
              <w:tab w:val="left" w:pos="1100"/>
              <w:tab w:val="right" w:leader="dot" w:pos="9016"/>
            </w:tabs>
            <w:rPr>
              <w:rFonts w:eastAsiaTheme="minorEastAsia"/>
              <w:noProof/>
              <w:lang w:eastAsia="en-AU"/>
            </w:rPr>
          </w:pPr>
          <w:hyperlink w:anchor="_Toc111195432" w:history="1">
            <w:r w:rsidRPr="00EB528B">
              <w:rPr>
                <w:rStyle w:val="Hyperlink"/>
                <w:noProof/>
                <w:lang w:eastAsia="en-AU"/>
              </w:rPr>
              <w:t>4.5</w:t>
            </w:r>
            <w:r>
              <w:rPr>
                <w:rFonts w:eastAsiaTheme="minorEastAsia"/>
                <w:noProof/>
                <w:lang w:eastAsia="en-AU"/>
              </w:rPr>
              <w:tab/>
            </w:r>
            <w:r w:rsidRPr="00EB528B">
              <w:rPr>
                <w:rStyle w:val="Hyperlink"/>
                <w:noProof/>
                <w:lang w:eastAsia="en-AU"/>
              </w:rPr>
              <w:t>Assessments?</w:t>
            </w:r>
            <w:r>
              <w:rPr>
                <w:noProof/>
                <w:webHidden/>
              </w:rPr>
              <w:tab/>
            </w:r>
            <w:r>
              <w:rPr>
                <w:noProof/>
                <w:webHidden/>
              </w:rPr>
              <w:fldChar w:fldCharType="begin"/>
            </w:r>
            <w:r>
              <w:rPr>
                <w:noProof/>
                <w:webHidden/>
              </w:rPr>
              <w:instrText xml:space="preserve"> PAGEREF _Toc111195432 \h </w:instrText>
            </w:r>
            <w:r>
              <w:rPr>
                <w:noProof/>
                <w:webHidden/>
              </w:rPr>
            </w:r>
            <w:r>
              <w:rPr>
                <w:noProof/>
                <w:webHidden/>
              </w:rPr>
              <w:fldChar w:fldCharType="separate"/>
            </w:r>
            <w:r>
              <w:rPr>
                <w:noProof/>
                <w:webHidden/>
              </w:rPr>
              <w:t>8</w:t>
            </w:r>
            <w:r>
              <w:rPr>
                <w:noProof/>
                <w:webHidden/>
              </w:rPr>
              <w:fldChar w:fldCharType="end"/>
            </w:r>
          </w:hyperlink>
        </w:p>
        <w:p w14:paraId="5714553E" w14:textId="2C72B3BF" w:rsidR="009B097D" w:rsidRDefault="009B097D">
          <w:pPr>
            <w:pStyle w:val="TOC2"/>
            <w:tabs>
              <w:tab w:val="left" w:pos="660"/>
              <w:tab w:val="right" w:leader="dot" w:pos="9016"/>
            </w:tabs>
            <w:rPr>
              <w:rFonts w:eastAsiaTheme="minorEastAsia"/>
              <w:noProof/>
              <w:lang w:eastAsia="en-AU"/>
            </w:rPr>
          </w:pPr>
          <w:hyperlink w:anchor="_Toc111195433" w:history="1">
            <w:r w:rsidRPr="00EB528B">
              <w:rPr>
                <w:rStyle w:val="Hyperlink"/>
                <w:noProof/>
              </w:rPr>
              <w:t>5.</w:t>
            </w:r>
            <w:r>
              <w:rPr>
                <w:rFonts w:eastAsiaTheme="minorEastAsia"/>
                <w:noProof/>
                <w:lang w:eastAsia="en-AU"/>
              </w:rPr>
              <w:tab/>
            </w:r>
            <w:r w:rsidRPr="00EB528B">
              <w:rPr>
                <w:rStyle w:val="Hyperlink"/>
                <w:noProof/>
              </w:rPr>
              <w:t>Conclusion</w:t>
            </w:r>
            <w:r>
              <w:rPr>
                <w:noProof/>
                <w:webHidden/>
              </w:rPr>
              <w:tab/>
            </w:r>
            <w:r>
              <w:rPr>
                <w:noProof/>
                <w:webHidden/>
              </w:rPr>
              <w:fldChar w:fldCharType="begin"/>
            </w:r>
            <w:r>
              <w:rPr>
                <w:noProof/>
                <w:webHidden/>
              </w:rPr>
              <w:instrText xml:space="preserve"> PAGEREF _Toc111195433 \h </w:instrText>
            </w:r>
            <w:r>
              <w:rPr>
                <w:noProof/>
                <w:webHidden/>
              </w:rPr>
            </w:r>
            <w:r>
              <w:rPr>
                <w:noProof/>
                <w:webHidden/>
              </w:rPr>
              <w:fldChar w:fldCharType="separate"/>
            </w:r>
            <w:r>
              <w:rPr>
                <w:noProof/>
                <w:webHidden/>
              </w:rPr>
              <w:t>8</w:t>
            </w:r>
            <w:r>
              <w:rPr>
                <w:noProof/>
                <w:webHidden/>
              </w:rPr>
              <w:fldChar w:fldCharType="end"/>
            </w:r>
          </w:hyperlink>
        </w:p>
        <w:p w14:paraId="4217048A" w14:textId="08446481" w:rsidR="009B097D" w:rsidRDefault="009B097D">
          <w:pPr>
            <w:pStyle w:val="TOC3"/>
            <w:tabs>
              <w:tab w:val="left" w:pos="1100"/>
              <w:tab w:val="right" w:leader="dot" w:pos="9016"/>
            </w:tabs>
            <w:rPr>
              <w:rFonts w:eastAsiaTheme="minorEastAsia"/>
              <w:noProof/>
              <w:lang w:eastAsia="en-AU"/>
            </w:rPr>
          </w:pPr>
          <w:hyperlink w:anchor="_Toc111195434" w:history="1">
            <w:r w:rsidRPr="00EB528B">
              <w:rPr>
                <w:rStyle w:val="Hyperlink"/>
                <w:noProof/>
                <w:lang w:eastAsia="en-AU"/>
              </w:rPr>
              <w:t>5.1</w:t>
            </w:r>
            <w:r>
              <w:rPr>
                <w:rFonts w:eastAsiaTheme="minorEastAsia"/>
                <w:noProof/>
                <w:lang w:eastAsia="en-AU"/>
              </w:rPr>
              <w:tab/>
            </w:r>
            <w:r w:rsidRPr="00EB528B">
              <w:rPr>
                <w:rStyle w:val="Hyperlink"/>
                <w:noProof/>
                <w:lang w:eastAsia="en-AU"/>
              </w:rPr>
              <w:t>Infrastructure Australia</w:t>
            </w:r>
            <w:r>
              <w:rPr>
                <w:noProof/>
                <w:webHidden/>
              </w:rPr>
              <w:tab/>
            </w:r>
            <w:r>
              <w:rPr>
                <w:noProof/>
                <w:webHidden/>
              </w:rPr>
              <w:fldChar w:fldCharType="begin"/>
            </w:r>
            <w:r>
              <w:rPr>
                <w:noProof/>
                <w:webHidden/>
              </w:rPr>
              <w:instrText xml:space="preserve"> PAGEREF _Toc111195434 \h </w:instrText>
            </w:r>
            <w:r>
              <w:rPr>
                <w:noProof/>
                <w:webHidden/>
              </w:rPr>
            </w:r>
            <w:r>
              <w:rPr>
                <w:noProof/>
                <w:webHidden/>
              </w:rPr>
              <w:fldChar w:fldCharType="separate"/>
            </w:r>
            <w:r>
              <w:rPr>
                <w:noProof/>
                <w:webHidden/>
              </w:rPr>
              <w:t>8</w:t>
            </w:r>
            <w:r>
              <w:rPr>
                <w:noProof/>
                <w:webHidden/>
              </w:rPr>
              <w:fldChar w:fldCharType="end"/>
            </w:r>
          </w:hyperlink>
        </w:p>
        <w:p w14:paraId="0815F3E2" w14:textId="003950C5" w:rsidR="009B097D" w:rsidRDefault="009B097D">
          <w:pPr>
            <w:pStyle w:val="TOC3"/>
            <w:tabs>
              <w:tab w:val="left" w:pos="1100"/>
              <w:tab w:val="right" w:leader="dot" w:pos="9016"/>
            </w:tabs>
            <w:rPr>
              <w:rFonts w:eastAsiaTheme="minorEastAsia"/>
              <w:noProof/>
              <w:lang w:eastAsia="en-AU"/>
            </w:rPr>
          </w:pPr>
          <w:hyperlink w:anchor="_Toc111195435" w:history="1">
            <w:r w:rsidRPr="00EB528B">
              <w:rPr>
                <w:rStyle w:val="Hyperlink"/>
                <w:noProof/>
                <w:lang w:eastAsia="en-AU"/>
              </w:rPr>
              <w:t>5.2</w:t>
            </w:r>
            <w:r>
              <w:rPr>
                <w:rFonts w:eastAsiaTheme="minorEastAsia"/>
                <w:noProof/>
                <w:lang w:eastAsia="en-AU"/>
              </w:rPr>
              <w:tab/>
            </w:r>
            <w:r w:rsidRPr="00EB528B">
              <w:rPr>
                <w:rStyle w:val="Hyperlink"/>
                <w:noProof/>
                <w:lang w:eastAsia="en-AU"/>
              </w:rPr>
              <w:t>Commonwealth purposes - Departments</w:t>
            </w:r>
            <w:r>
              <w:rPr>
                <w:noProof/>
                <w:webHidden/>
              </w:rPr>
              <w:tab/>
            </w:r>
            <w:r>
              <w:rPr>
                <w:noProof/>
                <w:webHidden/>
              </w:rPr>
              <w:fldChar w:fldCharType="begin"/>
            </w:r>
            <w:r>
              <w:rPr>
                <w:noProof/>
                <w:webHidden/>
              </w:rPr>
              <w:instrText xml:space="preserve"> PAGEREF _Toc111195435 \h </w:instrText>
            </w:r>
            <w:r>
              <w:rPr>
                <w:noProof/>
                <w:webHidden/>
              </w:rPr>
            </w:r>
            <w:r>
              <w:rPr>
                <w:noProof/>
                <w:webHidden/>
              </w:rPr>
              <w:fldChar w:fldCharType="separate"/>
            </w:r>
            <w:r>
              <w:rPr>
                <w:noProof/>
                <w:webHidden/>
              </w:rPr>
              <w:t>9</w:t>
            </w:r>
            <w:r>
              <w:rPr>
                <w:noProof/>
                <w:webHidden/>
              </w:rPr>
              <w:fldChar w:fldCharType="end"/>
            </w:r>
          </w:hyperlink>
        </w:p>
        <w:p w14:paraId="4D39DF18" w14:textId="4530B544" w:rsidR="009B097D" w:rsidRDefault="009B097D">
          <w:pPr>
            <w:pStyle w:val="TOC3"/>
            <w:tabs>
              <w:tab w:val="left" w:pos="1100"/>
              <w:tab w:val="right" w:leader="dot" w:pos="9016"/>
            </w:tabs>
            <w:rPr>
              <w:rFonts w:eastAsiaTheme="minorEastAsia"/>
              <w:noProof/>
              <w:lang w:eastAsia="en-AU"/>
            </w:rPr>
          </w:pPr>
          <w:hyperlink w:anchor="_Toc111195436" w:history="1">
            <w:r w:rsidRPr="00EB528B">
              <w:rPr>
                <w:rStyle w:val="Hyperlink"/>
                <w:noProof/>
                <w:lang w:eastAsia="en-AU"/>
              </w:rPr>
              <w:t>5.3</w:t>
            </w:r>
            <w:r>
              <w:rPr>
                <w:rFonts w:eastAsiaTheme="minorEastAsia"/>
                <w:noProof/>
                <w:lang w:eastAsia="en-AU"/>
              </w:rPr>
              <w:tab/>
            </w:r>
            <w:r w:rsidRPr="00EB528B">
              <w:rPr>
                <w:rStyle w:val="Hyperlink"/>
                <w:noProof/>
                <w:lang w:eastAsia="en-AU"/>
              </w:rPr>
              <w:t>Other purposes – statutory authority</w:t>
            </w:r>
            <w:r>
              <w:rPr>
                <w:noProof/>
                <w:webHidden/>
              </w:rPr>
              <w:tab/>
            </w:r>
            <w:r>
              <w:rPr>
                <w:noProof/>
                <w:webHidden/>
              </w:rPr>
              <w:fldChar w:fldCharType="begin"/>
            </w:r>
            <w:r>
              <w:rPr>
                <w:noProof/>
                <w:webHidden/>
              </w:rPr>
              <w:instrText xml:space="preserve"> PAGEREF _Toc111195436 \h </w:instrText>
            </w:r>
            <w:r>
              <w:rPr>
                <w:noProof/>
                <w:webHidden/>
              </w:rPr>
            </w:r>
            <w:r>
              <w:rPr>
                <w:noProof/>
                <w:webHidden/>
              </w:rPr>
              <w:fldChar w:fldCharType="separate"/>
            </w:r>
            <w:r>
              <w:rPr>
                <w:noProof/>
                <w:webHidden/>
              </w:rPr>
              <w:t>9</w:t>
            </w:r>
            <w:r>
              <w:rPr>
                <w:noProof/>
                <w:webHidden/>
              </w:rPr>
              <w:fldChar w:fldCharType="end"/>
            </w:r>
          </w:hyperlink>
        </w:p>
        <w:p w14:paraId="40308C30" w14:textId="517E3AF9" w:rsidR="009B097D" w:rsidRDefault="009B097D">
          <w:pPr>
            <w:pStyle w:val="TOC2"/>
            <w:tabs>
              <w:tab w:val="left" w:pos="660"/>
              <w:tab w:val="right" w:leader="dot" w:pos="9016"/>
            </w:tabs>
            <w:rPr>
              <w:rFonts w:eastAsiaTheme="minorEastAsia"/>
              <w:noProof/>
              <w:lang w:eastAsia="en-AU"/>
            </w:rPr>
          </w:pPr>
          <w:hyperlink w:anchor="_Toc111195437" w:history="1">
            <w:r w:rsidRPr="00EB528B">
              <w:rPr>
                <w:rStyle w:val="Hyperlink"/>
                <w:noProof/>
              </w:rPr>
              <w:t>6.</w:t>
            </w:r>
            <w:r>
              <w:rPr>
                <w:rFonts w:eastAsiaTheme="minorEastAsia"/>
                <w:noProof/>
                <w:lang w:eastAsia="en-AU"/>
              </w:rPr>
              <w:tab/>
            </w:r>
            <w:r w:rsidRPr="00EB528B">
              <w:rPr>
                <w:rStyle w:val="Hyperlink"/>
                <w:noProof/>
              </w:rPr>
              <w:t>Further comments</w:t>
            </w:r>
            <w:r>
              <w:rPr>
                <w:noProof/>
                <w:webHidden/>
              </w:rPr>
              <w:tab/>
            </w:r>
            <w:r>
              <w:rPr>
                <w:noProof/>
                <w:webHidden/>
              </w:rPr>
              <w:fldChar w:fldCharType="begin"/>
            </w:r>
            <w:r>
              <w:rPr>
                <w:noProof/>
                <w:webHidden/>
              </w:rPr>
              <w:instrText xml:space="preserve"> PAGEREF _Toc111195437 \h </w:instrText>
            </w:r>
            <w:r>
              <w:rPr>
                <w:noProof/>
                <w:webHidden/>
              </w:rPr>
            </w:r>
            <w:r>
              <w:rPr>
                <w:noProof/>
                <w:webHidden/>
              </w:rPr>
              <w:fldChar w:fldCharType="separate"/>
            </w:r>
            <w:r>
              <w:rPr>
                <w:noProof/>
                <w:webHidden/>
              </w:rPr>
              <w:t>9</w:t>
            </w:r>
            <w:r>
              <w:rPr>
                <w:noProof/>
                <w:webHidden/>
              </w:rPr>
              <w:fldChar w:fldCharType="end"/>
            </w:r>
          </w:hyperlink>
        </w:p>
        <w:p w14:paraId="217ED991" w14:textId="32ABBBA2" w:rsidR="009B097D" w:rsidRDefault="009B097D">
          <w:pPr>
            <w:pStyle w:val="TOC3"/>
            <w:tabs>
              <w:tab w:val="left" w:pos="1100"/>
              <w:tab w:val="right" w:leader="dot" w:pos="9016"/>
            </w:tabs>
            <w:rPr>
              <w:rFonts w:eastAsiaTheme="minorEastAsia"/>
              <w:noProof/>
              <w:lang w:eastAsia="en-AU"/>
            </w:rPr>
          </w:pPr>
          <w:hyperlink w:anchor="_Toc111195438" w:history="1">
            <w:r w:rsidRPr="00EB528B">
              <w:rPr>
                <w:rStyle w:val="Hyperlink"/>
                <w:noProof/>
                <w:lang w:eastAsia="en-AU"/>
              </w:rPr>
              <w:t>6.1</w:t>
            </w:r>
            <w:r>
              <w:rPr>
                <w:rFonts w:eastAsiaTheme="minorEastAsia"/>
                <w:noProof/>
                <w:lang w:eastAsia="en-AU"/>
              </w:rPr>
              <w:tab/>
            </w:r>
            <w:r w:rsidRPr="00EB528B">
              <w:rPr>
                <w:rStyle w:val="Hyperlink"/>
                <w:noProof/>
                <w:lang w:eastAsia="en-AU"/>
              </w:rPr>
              <w:t>Continuation of Infrastructure Australia?</w:t>
            </w:r>
            <w:r>
              <w:rPr>
                <w:noProof/>
                <w:webHidden/>
              </w:rPr>
              <w:tab/>
            </w:r>
            <w:r>
              <w:rPr>
                <w:noProof/>
                <w:webHidden/>
              </w:rPr>
              <w:fldChar w:fldCharType="begin"/>
            </w:r>
            <w:r>
              <w:rPr>
                <w:noProof/>
                <w:webHidden/>
              </w:rPr>
              <w:instrText xml:space="preserve"> PAGEREF _Toc111195438 \h </w:instrText>
            </w:r>
            <w:r>
              <w:rPr>
                <w:noProof/>
                <w:webHidden/>
              </w:rPr>
            </w:r>
            <w:r>
              <w:rPr>
                <w:noProof/>
                <w:webHidden/>
              </w:rPr>
              <w:fldChar w:fldCharType="separate"/>
            </w:r>
            <w:r>
              <w:rPr>
                <w:noProof/>
                <w:webHidden/>
              </w:rPr>
              <w:t>9</w:t>
            </w:r>
            <w:r>
              <w:rPr>
                <w:noProof/>
                <w:webHidden/>
              </w:rPr>
              <w:fldChar w:fldCharType="end"/>
            </w:r>
          </w:hyperlink>
        </w:p>
        <w:p w14:paraId="1A6D5822" w14:textId="73B2530B" w:rsidR="009B097D" w:rsidRDefault="009B097D">
          <w:pPr>
            <w:pStyle w:val="TOC3"/>
            <w:tabs>
              <w:tab w:val="left" w:pos="1100"/>
              <w:tab w:val="right" w:leader="dot" w:pos="9016"/>
            </w:tabs>
            <w:rPr>
              <w:rFonts w:eastAsiaTheme="minorEastAsia"/>
              <w:noProof/>
              <w:lang w:eastAsia="en-AU"/>
            </w:rPr>
          </w:pPr>
          <w:hyperlink w:anchor="_Toc111195439" w:history="1">
            <w:r w:rsidRPr="00EB528B">
              <w:rPr>
                <w:rStyle w:val="Hyperlink"/>
                <w:noProof/>
                <w:lang w:eastAsia="en-AU"/>
              </w:rPr>
              <w:t>6.2</w:t>
            </w:r>
            <w:r>
              <w:rPr>
                <w:rFonts w:eastAsiaTheme="minorEastAsia"/>
                <w:noProof/>
                <w:lang w:eastAsia="en-AU"/>
              </w:rPr>
              <w:tab/>
            </w:r>
            <w:r w:rsidRPr="00EB528B">
              <w:rPr>
                <w:rStyle w:val="Hyperlink"/>
                <w:noProof/>
                <w:lang w:eastAsia="en-AU"/>
              </w:rPr>
              <w:t>State organisations?</w:t>
            </w:r>
            <w:r>
              <w:rPr>
                <w:noProof/>
                <w:webHidden/>
              </w:rPr>
              <w:tab/>
            </w:r>
            <w:r>
              <w:rPr>
                <w:noProof/>
                <w:webHidden/>
              </w:rPr>
              <w:fldChar w:fldCharType="begin"/>
            </w:r>
            <w:r>
              <w:rPr>
                <w:noProof/>
                <w:webHidden/>
              </w:rPr>
              <w:instrText xml:space="preserve"> PAGEREF _Toc111195439 \h </w:instrText>
            </w:r>
            <w:r>
              <w:rPr>
                <w:noProof/>
                <w:webHidden/>
              </w:rPr>
            </w:r>
            <w:r>
              <w:rPr>
                <w:noProof/>
                <w:webHidden/>
              </w:rPr>
              <w:fldChar w:fldCharType="separate"/>
            </w:r>
            <w:r>
              <w:rPr>
                <w:noProof/>
                <w:webHidden/>
              </w:rPr>
              <w:t>10</w:t>
            </w:r>
            <w:r>
              <w:rPr>
                <w:noProof/>
                <w:webHidden/>
              </w:rPr>
              <w:fldChar w:fldCharType="end"/>
            </w:r>
          </w:hyperlink>
        </w:p>
        <w:p w14:paraId="6FDADCA0" w14:textId="52D91425" w:rsidR="009B097D" w:rsidRDefault="009B097D">
          <w:pPr>
            <w:pStyle w:val="TOC3"/>
            <w:tabs>
              <w:tab w:val="left" w:pos="1100"/>
              <w:tab w:val="right" w:leader="dot" w:pos="9016"/>
            </w:tabs>
            <w:rPr>
              <w:rFonts w:eastAsiaTheme="minorEastAsia"/>
              <w:noProof/>
              <w:lang w:eastAsia="en-AU"/>
            </w:rPr>
          </w:pPr>
          <w:hyperlink w:anchor="_Toc111195440" w:history="1">
            <w:r w:rsidRPr="00EB528B">
              <w:rPr>
                <w:rStyle w:val="Hyperlink"/>
                <w:noProof/>
                <w:lang w:eastAsia="en-AU"/>
              </w:rPr>
              <w:t>6.3</w:t>
            </w:r>
            <w:r>
              <w:rPr>
                <w:rFonts w:eastAsiaTheme="minorEastAsia"/>
                <w:noProof/>
                <w:lang w:eastAsia="en-AU"/>
              </w:rPr>
              <w:tab/>
            </w:r>
            <w:r w:rsidRPr="00EB528B">
              <w:rPr>
                <w:rStyle w:val="Hyperlink"/>
                <w:noProof/>
                <w:lang w:eastAsia="en-AU"/>
              </w:rPr>
              <w:t>Infrastructure Australia board?</w:t>
            </w:r>
            <w:r>
              <w:rPr>
                <w:noProof/>
                <w:webHidden/>
              </w:rPr>
              <w:tab/>
            </w:r>
            <w:r>
              <w:rPr>
                <w:noProof/>
                <w:webHidden/>
              </w:rPr>
              <w:fldChar w:fldCharType="begin"/>
            </w:r>
            <w:r>
              <w:rPr>
                <w:noProof/>
                <w:webHidden/>
              </w:rPr>
              <w:instrText xml:space="preserve"> PAGEREF _Toc111195440 \h </w:instrText>
            </w:r>
            <w:r>
              <w:rPr>
                <w:noProof/>
                <w:webHidden/>
              </w:rPr>
            </w:r>
            <w:r>
              <w:rPr>
                <w:noProof/>
                <w:webHidden/>
              </w:rPr>
              <w:fldChar w:fldCharType="separate"/>
            </w:r>
            <w:r>
              <w:rPr>
                <w:noProof/>
                <w:webHidden/>
              </w:rPr>
              <w:t>10</w:t>
            </w:r>
            <w:r>
              <w:rPr>
                <w:noProof/>
                <w:webHidden/>
              </w:rPr>
              <w:fldChar w:fldCharType="end"/>
            </w:r>
          </w:hyperlink>
        </w:p>
        <w:p w14:paraId="3A4EE2E2" w14:textId="2EEB978C" w:rsidR="009B097D" w:rsidRDefault="009B097D">
          <w:pPr>
            <w:pStyle w:val="TOC3"/>
            <w:tabs>
              <w:tab w:val="left" w:pos="1100"/>
              <w:tab w:val="right" w:leader="dot" w:pos="9016"/>
            </w:tabs>
            <w:rPr>
              <w:rFonts w:eastAsiaTheme="minorEastAsia"/>
              <w:noProof/>
              <w:lang w:eastAsia="en-AU"/>
            </w:rPr>
          </w:pPr>
          <w:hyperlink w:anchor="_Toc111195441" w:history="1">
            <w:r w:rsidRPr="00EB528B">
              <w:rPr>
                <w:rStyle w:val="Hyperlink"/>
                <w:noProof/>
              </w:rPr>
              <w:t>6.4</w:t>
            </w:r>
            <w:r>
              <w:rPr>
                <w:rFonts w:eastAsiaTheme="minorEastAsia"/>
                <w:noProof/>
                <w:lang w:eastAsia="en-AU"/>
              </w:rPr>
              <w:tab/>
            </w:r>
            <w:r w:rsidRPr="00EB528B">
              <w:rPr>
                <w:rStyle w:val="Hyperlink"/>
                <w:noProof/>
              </w:rPr>
              <w:t>Drift and lack of direction</w:t>
            </w:r>
            <w:r>
              <w:rPr>
                <w:noProof/>
                <w:webHidden/>
              </w:rPr>
              <w:tab/>
            </w:r>
            <w:r>
              <w:rPr>
                <w:noProof/>
                <w:webHidden/>
              </w:rPr>
              <w:fldChar w:fldCharType="begin"/>
            </w:r>
            <w:r>
              <w:rPr>
                <w:noProof/>
                <w:webHidden/>
              </w:rPr>
              <w:instrText xml:space="preserve"> PAGEREF _Toc111195441 \h </w:instrText>
            </w:r>
            <w:r>
              <w:rPr>
                <w:noProof/>
                <w:webHidden/>
              </w:rPr>
            </w:r>
            <w:r>
              <w:rPr>
                <w:noProof/>
                <w:webHidden/>
              </w:rPr>
              <w:fldChar w:fldCharType="separate"/>
            </w:r>
            <w:r>
              <w:rPr>
                <w:noProof/>
                <w:webHidden/>
              </w:rPr>
              <w:t>10</w:t>
            </w:r>
            <w:r>
              <w:rPr>
                <w:noProof/>
                <w:webHidden/>
              </w:rPr>
              <w:fldChar w:fldCharType="end"/>
            </w:r>
          </w:hyperlink>
        </w:p>
        <w:p w14:paraId="7F62BC35" w14:textId="3461D7CB" w:rsidR="009B097D" w:rsidRDefault="009B097D">
          <w:pPr>
            <w:pStyle w:val="TOC3"/>
            <w:tabs>
              <w:tab w:val="left" w:pos="1100"/>
              <w:tab w:val="right" w:leader="dot" w:pos="9016"/>
            </w:tabs>
            <w:rPr>
              <w:rFonts w:eastAsiaTheme="minorEastAsia"/>
              <w:noProof/>
              <w:lang w:eastAsia="en-AU"/>
            </w:rPr>
          </w:pPr>
          <w:hyperlink w:anchor="_Toc111195442" w:history="1">
            <w:r w:rsidRPr="00EB528B">
              <w:rPr>
                <w:rStyle w:val="Hyperlink"/>
                <w:noProof/>
                <w:lang w:eastAsia="en-AU"/>
              </w:rPr>
              <w:t>6.5</w:t>
            </w:r>
            <w:r>
              <w:rPr>
                <w:rFonts w:eastAsiaTheme="minorEastAsia"/>
                <w:noProof/>
                <w:lang w:eastAsia="en-AU"/>
              </w:rPr>
              <w:tab/>
            </w:r>
            <w:r w:rsidRPr="00EB528B">
              <w:rPr>
                <w:rStyle w:val="Hyperlink"/>
                <w:noProof/>
                <w:lang w:eastAsia="en-AU"/>
              </w:rPr>
              <w:t>Guiding questions</w:t>
            </w:r>
            <w:r>
              <w:rPr>
                <w:noProof/>
                <w:webHidden/>
              </w:rPr>
              <w:tab/>
            </w:r>
            <w:r>
              <w:rPr>
                <w:noProof/>
                <w:webHidden/>
              </w:rPr>
              <w:fldChar w:fldCharType="begin"/>
            </w:r>
            <w:r>
              <w:rPr>
                <w:noProof/>
                <w:webHidden/>
              </w:rPr>
              <w:instrText xml:space="preserve"> PAGEREF _Toc111195442 \h </w:instrText>
            </w:r>
            <w:r>
              <w:rPr>
                <w:noProof/>
                <w:webHidden/>
              </w:rPr>
            </w:r>
            <w:r>
              <w:rPr>
                <w:noProof/>
                <w:webHidden/>
              </w:rPr>
              <w:fldChar w:fldCharType="separate"/>
            </w:r>
            <w:r>
              <w:rPr>
                <w:noProof/>
                <w:webHidden/>
              </w:rPr>
              <w:t>10</w:t>
            </w:r>
            <w:r>
              <w:rPr>
                <w:noProof/>
                <w:webHidden/>
              </w:rPr>
              <w:fldChar w:fldCharType="end"/>
            </w:r>
          </w:hyperlink>
        </w:p>
        <w:p w14:paraId="468ED16D" w14:textId="09DB41BB" w:rsidR="001877AB" w:rsidRDefault="001877AB" w:rsidP="000C029B">
          <w:pPr>
            <w:spacing w:after="0"/>
          </w:pPr>
          <w:r>
            <w:rPr>
              <w:b/>
              <w:bCs/>
              <w:noProof/>
            </w:rPr>
            <w:fldChar w:fldCharType="end"/>
          </w:r>
        </w:p>
      </w:sdtContent>
    </w:sdt>
    <w:p w14:paraId="7D9F461C" w14:textId="41D19021" w:rsidR="001877AB" w:rsidRDefault="001877AB" w:rsidP="000C029B">
      <w:pPr>
        <w:spacing w:after="0"/>
        <w:rPr>
          <w:rFonts w:eastAsia="Times New Roman" w:cs="Times New Roman"/>
          <w:sz w:val="28"/>
          <w:szCs w:val="36"/>
          <w:lang w:eastAsia="en-AU"/>
        </w:rPr>
      </w:pPr>
      <w:r>
        <w:rPr>
          <w:b/>
          <w:bCs/>
        </w:rPr>
        <w:br w:type="page"/>
      </w:r>
    </w:p>
    <w:p w14:paraId="051E4B12" w14:textId="1E8C0B6E" w:rsidR="006D2C37" w:rsidRPr="001E2809" w:rsidRDefault="00734339" w:rsidP="000C029B">
      <w:pPr>
        <w:pStyle w:val="Heading2"/>
        <w:spacing w:before="0" w:beforeAutospacing="0" w:after="0" w:afterAutospacing="0"/>
        <w:rPr>
          <w:sz w:val="22"/>
          <w:szCs w:val="22"/>
        </w:rPr>
      </w:pPr>
      <w:bookmarkStart w:id="0" w:name="_Toc111195419"/>
      <w:r w:rsidRPr="00734339">
        <w:rPr>
          <w:b w:val="0"/>
          <w:bCs w:val="0"/>
        </w:rPr>
        <w:lastRenderedPageBreak/>
        <w:t>0.</w:t>
      </w:r>
      <w:r>
        <w:tab/>
      </w:r>
      <w:r w:rsidR="001E2809">
        <w:t>Overview</w:t>
      </w:r>
      <w:bookmarkEnd w:id="0"/>
    </w:p>
    <w:p w14:paraId="269C474D" w14:textId="77777777" w:rsidR="001E2809" w:rsidRDefault="00314F3C" w:rsidP="000C029B">
      <w:pPr>
        <w:spacing w:after="0" w:line="240" w:lineRule="auto"/>
        <w:rPr>
          <w:rFonts w:cstheme="minorHAnsi"/>
          <w:color w:val="313131"/>
          <w:lang w:eastAsia="en-AU"/>
        </w:rPr>
      </w:pPr>
      <w:r w:rsidRPr="001E2809">
        <w:rPr>
          <w:rFonts w:cstheme="minorHAnsi"/>
          <w:lang w:eastAsia="en-AU"/>
        </w:rPr>
        <w:t>Th</w:t>
      </w:r>
      <w:r w:rsidR="001E2809">
        <w:rPr>
          <w:rFonts w:cstheme="minorHAnsi"/>
          <w:lang w:eastAsia="en-AU"/>
        </w:rPr>
        <w:t>is is a submission to the review of Infrastructure Australia called by th</w:t>
      </w:r>
      <w:r w:rsidRPr="001E2809">
        <w:rPr>
          <w:rFonts w:cstheme="minorHAnsi"/>
          <w:lang w:eastAsia="en-AU"/>
        </w:rPr>
        <w:t xml:space="preserve">e </w:t>
      </w:r>
      <w:r w:rsidRPr="001E2809">
        <w:rPr>
          <w:rFonts w:cstheme="minorHAnsi"/>
          <w:color w:val="313131"/>
          <w:lang w:eastAsia="en-AU"/>
        </w:rPr>
        <w:t>Minister for Infrastructure, Transport, Regional Development and Local Government</w:t>
      </w:r>
      <w:r w:rsidR="001E2809">
        <w:rPr>
          <w:rFonts w:cstheme="minorHAnsi"/>
          <w:color w:val="313131"/>
          <w:lang w:eastAsia="en-AU"/>
        </w:rPr>
        <w:t>.</w:t>
      </w:r>
    </w:p>
    <w:p w14:paraId="366F3192" w14:textId="73CBAEF4" w:rsidR="001E2809" w:rsidRDefault="001E2809" w:rsidP="000C029B">
      <w:pPr>
        <w:spacing w:after="0" w:line="240" w:lineRule="auto"/>
        <w:rPr>
          <w:rFonts w:cstheme="minorHAnsi"/>
          <w:color w:val="313131"/>
          <w:lang w:eastAsia="en-AU"/>
        </w:rPr>
      </w:pPr>
    </w:p>
    <w:p w14:paraId="6803AC51" w14:textId="4F9F013D" w:rsidR="001E2809" w:rsidRDefault="001E2809" w:rsidP="000C029B">
      <w:pPr>
        <w:spacing w:after="0" w:line="240" w:lineRule="auto"/>
        <w:rPr>
          <w:rFonts w:cstheme="minorHAnsi"/>
          <w:color w:val="313131"/>
          <w:lang w:eastAsia="en-AU"/>
        </w:rPr>
      </w:pPr>
      <w:r>
        <w:rPr>
          <w:rFonts w:cstheme="minorHAnsi"/>
          <w:color w:val="313131"/>
          <w:lang w:eastAsia="en-AU"/>
        </w:rPr>
        <w:t>It recommends:</w:t>
      </w:r>
    </w:p>
    <w:p w14:paraId="23E1CF81" w14:textId="05B54966" w:rsidR="00E14698" w:rsidRDefault="001E2809" w:rsidP="000C029B">
      <w:pPr>
        <w:pStyle w:val="ListParagraph"/>
        <w:numPr>
          <w:ilvl w:val="0"/>
          <w:numId w:val="10"/>
        </w:numPr>
        <w:spacing w:after="0" w:line="240" w:lineRule="auto"/>
        <w:ind w:left="720"/>
        <w:rPr>
          <w:rFonts w:cstheme="minorHAnsi"/>
          <w:b/>
          <w:bCs/>
          <w:color w:val="313131"/>
          <w:lang w:eastAsia="en-AU"/>
        </w:rPr>
      </w:pPr>
      <w:r w:rsidRPr="00DB01DB">
        <w:rPr>
          <w:rFonts w:cstheme="minorHAnsi"/>
          <w:b/>
          <w:bCs/>
          <w:color w:val="313131"/>
          <w:lang w:eastAsia="en-AU"/>
        </w:rPr>
        <w:t>Functions of advising the Government on infrastructure</w:t>
      </w:r>
      <w:r w:rsidR="00E14698" w:rsidRPr="00DB01DB">
        <w:rPr>
          <w:rFonts w:cstheme="minorHAnsi"/>
          <w:b/>
          <w:bCs/>
          <w:color w:val="313131"/>
          <w:lang w:eastAsia="en-AU"/>
        </w:rPr>
        <w:t xml:space="preserve"> for Commonwealth purposes</w:t>
      </w:r>
      <w:r w:rsidRPr="00DB01DB">
        <w:rPr>
          <w:rFonts w:cstheme="minorHAnsi"/>
          <w:b/>
          <w:bCs/>
          <w:color w:val="313131"/>
          <w:lang w:eastAsia="en-AU"/>
        </w:rPr>
        <w:t xml:space="preserve">, including assessment of proposals, should be undertaken by relevant Departments.  </w:t>
      </w:r>
    </w:p>
    <w:p w14:paraId="16CD94A4" w14:textId="77777777" w:rsidR="00DB01DB" w:rsidRPr="00DB01DB" w:rsidRDefault="00DB01DB" w:rsidP="000C029B">
      <w:pPr>
        <w:pStyle w:val="ListParagraph"/>
        <w:spacing w:after="0" w:line="240" w:lineRule="auto"/>
        <w:rPr>
          <w:rFonts w:cstheme="minorHAnsi"/>
          <w:b/>
          <w:bCs/>
          <w:color w:val="313131"/>
          <w:lang w:eastAsia="en-AU"/>
        </w:rPr>
      </w:pPr>
    </w:p>
    <w:p w14:paraId="71434CB5" w14:textId="67CC0F19" w:rsidR="00566DA7" w:rsidRDefault="00E14698" w:rsidP="000C029B">
      <w:pPr>
        <w:pStyle w:val="ListParagraph"/>
        <w:numPr>
          <w:ilvl w:val="0"/>
          <w:numId w:val="10"/>
        </w:numPr>
        <w:spacing w:after="0" w:line="240" w:lineRule="auto"/>
        <w:ind w:left="720"/>
        <w:rPr>
          <w:rFonts w:cstheme="minorHAnsi"/>
          <w:b/>
          <w:bCs/>
          <w:color w:val="313131"/>
          <w:lang w:eastAsia="en-AU"/>
        </w:rPr>
      </w:pPr>
      <w:r w:rsidRPr="00DB01DB">
        <w:rPr>
          <w:rFonts w:cstheme="minorHAnsi"/>
          <w:b/>
          <w:bCs/>
          <w:color w:val="313131"/>
          <w:lang w:eastAsia="en-AU"/>
        </w:rPr>
        <w:t>Functions of advising the Commonwealth on infrastructure for other purposes</w:t>
      </w:r>
      <w:r w:rsidR="00566DA7" w:rsidRPr="00DB01DB">
        <w:rPr>
          <w:rFonts w:cstheme="minorHAnsi"/>
          <w:b/>
          <w:bCs/>
          <w:color w:val="313131"/>
          <w:lang w:eastAsia="en-AU"/>
        </w:rPr>
        <w:t xml:space="preserve"> </w:t>
      </w:r>
      <w:r w:rsidRPr="00DB01DB">
        <w:rPr>
          <w:rFonts w:cstheme="minorHAnsi"/>
          <w:b/>
          <w:bCs/>
          <w:color w:val="313131"/>
          <w:lang w:eastAsia="en-AU"/>
        </w:rPr>
        <w:t>should be undertaken by the Productivity Commission</w:t>
      </w:r>
      <w:r w:rsidR="00566DA7" w:rsidRPr="00DB01DB">
        <w:rPr>
          <w:rFonts w:cstheme="minorHAnsi"/>
          <w:b/>
          <w:bCs/>
          <w:color w:val="313131"/>
          <w:lang w:eastAsia="en-AU"/>
        </w:rPr>
        <w:t>.</w:t>
      </w:r>
    </w:p>
    <w:p w14:paraId="1A6C22C7" w14:textId="77777777" w:rsidR="00DB01DB" w:rsidRPr="00DB01DB" w:rsidRDefault="00DB01DB" w:rsidP="000C029B">
      <w:pPr>
        <w:spacing w:after="0" w:line="240" w:lineRule="auto"/>
        <w:rPr>
          <w:rFonts w:cstheme="minorHAnsi"/>
          <w:b/>
          <w:bCs/>
          <w:color w:val="313131"/>
          <w:lang w:eastAsia="en-AU"/>
        </w:rPr>
      </w:pPr>
    </w:p>
    <w:p w14:paraId="76BB1028" w14:textId="2E141E3E" w:rsidR="00E14698" w:rsidRDefault="00566DA7" w:rsidP="000C029B">
      <w:pPr>
        <w:pStyle w:val="ListParagraph"/>
        <w:numPr>
          <w:ilvl w:val="0"/>
          <w:numId w:val="10"/>
        </w:numPr>
        <w:spacing w:after="0" w:line="240" w:lineRule="auto"/>
        <w:ind w:left="720"/>
        <w:rPr>
          <w:rFonts w:cstheme="minorHAnsi"/>
          <w:b/>
          <w:bCs/>
          <w:color w:val="313131"/>
          <w:lang w:eastAsia="en-AU"/>
        </w:rPr>
      </w:pPr>
      <w:r w:rsidRPr="00DB01DB">
        <w:rPr>
          <w:rFonts w:cstheme="minorHAnsi"/>
          <w:b/>
          <w:bCs/>
          <w:color w:val="313131"/>
          <w:lang w:eastAsia="en-AU"/>
        </w:rPr>
        <w:t>Proposals including other than Commonwealth purposes</w:t>
      </w:r>
      <w:r w:rsidR="00E14698" w:rsidRPr="00DB01DB">
        <w:rPr>
          <w:rFonts w:cstheme="minorHAnsi"/>
          <w:b/>
          <w:bCs/>
          <w:color w:val="313131"/>
          <w:lang w:eastAsia="en-AU"/>
        </w:rPr>
        <w:t xml:space="preserve"> </w:t>
      </w:r>
      <w:r w:rsidRPr="00DB01DB">
        <w:rPr>
          <w:rFonts w:cstheme="minorHAnsi"/>
          <w:b/>
          <w:bCs/>
          <w:color w:val="313131"/>
          <w:lang w:eastAsia="en-AU"/>
        </w:rPr>
        <w:t xml:space="preserve">should be individually assessed in </w:t>
      </w:r>
      <w:r w:rsidR="000D4AD6">
        <w:rPr>
          <w:rFonts w:cstheme="minorHAnsi"/>
          <w:b/>
          <w:bCs/>
          <w:color w:val="313131"/>
          <w:lang w:eastAsia="en-AU"/>
        </w:rPr>
        <w:t>a</w:t>
      </w:r>
      <w:r w:rsidRPr="00DB01DB">
        <w:rPr>
          <w:rFonts w:cstheme="minorHAnsi"/>
          <w:b/>
          <w:bCs/>
          <w:color w:val="313131"/>
          <w:lang w:eastAsia="en-AU"/>
        </w:rPr>
        <w:t xml:space="preserve">n </w:t>
      </w:r>
      <w:r w:rsidR="00E14698" w:rsidRPr="00DB01DB">
        <w:rPr>
          <w:rFonts w:cstheme="minorHAnsi"/>
          <w:b/>
          <w:bCs/>
          <w:color w:val="313131"/>
          <w:lang w:eastAsia="en-AU"/>
        </w:rPr>
        <w:t xml:space="preserve">open public </w:t>
      </w:r>
      <w:r w:rsidRPr="00DB01DB">
        <w:rPr>
          <w:rFonts w:cstheme="minorHAnsi"/>
          <w:b/>
          <w:bCs/>
          <w:color w:val="313131"/>
          <w:lang w:eastAsia="en-AU"/>
        </w:rPr>
        <w:t>inquiry led by a Productivity Commissioner</w:t>
      </w:r>
      <w:r w:rsidR="00E14698" w:rsidRPr="00DB01DB">
        <w:rPr>
          <w:rFonts w:cstheme="minorHAnsi"/>
          <w:b/>
          <w:bCs/>
          <w:color w:val="313131"/>
          <w:lang w:eastAsia="en-AU"/>
        </w:rPr>
        <w:t>.</w:t>
      </w:r>
    </w:p>
    <w:p w14:paraId="42EA1E1E" w14:textId="77777777" w:rsidR="00DB01DB" w:rsidRPr="00DB01DB" w:rsidRDefault="00DB01DB" w:rsidP="000C029B">
      <w:pPr>
        <w:spacing w:after="0" w:line="240" w:lineRule="auto"/>
        <w:rPr>
          <w:rFonts w:cstheme="minorHAnsi"/>
          <w:b/>
          <w:bCs/>
          <w:color w:val="313131"/>
          <w:lang w:eastAsia="en-AU"/>
        </w:rPr>
      </w:pPr>
    </w:p>
    <w:p w14:paraId="54657667" w14:textId="582DBA71" w:rsidR="00E14698" w:rsidRPr="00DB01DB" w:rsidRDefault="00566DA7" w:rsidP="000C029B">
      <w:pPr>
        <w:pStyle w:val="ListParagraph"/>
        <w:numPr>
          <w:ilvl w:val="0"/>
          <w:numId w:val="10"/>
        </w:numPr>
        <w:spacing w:after="0" w:line="240" w:lineRule="auto"/>
        <w:ind w:left="720"/>
        <w:rPr>
          <w:rFonts w:cstheme="minorHAnsi"/>
          <w:b/>
          <w:bCs/>
          <w:color w:val="313131"/>
          <w:lang w:eastAsia="en-AU"/>
        </w:rPr>
      </w:pPr>
      <w:r w:rsidRPr="00DB01DB">
        <w:rPr>
          <w:rFonts w:cstheme="minorHAnsi"/>
          <w:b/>
          <w:bCs/>
          <w:color w:val="313131"/>
          <w:lang w:eastAsia="en-AU"/>
        </w:rPr>
        <w:t>L</w:t>
      </w:r>
      <w:r w:rsidR="00E14698" w:rsidRPr="00DB01DB">
        <w:rPr>
          <w:rFonts w:cstheme="minorHAnsi"/>
          <w:b/>
          <w:bCs/>
          <w:color w:val="313131"/>
          <w:lang w:eastAsia="en-AU"/>
        </w:rPr>
        <w:t>egislation should be amended to abolish Infrastructure Australia, with functions transferred as per (1) and (2) above.</w:t>
      </w:r>
    </w:p>
    <w:p w14:paraId="10338287" w14:textId="77777777" w:rsidR="00734339" w:rsidRDefault="00734339" w:rsidP="000C029B">
      <w:pPr>
        <w:spacing w:after="0" w:line="240" w:lineRule="auto"/>
      </w:pPr>
    </w:p>
    <w:p w14:paraId="4CAFD505" w14:textId="14434AB2" w:rsidR="00DB01DB" w:rsidRDefault="00DB01DB" w:rsidP="000C029B">
      <w:pPr>
        <w:spacing w:after="0" w:line="240" w:lineRule="auto"/>
      </w:pPr>
      <w:r>
        <w:t>Reasons follow</w:t>
      </w:r>
      <w:r w:rsidR="00A96819">
        <w:t xml:space="preserve"> under</w:t>
      </w:r>
      <w:r>
        <w:t>:</w:t>
      </w:r>
    </w:p>
    <w:p w14:paraId="58E143C7" w14:textId="37A7892D" w:rsidR="00DB01DB" w:rsidRDefault="00734339" w:rsidP="000C029B">
      <w:pPr>
        <w:spacing w:after="0" w:line="240" w:lineRule="auto"/>
      </w:pPr>
      <w:r>
        <w:t>1.</w:t>
      </w:r>
      <w:r>
        <w:tab/>
      </w:r>
      <w:r w:rsidR="00793105">
        <w:t>A</w:t>
      </w:r>
      <w:r w:rsidR="00DB01DB">
        <w:t>dvisory principles</w:t>
      </w:r>
    </w:p>
    <w:p w14:paraId="3C9845F6" w14:textId="647E1E72" w:rsidR="00DB01DB" w:rsidRDefault="00734339" w:rsidP="000C029B">
      <w:pPr>
        <w:spacing w:after="0" w:line="240" w:lineRule="auto"/>
      </w:pPr>
      <w:r>
        <w:t>2.</w:t>
      </w:r>
      <w:r>
        <w:tab/>
      </w:r>
      <w:r w:rsidR="000C029B">
        <w:t>Infrastructure a</w:t>
      </w:r>
      <w:r w:rsidR="00DB01DB">
        <w:t>dvice</w:t>
      </w:r>
    </w:p>
    <w:p w14:paraId="29AEA036" w14:textId="47B3566C" w:rsidR="00DB01DB" w:rsidRDefault="00734339" w:rsidP="000C029B">
      <w:pPr>
        <w:spacing w:after="0" w:line="240" w:lineRule="auto"/>
      </w:pPr>
      <w:r>
        <w:t>3.</w:t>
      </w:r>
      <w:r>
        <w:tab/>
      </w:r>
      <w:r w:rsidR="00DB01DB">
        <w:t xml:space="preserve">The </w:t>
      </w:r>
      <w:r>
        <w:t>o</w:t>
      </w:r>
      <w:r w:rsidR="00DB01DB">
        <w:t>riginal Infrastructure Australia</w:t>
      </w:r>
    </w:p>
    <w:p w14:paraId="7799C5A8" w14:textId="72F6D563" w:rsidR="00734339" w:rsidRDefault="00734339" w:rsidP="000C029B">
      <w:pPr>
        <w:spacing w:after="0" w:line="240" w:lineRule="auto"/>
      </w:pPr>
      <w:r>
        <w:t>4.</w:t>
      </w:r>
      <w:r>
        <w:tab/>
        <w:t>The changed Infrastructure Australia</w:t>
      </w:r>
    </w:p>
    <w:p w14:paraId="6F15DC3F" w14:textId="09BE562C" w:rsidR="00E327E0" w:rsidRDefault="00734339" w:rsidP="000C029B">
      <w:pPr>
        <w:spacing w:after="0" w:line="240" w:lineRule="auto"/>
      </w:pPr>
      <w:r>
        <w:t>5.</w:t>
      </w:r>
      <w:r>
        <w:tab/>
        <w:t>Conclusions</w:t>
      </w:r>
    </w:p>
    <w:p w14:paraId="65FC9286" w14:textId="0E0716A9" w:rsidR="00A7457F" w:rsidRDefault="00A7457F" w:rsidP="000C029B">
      <w:pPr>
        <w:spacing w:after="0" w:line="240" w:lineRule="auto"/>
      </w:pPr>
      <w:r>
        <w:t>6.</w:t>
      </w:r>
      <w:r>
        <w:tab/>
        <w:t>Other comments</w:t>
      </w:r>
    </w:p>
    <w:p w14:paraId="40FD08FE" w14:textId="741EC71B" w:rsidR="00D51674" w:rsidRDefault="00D51674" w:rsidP="000C029B">
      <w:pPr>
        <w:spacing w:after="0" w:line="240" w:lineRule="auto"/>
      </w:pPr>
    </w:p>
    <w:p w14:paraId="5BC9470D" w14:textId="15CE1D4E" w:rsidR="00D51674" w:rsidRDefault="00D51674" w:rsidP="000C029B">
      <w:pPr>
        <w:spacing w:after="0" w:line="240" w:lineRule="auto"/>
      </w:pPr>
      <w:r>
        <w:t>Comments and corrections would be welcomed.</w:t>
      </w:r>
    </w:p>
    <w:p w14:paraId="54061BCA" w14:textId="70B66113" w:rsidR="00734339" w:rsidRDefault="00734339" w:rsidP="000C029B">
      <w:pPr>
        <w:spacing w:after="0" w:line="240" w:lineRule="auto"/>
        <w:rPr>
          <w:rFonts w:eastAsia="Times New Roman" w:cs="Times New Roman"/>
          <w:b/>
          <w:bCs/>
          <w:sz w:val="32"/>
          <w:szCs w:val="36"/>
          <w:lang w:eastAsia="en-AU"/>
        </w:rPr>
      </w:pPr>
    </w:p>
    <w:p w14:paraId="0DF6D7DE" w14:textId="0EA65939" w:rsidR="00DB01DB" w:rsidRDefault="00734339" w:rsidP="000C029B">
      <w:pPr>
        <w:pStyle w:val="Heading2"/>
        <w:spacing w:before="0" w:beforeAutospacing="0" w:after="0" w:afterAutospacing="0"/>
      </w:pPr>
      <w:bookmarkStart w:id="1" w:name="_Toc111195420"/>
      <w:r w:rsidRPr="00734339">
        <w:rPr>
          <w:b w:val="0"/>
          <w:bCs w:val="0"/>
        </w:rPr>
        <w:t>1.</w:t>
      </w:r>
      <w:r>
        <w:tab/>
      </w:r>
      <w:r w:rsidR="00DB01DB">
        <w:t>Advis</w:t>
      </w:r>
      <w:r>
        <w:t>ory principles</w:t>
      </w:r>
      <w:bookmarkEnd w:id="1"/>
    </w:p>
    <w:p w14:paraId="13B1121C" w14:textId="48146B4B" w:rsidR="00AD19BA" w:rsidRDefault="00A96819" w:rsidP="000C029B">
      <w:pPr>
        <w:spacing w:after="0" w:line="240" w:lineRule="auto"/>
        <w:rPr>
          <w:rFonts w:cstheme="minorHAnsi"/>
          <w:color w:val="313131"/>
          <w:lang w:eastAsia="en-AU"/>
        </w:rPr>
      </w:pPr>
      <w:r>
        <w:rPr>
          <w:rFonts w:cstheme="minorHAnsi"/>
          <w:color w:val="313131"/>
          <w:lang w:eastAsia="en-AU"/>
        </w:rPr>
        <w:t>The primary principle for advising government is</w:t>
      </w:r>
      <w:r w:rsidR="004F72D1">
        <w:rPr>
          <w:rFonts w:cstheme="minorHAnsi"/>
          <w:color w:val="313131"/>
          <w:lang w:eastAsia="en-AU"/>
        </w:rPr>
        <w:t>:</w:t>
      </w:r>
      <w:r>
        <w:rPr>
          <w:rFonts w:cstheme="minorHAnsi"/>
          <w:color w:val="313131"/>
          <w:lang w:eastAsia="en-AU"/>
        </w:rPr>
        <w:t xml:space="preserve"> </w:t>
      </w:r>
      <w:r w:rsidR="00EE314D">
        <w:rPr>
          <w:rFonts w:cstheme="minorHAnsi"/>
          <w:color w:val="313131"/>
          <w:lang w:eastAsia="en-AU"/>
        </w:rPr>
        <w:t xml:space="preserve">official advice should not come from </w:t>
      </w:r>
      <w:r w:rsidR="004F72D1">
        <w:rPr>
          <w:rFonts w:cstheme="minorHAnsi"/>
          <w:color w:val="313131"/>
          <w:lang w:eastAsia="en-AU"/>
        </w:rPr>
        <w:t>potential beneficiaries</w:t>
      </w:r>
      <w:r w:rsidR="00EE314D">
        <w:rPr>
          <w:rFonts w:cstheme="minorHAnsi"/>
          <w:color w:val="313131"/>
          <w:lang w:eastAsia="en-AU"/>
        </w:rPr>
        <w:t xml:space="preserve">.  </w:t>
      </w:r>
      <w:r w:rsidR="00384200">
        <w:rPr>
          <w:rFonts w:cstheme="minorHAnsi"/>
          <w:color w:val="313131"/>
          <w:lang w:eastAsia="en-AU"/>
        </w:rPr>
        <w:t xml:space="preserve"> </w:t>
      </w:r>
      <w:r w:rsidR="00AD19BA">
        <w:rPr>
          <w:rFonts w:cstheme="minorHAnsi"/>
          <w:color w:val="313131"/>
          <w:lang w:eastAsia="en-AU"/>
        </w:rPr>
        <w:t xml:space="preserve">This arises from the doctrine of avoidance of conflicts of public duty and </w:t>
      </w:r>
      <w:r w:rsidR="004827E1">
        <w:rPr>
          <w:rFonts w:cstheme="minorHAnsi"/>
          <w:color w:val="313131"/>
          <w:lang w:eastAsia="en-AU"/>
        </w:rPr>
        <w:t>private</w:t>
      </w:r>
      <w:r w:rsidR="00AD19BA">
        <w:rPr>
          <w:rFonts w:cstheme="minorHAnsi"/>
          <w:color w:val="313131"/>
          <w:lang w:eastAsia="en-AU"/>
        </w:rPr>
        <w:t xml:space="preserve"> interest from those occupying a position of public trust.</w:t>
      </w:r>
    </w:p>
    <w:p w14:paraId="1304E90C" w14:textId="77777777" w:rsidR="00AD19BA" w:rsidRDefault="00AD19BA" w:rsidP="000C029B">
      <w:pPr>
        <w:spacing w:after="0" w:line="240" w:lineRule="auto"/>
        <w:rPr>
          <w:rFonts w:cstheme="minorHAnsi"/>
          <w:color w:val="313131"/>
          <w:lang w:eastAsia="en-AU"/>
        </w:rPr>
      </w:pPr>
    </w:p>
    <w:p w14:paraId="1AC698A6" w14:textId="74A685FC" w:rsidR="00A96819" w:rsidRDefault="00947ECE" w:rsidP="000C029B">
      <w:pPr>
        <w:spacing w:after="0" w:line="240" w:lineRule="auto"/>
        <w:rPr>
          <w:rFonts w:cstheme="minorHAnsi"/>
          <w:color w:val="313131"/>
          <w:lang w:eastAsia="en-AU"/>
        </w:rPr>
      </w:pPr>
      <w:r>
        <w:rPr>
          <w:rFonts w:cstheme="minorHAnsi"/>
          <w:color w:val="313131"/>
          <w:lang w:eastAsia="en-AU"/>
        </w:rPr>
        <w:t xml:space="preserve">For advice to the Commonwealth </w:t>
      </w:r>
      <w:r w:rsidR="00640F1E">
        <w:rPr>
          <w:rFonts w:cstheme="minorHAnsi"/>
          <w:color w:val="313131"/>
          <w:lang w:eastAsia="en-AU"/>
        </w:rPr>
        <w:t>on</w:t>
      </w:r>
      <w:r>
        <w:rPr>
          <w:rFonts w:cstheme="minorHAnsi"/>
          <w:color w:val="313131"/>
          <w:lang w:eastAsia="en-AU"/>
        </w:rPr>
        <w:t xml:space="preserve"> infrastructure</w:t>
      </w:r>
      <w:r w:rsidR="00920040">
        <w:rPr>
          <w:rFonts w:cstheme="minorHAnsi"/>
          <w:color w:val="313131"/>
          <w:lang w:eastAsia="en-AU"/>
        </w:rPr>
        <w:t>,</w:t>
      </w:r>
      <w:r>
        <w:rPr>
          <w:rFonts w:cstheme="minorHAnsi"/>
          <w:color w:val="313131"/>
          <w:lang w:eastAsia="en-AU"/>
        </w:rPr>
        <w:t xml:space="preserve"> potential beneficiaries include</w:t>
      </w:r>
      <w:r w:rsidR="00920040">
        <w:rPr>
          <w:rFonts w:cstheme="minorHAnsi"/>
          <w:color w:val="313131"/>
          <w:lang w:eastAsia="en-AU"/>
        </w:rPr>
        <w:t>:</w:t>
      </w:r>
      <w:r w:rsidR="00AD19BA">
        <w:rPr>
          <w:rFonts w:cstheme="minorHAnsi"/>
          <w:color w:val="313131"/>
          <w:lang w:eastAsia="en-AU"/>
        </w:rPr>
        <w:t xml:space="preserve"> people engaged in associated industries</w:t>
      </w:r>
      <w:r w:rsidR="00920040">
        <w:rPr>
          <w:rFonts w:cstheme="minorHAnsi"/>
          <w:color w:val="313131"/>
          <w:lang w:eastAsia="en-AU"/>
        </w:rPr>
        <w:t>;</w:t>
      </w:r>
      <w:r w:rsidR="00AD19BA">
        <w:rPr>
          <w:rFonts w:cstheme="minorHAnsi"/>
          <w:color w:val="313131"/>
          <w:lang w:eastAsia="en-AU"/>
        </w:rPr>
        <w:t xml:space="preserve"> representatives – such as officials - from other tiers of government.</w:t>
      </w:r>
      <w:r>
        <w:rPr>
          <w:rFonts w:cstheme="minorHAnsi"/>
          <w:color w:val="313131"/>
          <w:lang w:eastAsia="en-AU"/>
        </w:rPr>
        <w:t xml:space="preserve"> </w:t>
      </w:r>
    </w:p>
    <w:p w14:paraId="3EF357F1" w14:textId="77777777" w:rsidR="004F72D1" w:rsidRDefault="004F72D1" w:rsidP="000C029B">
      <w:pPr>
        <w:spacing w:after="0" w:line="240" w:lineRule="auto"/>
        <w:rPr>
          <w:rFonts w:cstheme="minorHAnsi"/>
          <w:color w:val="313131"/>
          <w:lang w:eastAsia="en-AU"/>
        </w:rPr>
      </w:pPr>
    </w:p>
    <w:p w14:paraId="3D7CC5BA" w14:textId="1E787B63" w:rsidR="00D51D81" w:rsidRDefault="00D51D81" w:rsidP="000C029B">
      <w:pPr>
        <w:spacing w:after="0" w:line="240" w:lineRule="auto"/>
        <w:rPr>
          <w:rFonts w:cstheme="minorHAnsi"/>
          <w:color w:val="313131"/>
          <w:lang w:eastAsia="en-AU"/>
        </w:rPr>
      </w:pPr>
      <w:r>
        <w:rPr>
          <w:rFonts w:cstheme="minorHAnsi"/>
          <w:color w:val="313131"/>
          <w:lang w:eastAsia="en-AU"/>
        </w:rPr>
        <w:t>As public monies can only be dispensed with authorisation of Parliament, p</w:t>
      </w:r>
      <w:r>
        <w:rPr>
          <w:rFonts w:cstheme="minorHAnsi"/>
          <w:color w:val="313131"/>
          <w:lang w:eastAsia="en-AU"/>
        </w:rPr>
        <w:t xml:space="preserve">roposals seeking </w:t>
      </w:r>
      <w:r>
        <w:rPr>
          <w:rFonts w:cstheme="minorHAnsi"/>
          <w:color w:val="313131"/>
          <w:lang w:eastAsia="en-AU"/>
        </w:rPr>
        <w:t>such</w:t>
      </w:r>
      <w:r>
        <w:rPr>
          <w:rFonts w:cstheme="minorHAnsi"/>
          <w:color w:val="313131"/>
          <w:lang w:eastAsia="en-AU"/>
        </w:rPr>
        <w:t xml:space="preserve"> monies from the Commonwealth should be made </w:t>
      </w:r>
      <w:r>
        <w:rPr>
          <w:rFonts w:cstheme="minorHAnsi"/>
          <w:color w:val="313131"/>
          <w:lang w:eastAsia="en-AU"/>
        </w:rPr>
        <w:t>available to the Parliament and, therefore, the public</w:t>
      </w:r>
      <w:r>
        <w:rPr>
          <w:rFonts w:cstheme="minorHAnsi"/>
          <w:color w:val="313131"/>
          <w:lang w:eastAsia="en-AU"/>
        </w:rPr>
        <w:t xml:space="preserve">.  </w:t>
      </w:r>
    </w:p>
    <w:p w14:paraId="34139A0C" w14:textId="77777777" w:rsidR="00A94D4E" w:rsidRDefault="00A94D4E" w:rsidP="000C029B">
      <w:pPr>
        <w:spacing w:after="0" w:line="240" w:lineRule="auto"/>
        <w:rPr>
          <w:rFonts w:cstheme="minorHAnsi"/>
          <w:color w:val="313131"/>
          <w:lang w:eastAsia="en-AU"/>
        </w:rPr>
      </w:pPr>
    </w:p>
    <w:p w14:paraId="6963A704" w14:textId="768F6810" w:rsidR="00A94D4E" w:rsidRDefault="00A94D4E" w:rsidP="000C029B">
      <w:pPr>
        <w:spacing w:after="0" w:line="240" w:lineRule="auto"/>
        <w:rPr>
          <w:rFonts w:cstheme="minorHAnsi"/>
          <w:color w:val="313131"/>
          <w:lang w:eastAsia="en-AU"/>
        </w:rPr>
      </w:pPr>
      <w:r>
        <w:rPr>
          <w:rFonts w:cstheme="minorHAnsi"/>
          <w:color w:val="313131"/>
          <w:lang w:eastAsia="en-AU"/>
        </w:rPr>
        <w:t xml:space="preserve">The relevant audience for advice on spending for Commonwealth purposes is the Government.  For other purposes it is </w:t>
      </w:r>
      <w:r w:rsidR="00920040">
        <w:rPr>
          <w:rFonts w:cstheme="minorHAnsi"/>
          <w:color w:val="313131"/>
          <w:lang w:eastAsia="en-AU"/>
        </w:rPr>
        <w:t>P</w:t>
      </w:r>
      <w:r>
        <w:rPr>
          <w:rFonts w:cstheme="minorHAnsi"/>
          <w:color w:val="313131"/>
          <w:lang w:eastAsia="en-AU"/>
        </w:rPr>
        <w:t>arliament.</w:t>
      </w:r>
    </w:p>
    <w:p w14:paraId="5DF6D6F8" w14:textId="6D775C8D" w:rsidR="00A94D4E" w:rsidRDefault="00A94D4E" w:rsidP="000C029B">
      <w:pPr>
        <w:spacing w:after="0" w:line="240" w:lineRule="auto"/>
        <w:rPr>
          <w:rFonts w:cstheme="minorHAnsi"/>
          <w:color w:val="313131"/>
          <w:lang w:eastAsia="en-AU"/>
        </w:rPr>
      </w:pPr>
    </w:p>
    <w:p w14:paraId="17267E11" w14:textId="5FB7212C" w:rsidR="0053298D" w:rsidRDefault="0053298D" w:rsidP="000C029B">
      <w:pPr>
        <w:spacing w:after="0" w:line="240" w:lineRule="auto"/>
        <w:rPr>
          <w:rFonts w:cstheme="minorHAnsi"/>
          <w:color w:val="313131"/>
          <w:lang w:eastAsia="en-AU"/>
        </w:rPr>
      </w:pPr>
      <w:r>
        <w:rPr>
          <w:rFonts w:cstheme="minorHAnsi"/>
          <w:color w:val="313131"/>
          <w:lang w:eastAsia="en-AU"/>
        </w:rPr>
        <w:t>Departments advise and represent the Government.  They should advise the Government on its infrastructure</w:t>
      </w:r>
      <w:r w:rsidR="00187782">
        <w:rPr>
          <w:rFonts w:cstheme="minorHAnsi"/>
          <w:color w:val="313131"/>
          <w:lang w:eastAsia="en-AU"/>
        </w:rPr>
        <w:t xml:space="preserve"> </w:t>
      </w:r>
      <w:r w:rsidR="00EB2227">
        <w:rPr>
          <w:rFonts w:cstheme="minorHAnsi"/>
          <w:color w:val="313131"/>
          <w:lang w:eastAsia="en-AU"/>
        </w:rPr>
        <w:t xml:space="preserve">discretions </w:t>
      </w:r>
      <w:r w:rsidR="004827E1">
        <w:rPr>
          <w:rFonts w:cstheme="minorHAnsi"/>
          <w:color w:val="313131"/>
          <w:lang w:eastAsia="en-AU"/>
        </w:rPr>
        <w:t>i.e.,</w:t>
      </w:r>
      <w:r w:rsidR="00187782">
        <w:rPr>
          <w:rFonts w:cstheme="minorHAnsi"/>
          <w:color w:val="313131"/>
          <w:lang w:eastAsia="en-AU"/>
        </w:rPr>
        <w:t xml:space="preserve"> infrastructure relating to Commonwealth purposes</w:t>
      </w:r>
      <w:r>
        <w:rPr>
          <w:rFonts w:cstheme="minorHAnsi"/>
          <w:color w:val="313131"/>
          <w:lang w:eastAsia="en-AU"/>
        </w:rPr>
        <w:t>.</w:t>
      </w:r>
      <w:r>
        <w:rPr>
          <w:rStyle w:val="FootnoteReference"/>
          <w:rFonts w:cstheme="minorHAnsi"/>
          <w:color w:val="313131"/>
          <w:lang w:eastAsia="en-AU"/>
        </w:rPr>
        <w:footnoteReference w:id="1"/>
      </w:r>
      <w:r>
        <w:rPr>
          <w:rFonts w:cstheme="minorHAnsi"/>
          <w:color w:val="313131"/>
          <w:lang w:eastAsia="en-AU"/>
        </w:rPr>
        <w:t xml:space="preserve">  </w:t>
      </w:r>
    </w:p>
    <w:p w14:paraId="3B46D5BB" w14:textId="77777777" w:rsidR="0053298D" w:rsidRDefault="0053298D" w:rsidP="000C029B">
      <w:pPr>
        <w:spacing w:after="0" w:line="240" w:lineRule="auto"/>
        <w:rPr>
          <w:rFonts w:cstheme="minorHAnsi"/>
          <w:color w:val="313131"/>
          <w:lang w:eastAsia="en-AU"/>
        </w:rPr>
      </w:pPr>
    </w:p>
    <w:p w14:paraId="0F6EAC3E" w14:textId="0F223692" w:rsidR="00D024A0" w:rsidRDefault="00187782" w:rsidP="000C029B">
      <w:pPr>
        <w:spacing w:after="0" w:line="240" w:lineRule="auto"/>
        <w:rPr>
          <w:rFonts w:cstheme="minorHAnsi"/>
          <w:color w:val="313131"/>
          <w:lang w:eastAsia="en-AU"/>
        </w:rPr>
      </w:pPr>
      <w:r>
        <w:rPr>
          <w:rFonts w:cstheme="minorHAnsi"/>
          <w:color w:val="313131"/>
          <w:lang w:eastAsia="en-AU"/>
        </w:rPr>
        <w:t xml:space="preserve">They may also advise the </w:t>
      </w:r>
      <w:r w:rsidR="0053298D">
        <w:rPr>
          <w:rFonts w:cstheme="minorHAnsi"/>
          <w:color w:val="313131"/>
          <w:lang w:eastAsia="en-AU"/>
        </w:rPr>
        <w:t xml:space="preserve">Government </w:t>
      </w:r>
      <w:r>
        <w:rPr>
          <w:rFonts w:cstheme="minorHAnsi"/>
          <w:color w:val="313131"/>
          <w:lang w:eastAsia="en-AU"/>
        </w:rPr>
        <w:t xml:space="preserve">on other infrastructure, for example on conditions to be </w:t>
      </w:r>
      <w:r w:rsidR="00920040">
        <w:rPr>
          <w:rFonts w:cstheme="minorHAnsi"/>
          <w:color w:val="313131"/>
          <w:lang w:eastAsia="en-AU"/>
        </w:rPr>
        <w:t xml:space="preserve">proposed to the Senate for </w:t>
      </w:r>
      <w:r>
        <w:rPr>
          <w:rFonts w:cstheme="minorHAnsi"/>
          <w:color w:val="313131"/>
          <w:lang w:eastAsia="en-AU"/>
        </w:rPr>
        <w:t>attach</w:t>
      </w:r>
      <w:r w:rsidR="00920040">
        <w:rPr>
          <w:rFonts w:cstheme="minorHAnsi"/>
          <w:color w:val="313131"/>
          <w:lang w:eastAsia="en-AU"/>
        </w:rPr>
        <w:t>ment</w:t>
      </w:r>
      <w:r>
        <w:rPr>
          <w:rFonts w:cstheme="minorHAnsi"/>
          <w:color w:val="313131"/>
          <w:lang w:eastAsia="en-AU"/>
        </w:rPr>
        <w:t xml:space="preserve"> to State grants.</w:t>
      </w:r>
      <w:r w:rsidR="00D51D81">
        <w:rPr>
          <w:rStyle w:val="FootnoteReference"/>
          <w:rFonts w:cstheme="minorHAnsi"/>
          <w:color w:val="313131"/>
          <w:lang w:eastAsia="en-AU"/>
        </w:rPr>
        <w:footnoteReference w:id="2"/>
      </w:r>
      <w:r>
        <w:rPr>
          <w:rFonts w:cstheme="minorHAnsi"/>
          <w:color w:val="313131"/>
          <w:lang w:eastAsia="en-AU"/>
        </w:rPr>
        <w:t xml:space="preserve">    </w:t>
      </w:r>
    </w:p>
    <w:p w14:paraId="738742FB" w14:textId="5F3B023C" w:rsidR="00D024A0" w:rsidRDefault="00D51D81" w:rsidP="000C029B">
      <w:pPr>
        <w:spacing w:after="0" w:line="240" w:lineRule="auto"/>
        <w:rPr>
          <w:rFonts w:cstheme="minorHAnsi"/>
          <w:color w:val="313131"/>
          <w:lang w:eastAsia="en-AU"/>
        </w:rPr>
      </w:pPr>
      <w:r>
        <w:rPr>
          <w:rFonts w:cstheme="minorHAnsi"/>
          <w:color w:val="313131"/>
          <w:lang w:eastAsia="en-AU"/>
        </w:rPr>
        <w:lastRenderedPageBreak/>
        <w:t>T</w:t>
      </w:r>
      <w:r w:rsidR="00D024A0">
        <w:rPr>
          <w:rFonts w:cstheme="minorHAnsi"/>
          <w:color w:val="313131"/>
          <w:lang w:eastAsia="en-AU"/>
        </w:rPr>
        <w:t>he Senate should be apprised of other possible views</w:t>
      </w:r>
      <w:r w:rsidR="00CB550F">
        <w:rPr>
          <w:rFonts w:cstheme="minorHAnsi"/>
          <w:color w:val="313131"/>
          <w:lang w:eastAsia="en-AU"/>
        </w:rPr>
        <w:t xml:space="preserve"> about conditions for State grants</w:t>
      </w:r>
      <w:r w:rsidR="00D024A0">
        <w:rPr>
          <w:rFonts w:cstheme="minorHAnsi"/>
          <w:color w:val="313131"/>
          <w:lang w:eastAsia="en-AU"/>
        </w:rPr>
        <w:t>.  Only a statutory authority can be sufficiently independent of the Government to provide such views.</w:t>
      </w:r>
    </w:p>
    <w:p w14:paraId="4F1B3E50" w14:textId="77777777" w:rsidR="00D024A0" w:rsidRDefault="00D024A0" w:rsidP="000C029B">
      <w:pPr>
        <w:spacing w:after="0" w:line="240" w:lineRule="auto"/>
        <w:rPr>
          <w:rFonts w:cstheme="minorHAnsi"/>
          <w:color w:val="313131"/>
          <w:lang w:eastAsia="en-AU"/>
        </w:rPr>
      </w:pPr>
    </w:p>
    <w:p w14:paraId="5C0863F3" w14:textId="4677D8E2" w:rsidR="00DE201A" w:rsidRDefault="00D024A0" w:rsidP="000C029B">
      <w:pPr>
        <w:spacing w:after="0" w:line="240" w:lineRule="auto"/>
        <w:rPr>
          <w:rFonts w:cstheme="minorHAnsi"/>
          <w:color w:val="313131"/>
          <w:lang w:eastAsia="en-AU"/>
        </w:rPr>
      </w:pPr>
      <w:r>
        <w:rPr>
          <w:rFonts w:cstheme="minorHAnsi"/>
          <w:color w:val="313131"/>
          <w:lang w:eastAsia="en-AU"/>
        </w:rPr>
        <w:t xml:space="preserve">At present Infrastructure Australia </w:t>
      </w:r>
      <w:r w:rsidR="00920040">
        <w:rPr>
          <w:rFonts w:cstheme="minorHAnsi"/>
          <w:color w:val="313131"/>
          <w:lang w:eastAsia="en-AU"/>
        </w:rPr>
        <w:t xml:space="preserve">does not </w:t>
      </w:r>
      <w:r>
        <w:rPr>
          <w:rFonts w:cstheme="minorHAnsi"/>
          <w:color w:val="313131"/>
          <w:lang w:eastAsia="en-AU"/>
        </w:rPr>
        <w:t xml:space="preserve">publish </w:t>
      </w:r>
      <w:r w:rsidR="00DE201A">
        <w:rPr>
          <w:rFonts w:cstheme="minorHAnsi"/>
          <w:color w:val="313131"/>
          <w:lang w:eastAsia="en-AU"/>
        </w:rPr>
        <w:t>proposals or assessments</w:t>
      </w:r>
      <w:r w:rsidR="00920040">
        <w:rPr>
          <w:rFonts w:cstheme="minorHAnsi"/>
          <w:color w:val="313131"/>
          <w:lang w:eastAsia="en-AU"/>
        </w:rPr>
        <w:t>.  It only publishes s</w:t>
      </w:r>
      <w:r w:rsidR="00DE201A">
        <w:rPr>
          <w:rFonts w:cstheme="minorHAnsi"/>
          <w:color w:val="313131"/>
          <w:lang w:eastAsia="en-AU"/>
        </w:rPr>
        <w:t xml:space="preserve">hort summaries of the latter.  </w:t>
      </w:r>
      <w:r w:rsidR="0005445D">
        <w:rPr>
          <w:rFonts w:cstheme="minorHAnsi"/>
          <w:color w:val="313131"/>
          <w:lang w:eastAsia="en-AU"/>
        </w:rPr>
        <w:t xml:space="preserve">The assessments are made without public hearings or submissions and drafts are not available for public debate or correction of factual matters.  Its board is </w:t>
      </w:r>
      <w:r w:rsidR="00381D79">
        <w:rPr>
          <w:rFonts w:cstheme="minorHAnsi"/>
          <w:color w:val="313131"/>
          <w:lang w:eastAsia="en-AU"/>
        </w:rPr>
        <w:t xml:space="preserve">collectively </w:t>
      </w:r>
      <w:r w:rsidR="0005445D">
        <w:rPr>
          <w:rFonts w:cstheme="minorHAnsi"/>
          <w:color w:val="313131"/>
          <w:lang w:eastAsia="en-AU"/>
        </w:rPr>
        <w:t>responsible for assessments</w:t>
      </w:r>
      <w:r w:rsidR="00DB01DB">
        <w:rPr>
          <w:rFonts w:cstheme="minorHAnsi"/>
          <w:color w:val="313131"/>
          <w:lang w:eastAsia="en-AU"/>
        </w:rPr>
        <w:t>.</w:t>
      </w:r>
    </w:p>
    <w:p w14:paraId="75A1EBDE" w14:textId="77777777" w:rsidR="00DE201A" w:rsidRDefault="00DE201A" w:rsidP="000C029B">
      <w:pPr>
        <w:spacing w:after="0" w:line="240" w:lineRule="auto"/>
        <w:rPr>
          <w:rFonts w:cstheme="minorHAnsi"/>
          <w:color w:val="313131"/>
          <w:lang w:eastAsia="en-AU"/>
        </w:rPr>
      </w:pPr>
    </w:p>
    <w:p w14:paraId="2F038C29" w14:textId="597C36AB" w:rsidR="00D8475A" w:rsidRDefault="00EB2227" w:rsidP="000C029B">
      <w:pPr>
        <w:spacing w:after="0" w:line="240" w:lineRule="auto"/>
        <w:rPr>
          <w:rFonts w:cstheme="minorHAnsi"/>
          <w:color w:val="313131"/>
          <w:lang w:eastAsia="en-AU"/>
        </w:rPr>
      </w:pPr>
      <w:r>
        <w:rPr>
          <w:rFonts w:cstheme="minorHAnsi"/>
          <w:color w:val="313131"/>
          <w:lang w:eastAsia="en-AU"/>
        </w:rPr>
        <w:t xml:space="preserve">An alternative approach </w:t>
      </w:r>
      <w:r w:rsidR="00F01785">
        <w:rPr>
          <w:rFonts w:cstheme="minorHAnsi"/>
          <w:color w:val="313131"/>
          <w:lang w:eastAsia="en-AU"/>
        </w:rPr>
        <w:t>of</w:t>
      </w:r>
      <w:r>
        <w:rPr>
          <w:rFonts w:cstheme="minorHAnsi"/>
          <w:color w:val="313131"/>
          <w:lang w:eastAsia="en-AU"/>
        </w:rPr>
        <w:t xml:space="preserve"> a statutory authority formulating advice is t</w:t>
      </w:r>
      <w:r w:rsidR="00DE201A">
        <w:rPr>
          <w:rFonts w:cstheme="minorHAnsi"/>
          <w:color w:val="313131"/>
          <w:lang w:eastAsia="en-AU"/>
        </w:rPr>
        <w:t>he Productivity Commission</w:t>
      </w:r>
      <w:r>
        <w:rPr>
          <w:rFonts w:cstheme="minorHAnsi"/>
          <w:color w:val="313131"/>
          <w:lang w:eastAsia="en-AU"/>
        </w:rPr>
        <w:t>’s</w:t>
      </w:r>
      <w:r w:rsidR="00DE201A">
        <w:rPr>
          <w:rFonts w:cstheme="minorHAnsi"/>
          <w:color w:val="313131"/>
          <w:lang w:eastAsia="en-AU"/>
        </w:rPr>
        <w:t xml:space="preserve"> public inquiries into economic and social matters.  These inquiries take public submissions and encourage debate </w:t>
      </w:r>
      <w:r w:rsidR="0005445D">
        <w:rPr>
          <w:rFonts w:cstheme="minorHAnsi"/>
          <w:color w:val="313131"/>
          <w:lang w:eastAsia="en-AU"/>
        </w:rPr>
        <w:t xml:space="preserve">and correction of facts and interpretations </w:t>
      </w:r>
      <w:r w:rsidR="00DE201A">
        <w:rPr>
          <w:rFonts w:cstheme="minorHAnsi"/>
          <w:color w:val="313131"/>
          <w:lang w:eastAsia="en-AU"/>
        </w:rPr>
        <w:t>including through public hearings and draft reports.</w:t>
      </w:r>
      <w:r w:rsidR="00DB01DB">
        <w:rPr>
          <w:rFonts w:cstheme="minorHAnsi"/>
          <w:color w:val="313131"/>
          <w:lang w:eastAsia="en-AU"/>
        </w:rPr>
        <w:t xml:space="preserve">  </w:t>
      </w:r>
      <w:r w:rsidR="0005445D">
        <w:rPr>
          <w:rFonts w:cstheme="minorHAnsi"/>
          <w:color w:val="313131"/>
          <w:lang w:eastAsia="en-AU"/>
        </w:rPr>
        <w:t xml:space="preserve">A full report is published.  </w:t>
      </w:r>
      <w:r w:rsidR="00DB01DB">
        <w:rPr>
          <w:rFonts w:cstheme="minorHAnsi"/>
          <w:color w:val="313131"/>
          <w:lang w:eastAsia="en-AU"/>
        </w:rPr>
        <w:t>A responsible Commissioner is identified for each matter.</w:t>
      </w:r>
    </w:p>
    <w:p w14:paraId="72CCD1F7" w14:textId="77777777" w:rsidR="00AE0D86" w:rsidRDefault="00AE0D86" w:rsidP="000C029B">
      <w:pPr>
        <w:pStyle w:val="Heading2"/>
        <w:spacing w:before="0" w:beforeAutospacing="0" w:after="0" w:afterAutospacing="0"/>
      </w:pPr>
      <w:bookmarkStart w:id="2" w:name="_Toc111195421"/>
    </w:p>
    <w:p w14:paraId="6D895D47" w14:textId="6DEB313D" w:rsidR="00AD19BA" w:rsidRDefault="00AD19BA" w:rsidP="000C029B">
      <w:pPr>
        <w:pStyle w:val="Heading2"/>
        <w:spacing w:before="0" w:beforeAutospacing="0" w:after="0" w:afterAutospacing="0"/>
      </w:pPr>
      <w:r>
        <w:t>2.</w:t>
      </w:r>
      <w:r>
        <w:tab/>
      </w:r>
      <w:r w:rsidR="000C029B">
        <w:t>I</w:t>
      </w:r>
      <w:r>
        <w:t>nfrastructure</w:t>
      </w:r>
      <w:r w:rsidR="000C029B">
        <w:t xml:space="preserve"> advice</w:t>
      </w:r>
      <w:bookmarkEnd w:id="2"/>
    </w:p>
    <w:p w14:paraId="7D16DC87" w14:textId="1F83543A" w:rsidR="00F12503" w:rsidRDefault="00F12503" w:rsidP="000C029B">
      <w:pPr>
        <w:spacing w:after="0" w:line="240" w:lineRule="auto"/>
        <w:rPr>
          <w:rFonts w:cstheme="minorHAnsi"/>
          <w:color w:val="313131"/>
          <w:lang w:eastAsia="en-AU"/>
        </w:rPr>
      </w:pPr>
      <w:r>
        <w:rPr>
          <w:rFonts w:cstheme="minorHAnsi"/>
          <w:color w:val="313131"/>
          <w:lang w:eastAsia="en-AU"/>
        </w:rPr>
        <w:t xml:space="preserve">Infrastructure differs from other goods and services </w:t>
      </w:r>
      <w:r w:rsidR="00793105">
        <w:rPr>
          <w:rFonts w:cstheme="minorHAnsi"/>
          <w:color w:val="313131"/>
          <w:lang w:eastAsia="en-AU"/>
        </w:rPr>
        <w:t>as:</w:t>
      </w:r>
      <w:r>
        <w:rPr>
          <w:rFonts w:cstheme="minorHAnsi"/>
          <w:color w:val="313131"/>
          <w:lang w:eastAsia="en-AU"/>
        </w:rPr>
        <w:t xml:space="preserve"> it can have pervasive effects, not all of which are apparent; it is generally long lived with significant sunk costs.</w:t>
      </w:r>
    </w:p>
    <w:p w14:paraId="1FA2B523" w14:textId="77777777" w:rsidR="00F12503" w:rsidRDefault="00F12503" w:rsidP="000C029B">
      <w:pPr>
        <w:spacing w:after="0" w:line="240" w:lineRule="auto"/>
        <w:rPr>
          <w:rFonts w:cstheme="minorHAnsi"/>
          <w:color w:val="313131"/>
          <w:lang w:eastAsia="en-AU"/>
        </w:rPr>
      </w:pPr>
    </w:p>
    <w:p w14:paraId="3AAF3074" w14:textId="795A1542" w:rsidR="00600199" w:rsidRDefault="00F12503" w:rsidP="000C029B">
      <w:pPr>
        <w:spacing w:after="0" w:line="240" w:lineRule="auto"/>
        <w:rPr>
          <w:rFonts w:cstheme="minorHAnsi"/>
          <w:color w:val="313131"/>
          <w:lang w:eastAsia="en-AU"/>
        </w:rPr>
      </w:pPr>
      <w:r>
        <w:rPr>
          <w:rFonts w:cstheme="minorHAnsi"/>
          <w:color w:val="313131"/>
          <w:lang w:eastAsia="en-AU"/>
        </w:rPr>
        <w:t>An intermediate input, its benefits arise from usage.  Long</w:t>
      </w:r>
      <w:r w:rsidR="00EB2227">
        <w:rPr>
          <w:rFonts w:cstheme="minorHAnsi"/>
          <w:color w:val="313131"/>
          <w:lang w:eastAsia="en-AU"/>
        </w:rPr>
        <w:t>-</w:t>
      </w:r>
      <w:r>
        <w:rPr>
          <w:rFonts w:cstheme="minorHAnsi"/>
          <w:color w:val="313131"/>
          <w:lang w:eastAsia="en-AU"/>
        </w:rPr>
        <w:t>li</w:t>
      </w:r>
      <w:r w:rsidR="00793105">
        <w:rPr>
          <w:rFonts w:cstheme="minorHAnsi"/>
          <w:color w:val="313131"/>
          <w:lang w:eastAsia="en-AU"/>
        </w:rPr>
        <w:t>fe</w:t>
      </w:r>
      <w:r>
        <w:rPr>
          <w:rFonts w:cstheme="minorHAnsi"/>
          <w:color w:val="313131"/>
          <w:lang w:eastAsia="en-AU"/>
        </w:rPr>
        <w:t xml:space="preserve"> </w:t>
      </w:r>
      <w:r w:rsidR="00EB2227">
        <w:rPr>
          <w:rFonts w:cstheme="minorHAnsi"/>
          <w:color w:val="313131"/>
          <w:lang w:eastAsia="en-AU"/>
        </w:rPr>
        <w:t>means</w:t>
      </w:r>
      <w:r>
        <w:rPr>
          <w:rFonts w:cstheme="minorHAnsi"/>
          <w:color w:val="313131"/>
          <w:lang w:eastAsia="en-AU"/>
        </w:rPr>
        <w:t xml:space="preserve"> rational decisions </w:t>
      </w:r>
      <w:r w:rsidR="00600199">
        <w:rPr>
          <w:rFonts w:cstheme="minorHAnsi"/>
          <w:color w:val="313131"/>
          <w:lang w:eastAsia="en-AU"/>
        </w:rPr>
        <w:t xml:space="preserve">to instal infrastructure </w:t>
      </w:r>
      <w:r w:rsidR="00C02C63">
        <w:rPr>
          <w:rFonts w:cstheme="minorHAnsi"/>
          <w:color w:val="313131"/>
          <w:lang w:eastAsia="en-AU"/>
        </w:rPr>
        <w:t xml:space="preserve">look ahead and </w:t>
      </w:r>
      <w:r>
        <w:rPr>
          <w:rFonts w:cstheme="minorHAnsi"/>
          <w:color w:val="313131"/>
          <w:lang w:eastAsia="en-AU"/>
        </w:rPr>
        <w:t>rely on estimates of costs and be</w:t>
      </w:r>
      <w:r w:rsidR="00600199">
        <w:rPr>
          <w:rFonts w:cstheme="minorHAnsi"/>
          <w:color w:val="313131"/>
          <w:lang w:eastAsia="en-AU"/>
        </w:rPr>
        <w:t xml:space="preserve">nefits, often over many years. Analysis necessary for </w:t>
      </w:r>
      <w:r w:rsidR="00381D79">
        <w:rPr>
          <w:rFonts w:cstheme="minorHAnsi"/>
          <w:color w:val="313131"/>
          <w:lang w:eastAsia="en-AU"/>
        </w:rPr>
        <w:t xml:space="preserve">competent </w:t>
      </w:r>
      <w:r w:rsidR="00600199">
        <w:rPr>
          <w:rFonts w:cstheme="minorHAnsi"/>
          <w:color w:val="313131"/>
          <w:lang w:eastAsia="en-AU"/>
        </w:rPr>
        <w:t>advice is usually complex.</w:t>
      </w:r>
    </w:p>
    <w:p w14:paraId="4BCA7E18" w14:textId="32543DF4" w:rsidR="00B73E12" w:rsidRDefault="00B73E12" w:rsidP="000C029B">
      <w:pPr>
        <w:spacing w:after="0" w:line="240" w:lineRule="auto"/>
        <w:rPr>
          <w:rFonts w:cstheme="minorHAnsi"/>
          <w:color w:val="313131"/>
          <w:lang w:eastAsia="en-AU"/>
        </w:rPr>
      </w:pPr>
    </w:p>
    <w:p w14:paraId="64D98E4F" w14:textId="4CBFE426" w:rsidR="00B73E12" w:rsidRDefault="00D67022" w:rsidP="000C029B">
      <w:pPr>
        <w:spacing w:after="0" w:line="240" w:lineRule="auto"/>
        <w:rPr>
          <w:rFonts w:cstheme="minorHAnsi"/>
          <w:color w:val="313131"/>
          <w:lang w:eastAsia="en-AU"/>
        </w:rPr>
      </w:pPr>
      <w:r>
        <w:rPr>
          <w:rFonts w:cstheme="minorHAnsi"/>
          <w:color w:val="313131"/>
          <w:lang w:eastAsia="en-AU"/>
        </w:rPr>
        <w:t>Long</w:t>
      </w:r>
      <w:r w:rsidR="00EB2227">
        <w:rPr>
          <w:rFonts w:cstheme="minorHAnsi"/>
          <w:color w:val="313131"/>
          <w:lang w:eastAsia="en-AU"/>
        </w:rPr>
        <w:t>-</w:t>
      </w:r>
      <w:r>
        <w:rPr>
          <w:rFonts w:cstheme="minorHAnsi"/>
          <w:color w:val="313131"/>
          <w:lang w:eastAsia="en-AU"/>
        </w:rPr>
        <w:t>life means p</w:t>
      </w:r>
      <w:r w:rsidR="00B73E12">
        <w:rPr>
          <w:rFonts w:cstheme="minorHAnsi"/>
          <w:color w:val="313131"/>
          <w:lang w:eastAsia="en-AU"/>
        </w:rPr>
        <w:t xml:space="preserve">roject proposals </w:t>
      </w:r>
      <w:r>
        <w:rPr>
          <w:rFonts w:cstheme="minorHAnsi"/>
          <w:color w:val="313131"/>
          <w:lang w:eastAsia="en-AU"/>
        </w:rPr>
        <w:t>should</w:t>
      </w:r>
      <w:r w:rsidR="00B73E12">
        <w:rPr>
          <w:rFonts w:cstheme="minorHAnsi"/>
          <w:color w:val="313131"/>
          <w:lang w:eastAsia="en-AU"/>
        </w:rPr>
        <w:t xml:space="preserve"> arise from plans formed to </w:t>
      </w:r>
      <w:r w:rsidR="00381D79">
        <w:rPr>
          <w:rFonts w:cstheme="minorHAnsi"/>
          <w:color w:val="313131"/>
          <w:lang w:eastAsia="en-AU"/>
        </w:rPr>
        <w:t>advance</w:t>
      </w:r>
      <w:r w:rsidR="00B73E12">
        <w:rPr>
          <w:rFonts w:cstheme="minorHAnsi"/>
          <w:color w:val="313131"/>
          <w:lang w:eastAsia="en-AU"/>
        </w:rPr>
        <w:t xml:space="preserve"> policies.  In a growing economy or society, often the question is not whether infrastructure is required but when.</w:t>
      </w:r>
    </w:p>
    <w:p w14:paraId="2B9EF159" w14:textId="77777777" w:rsidR="00600199" w:rsidRDefault="00600199" w:rsidP="000C029B">
      <w:pPr>
        <w:spacing w:after="0" w:line="240" w:lineRule="auto"/>
        <w:rPr>
          <w:rFonts w:cstheme="minorHAnsi"/>
          <w:color w:val="313131"/>
          <w:lang w:eastAsia="en-AU"/>
        </w:rPr>
      </w:pPr>
    </w:p>
    <w:p w14:paraId="27011176" w14:textId="78A06B41" w:rsidR="00600199" w:rsidRDefault="00600199" w:rsidP="000C029B">
      <w:pPr>
        <w:spacing w:after="0" w:line="240" w:lineRule="auto"/>
        <w:rPr>
          <w:rFonts w:cstheme="minorHAnsi"/>
          <w:color w:val="313131"/>
          <w:lang w:eastAsia="en-AU"/>
        </w:rPr>
      </w:pPr>
      <w:r>
        <w:rPr>
          <w:rFonts w:cstheme="minorHAnsi"/>
          <w:color w:val="313131"/>
          <w:lang w:eastAsia="en-AU"/>
        </w:rPr>
        <w:t>Advice needs to describe costs – opportunities foregone</w:t>
      </w:r>
      <w:r w:rsidR="00381D79">
        <w:rPr>
          <w:rFonts w:cstheme="minorHAnsi"/>
          <w:color w:val="313131"/>
          <w:lang w:eastAsia="en-AU"/>
        </w:rPr>
        <w:t>.  These</w:t>
      </w:r>
      <w:r>
        <w:rPr>
          <w:rFonts w:cstheme="minorHAnsi"/>
          <w:color w:val="313131"/>
          <w:lang w:eastAsia="en-AU"/>
        </w:rPr>
        <w:t xml:space="preserve"> usually extend beyond finances into physical preclusion of </w:t>
      </w:r>
      <w:r w:rsidR="008712F7">
        <w:rPr>
          <w:rFonts w:cstheme="minorHAnsi"/>
          <w:color w:val="313131"/>
          <w:lang w:eastAsia="en-AU"/>
        </w:rPr>
        <w:t>alternatives and of benefits elsewhere.</w:t>
      </w:r>
      <w:r w:rsidR="00381D79">
        <w:rPr>
          <w:rFonts w:cstheme="minorHAnsi"/>
          <w:color w:val="313131"/>
          <w:lang w:eastAsia="en-AU"/>
        </w:rPr>
        <w:t xml:space="preserve">  </w:t>
      </w:r>
      <w:r>
        <w:rPr>
          <w:rFonts w:cstheme="minorHAnsi"/>
          <w:color w:val="313131"/>
          <w:lang w:eastAsia="en-AU"/>
        </w:rPr>
        <w:t>Advice should estimate benefits specifying usage assumptions.</w:t>
      </w:r>
    </w:p>
    <w:p w14:paraId="1E1B3811" w14:textId="15429B1A" w:rsidR="008712F7" w:rsidRDefault="008712F7" w:rsidP="000C029B">
      <w:pPr>
        <w:spacing w:after="0" w:line="240" w:lineRule="auto"/>
        <w:rPr>
          <w:rFonts w:cstheme="minorHAnsi"/>
          <w:color w:val="313131"/>
          <w:lang w:eastAsia="en-AU"/>
        </w:rPr>
      </w:pPr>
    </w:p>
    <w:p w14:paraId="3744ED64" w14:textId="3D3F9A91" w:rsidR="008712F7" w:rsidRDefault="008712F7" w:rsidP="000C029B">
      <w:pPr>
        <w:spacing w:after="0" w:line="240" w:lineRule="auto"/>
        <w:rPr>
          <w:rFonts w:cstheme="minorHAnsi"/>
          <w:color w:val="313131"/>
          <w:lang w:eastAsia="en-AU"/>
        </w:rPr>
      </w:pPr>
      <w:r>
        <w:rPr>
          <w:rFonts w:cstheme="minorHAnsi"/>
          <w:color w:val="313131"/>
          <w:lang w:eastAsia="en-AU"/>
        </w:rPr>
        <w:t xml:space="preserve">Physical characteristics of infrastructure determine costs and benefits.  Characteristics </w:t>
      </w:r>
      <w:r w:rsidR="00381269">
        <w:rPr>
          <w:rFonts w:cstheme="minorHAnsi"/>
          <w:color w:val="313131"/>
          <w:lang w:eastAsia="en-AU"/>
        </w:rPr>
        <w:t xml:space="preserve">vary among forms. </w:t>
      </w:r>
      <w:r w:rsidR="000F5FDB">
        <w:rPr>
          <w:rFonts w:cstheme="minorHAnsi"/>
          <w:color w:val="313131"/>
          <w:lang w:eastAsia="en-AU"/>
        </w:rPr>
        <w:t xml:space="preserve">  A</w:t>
      </w:r>
      <w:r w:rsidR="000F5FDB">
        <w:rPr>
          <w:rFonts w:cstheme="minorHAnsi"/>
          <w:color w:val="313131"/>
          <w:lang w:eastAsia="en-AU"/>
        </w:rPr>
        <w:t>dvice should comprehensively describe physical characteristics of infrastructure.</w:t>
      </w:r>
    </w:p>
    <w:p w14:paraId="04D09A26" w14:textId="51B654E2" w:rsidR="008712F7" w:rsidRDefault="008712F7" w:rsidP="000C029B">
      <w:pPr>
        <w:spacing w:after="0" w:line="240" w:lineRule="auto"/>
        <w:rPr>
          <w:rFonts w:cstheme="minorHAnsi"/>
          <w:color w:val="313131"/>
          <w:lang w:eastAsia="en-AU"/>
        </w:rPr>
      </w:pPr>
    </w:p>
    <w:p w14:paraId="5AE33AF7" w14:textId="07F0F780" w:rsidR="008712F7" w:rsidRDefault="008712F7" w:rsidP="000C029B">
      <w:pPr>
        <w:spacing w:after="0" w:line="240" w:lineRule="auto"/>
        <w:rPr>
          <w:rFonts w:cstheme="minorHAnsi"/>
          <w:color w:val="313131"/>
          <w:lang w:eastAsia="en-AU"/>
        </w:rPr>
      </w:pPr>
      <w:r>
        <w:rPr>
          <w:rFonts w:cstheme="minorHAnsi"/>
          <w:color w:val="313131"/>
          <w:lang w:eastAsia="en-AU"/>
        </w:rPr>
        <w:t>Advice on transport infrastructure should cite rules of thumb: interoperability; importance of junctions and exchange points; railway density; induced road demand; not extending motorways into CBDs.</w:t>
      </w:r>
    </w:p>
    <w:p w14:paraId="77657A53" w14:textId="58098249" w:rsidR="00E14698" w:rsidRDefault="00E14698" w:rsidP="000C029B">
      <w:pPr>
        <w:spacing w:after="0" w:line="240" w:lineRule="auto"/>
        <w:rPr>
          <w:rFonts w:cstheme="minorHAnsi"/>
          <w:color w:val="313131"/>
          <w:lang w:eastAsia="en-AU"/>
        </w:rPr>
      </w:pPr>
    </w:p>
    <w:p w14:paraId="4386E002" w14:textId="6CE8953F" w:rsidR="00E327E0" w:rsidRDefault="00E327E0" w:rsidP="000C029B">
      <w:pPr>
        <w:pStyle w:val="Heading2"/>
        <w:spacing w:before="0" w:beforeAutospacing="0" w:after="0" w:afterAutospacing="0"/>
      </w:pPr>
      <w:bookmarkStart w:id="3" w:name="_Toc111195422"/>
      <w:r>
        <w:t>3.</w:t>
      </w:r>
      <w:r>
        <w:tab/>
        <w:t>Original Infrastructure Australia</w:t>
      </w:r>
      <w:bookmarkEnd w:id="3"/>
    </w:p>
    <w:p w14:paraId="2133A78B" w14:textId="3525FD5C" w:rsidR="00793105" w:rsidRPr="00793105" w:rsidRDefault="00793105" w:rsidP="000C029B">
      <w:pPr>
        <w:pStyle w:val="Heading3"/>
        <w:spacing w:before="0"/>
      </w:pPr>
      <w:bookmarkStart w:id="4" w:name="_Toc111195423"/>
      <w:r>
        <w:t>3.1</w:t>
      </w:r>
      <w:r>
        <w:tab/>
      </w:r>
      <w:r w:rsidRPr="00793105">
        <w:t>The supposed problem</w:t>
      </w:r>
      <w:bookmarkEnd w:id="4"/>
    </w:p>
    <w:p w14:paraId="00C8642E" w14:textId="5258DDF9" w:rsidR="00DC763C" w:rsidRDefault="00E327E0" w:rsidP="000C029B">
      <w:pPr>
        <w:spacing w:after="0" w:line="240" w:lineRule="auto"/>
        <w:rPr>
          <w:rFonts w:cstheme="minorHAnsi"/>
          <w:color w:val="313131"/>
          <w:lang w:eastAsia="en-AU"/>
        </w:rPr>
      </w:pPr>
      <w:r w:rsidRPr="001E2809">
        <w:rPr>
          <w:rFonts w:cstheme="minorHAnsi"/>
          <w:color w:val="313131"/>
          <w:lang w:eastAsia="en-AU"/>
        </w:rPr>
        <w:t>Infrastructure Australia was established in 2008 as part of Labor’s then promise to address claimed shortfalls</w:t>
      </w:r>
      <w:r w:rsidR="00DC763C">
        <w:rPr>
          <w:rFonts w:cstheme="minorHAnsi"/>
          <w:color w:val="313131"/>
          <w:lang w:eastAsia="en-AU"/>
        </w:rPr>
        <w:t xml:space="preserve"> in transport, telecommunications, </w:t>
      </w:r>
      <w:proofErr w:type="gramStart"/>
      <w:r w:rsidR="00DC763C">
        <w:rPr>
          <w:rFonts w:cstheme="minorHAnsi"/>
          <w:color w:val="313131"/>
          <w:lang w:eastAsia="en-AU"/>
        </w:rPr>
        <w:t>water</w:t>
      </w:r>
      <w:proofErr w:type="gramEnd"/>
      <w:r w:rsidR="00DC763C">
        <w:rPr>
          <w:rFonts w:cstheme="minorHAnsi"/>
          <w:color w:val="313131"/>
          <w:lang w:eastAsia="en-AU"/>
        </w:rPr>
        <w:t xml:space="preserve"> and energy – economic </w:t>
      </w:r>
      <w:r w:rsidR="00B11661">
        <w:rPr>
          <w:rFonts w:cstheme="minorHAnsi"/>
          <w:color w:val="313131"/>
          <w:lang w:eastAsia="en-AU"/>
        </w:rPr>
        <w:t xml:space="preserve">- </w:t>
      </w:r>
      <w:r w:rsidR="00DC763C">
        <w:rPr>
          <w:rFonts w:cstheme="minorHAnsi"/>
          <w:color w:val="313131"/>
          <w:lang w:eastAsia="en-AU"/>
        </w:rPr>
        <w:t>infrastructure.</w:t>
      </w:r>
    </w:p>
    <w:p w14:paraId="05C1758B" w14:textId="77777777" w:rsidR="00DC763C" w:rsidRDefault="00DC763C" w:rsidP="000C029B">
      <w:pPr>
        <w:spacing w:after="0" w:line="240" w:lineRule="auto"/>
        <w:rPr>
          <w:rFonts w:cstheme="minorHAnsi"/>
          <w:color w:val="313131"/>
          <w:lang w:eastAsia="en-AU"/>
        </w:rPr>
      </w:pPr>
    </w:p>
    <w:p w14:paraId="68860B17" w14:textId="15A2C3B2" w:rsidR="00C02C63" w:rsidRDefault="00C02C63" w:rsidP="000C029B">
      <w:pPr>
        <w:spacing w:after="0" w:line="240" w:lineRule="auto"/>
        <w:rPr>
          <w:rFonts w:cstheme="minorHAnsi"/>
          <w:color w:val="313131"/>
          <w:lang w:eastAsia="en-AU"/>
        </w:rPr>
      </w:pPr>
      <w:r>
        <w:rPr>
          <w:rFonts w:cstheme="minorHAnsi"/>
          <w:color w:val="313131"/>
          <w:lang w:eastAsia="en-AU"/>
        </w:rPr>
        <w:t>Its establishment assumed</w:t>
      </w:r>
      <w:r w:rsidR="00E327E0" w:rsidRPr="001E2809">
        <w:rPr>
          <w:rFonts w:cstheme="minorHAnsi"/>
          <w:color w:val="313131"/>
          <w:lang w:eastAsia="en-AU"/>
        </w:rPr>
        <w:t>:</w:t>
      </w:r>
    </w:p>
    <w:p w14:paraId="6210CA6C" w14:textId="0D463993" w:rsidR="00C02C63" w:rsidRDefault="00E327E0" w:rsidP="000C029B">
      <w:pPr>
        <w:pStyle w:val="ListParagraph"/>
        <w:numPr>
          <w:ilvl w:val="0"/>
          <w:numId w:val="16"/>
        </w:numPr>
        <w:spacing w:after="0" w:line="240" w:lineRule="auto"/>
        <w:ind w:left="360"/>
        <w:rPr>
          <w:rFonts w:cstheme="minorHAnsi"/>
          <w:color w:val="313131"/>
          <w:lang w:eastAsia="en-AU"/>
        </w:rPr>
      </w:pPr>
      <w:r w:rsidRPr="00C02C63">
        <w:rPr>
          <w:rFonts w:cstheme="minorHAnsi"/>
          <w:color w:val="313131"/>
          <w:lang w:eastAsia="en-AU"/>
        </w:rPr>
        <w:t>many ‘shovel</w:t>
      </w:r>
      <w:r w:rsidR="004827E1">
        <w:rPr>
          <w:rFonts w:cstheme="minorHAnsi"/>
          <w:color w:val="313131"/>
          <w:lang w:eastAsia="en-AU"/>
        </w:rPr>
        <w:t>-</w:t>
      </w:r>
      <w:r w:rsidRPr="00C02C63">
        <w:rPr>
          <w:rFonts w:cstheme="minorHAnsi"/>
          <w:color w:val="313131"/>
          <w:lang w:eastAsia="en-AU"/>
        </w:rPr>
        <w:t>ready</w:t>
      </w:r>
      <w:r w:rsidR="004827E1">
        <w:rPr>
          <w:rFonts w:cstheme="minorHAnsi"/>
          <w:color w:val="313131"/>
          <w:lang w:eastAsia="en-AU"/>
        </w:rPr>
        <w:t>’</w:t>
      </w:r>
      <w:r w:rsidRPr="00C02C63">
        <w:rPr>
          <w:rFonts w:cstheme="minorHAnsi"/>
          <w:color w:val="313131"/>
          <w:lang w:eastAsia="en-AU"/>
        </w:rPr>
        <w:t xml:space="preserve"> projects </w:t>
      </w:r>
      <w:r w:rsidR="00DC763C">
        <w:rPr>
          <w:rFonts w:cstheme="minorHAnsi"/>
          <w:color w:val="313131"/>
          <w:lang w:eastAsia="en-AU"/>
        </w:rPr>
        <w:t xml:space="preserve">for economic infrastructure </w:t>
      </w:r>
      <w:r w:rsidRPr="00C02C63">
        <w:rPr>
          <w:rFonts w:cstheme="minorHAnsi"/>
          <w:color w:val="313131"/>
          <w:lang w:eastAsia="en-AU"/>
        </w:rPr>
        <w:t xml:space="preserve">languished because the </w:t>
      </w:r>
      <w:r w:rsidR="00C02C63">
        <w:rPr>
          <w:rFonts w:cstheme="minorHAnsi"/>
          <w:color w:val="313131"/>
          <w:lang w:eastAsia="en-AU"/>
        </w:rPr>
        <w:t>former (</w:t>
      </w:r>
      <w:r w:rsidRPr="00C02C63">
        <w:rPr>
          <w:rFonts w:cstheme="minorHAnsi"/>
          <w:color w:val="313131"/>
          <w:lang w:eastAsia="en-AU"/>
        </w:rPr>
        <w:t>Howard</w:t>
      </w:r>
      <w:r w:rsidR="00C02C63">
        <w:rPr>
          <w:rFonts w:cstheme="minorHAnsi"/>
          <w:color w:val="313131"/>
          <w:lang w:eastAsia="en-AU"/>
        </w:rPr>
        <w:t xml:space="preserve">) </w:t>
      </w:r>
      <w:r w:rsidRPr="00C02C63">
        <w:rPr>
          <w:rFonts w:cstheme="minorHAnsi"/>
          <w:color w:val="313131"/>
          <w:lang w:eastAsia="en-AU"/>
        </w:rPr>
        <w:t>Government ignored ‘responsibilities</w:t>
      </w:r>
      <w:proofErr w:type="gramStart"/>
      <w:r w:rsidRPr="00C02C63">
        <w:rPr>
          <w:rFonts w:cstheme="minorHAnsi"/>
          <w:color w:val="313131"/>
          <w:lang w:eastAsia="en-AU"/>
        </w:rPr>
        <w:t>’;</w:t>
      </w:r>
      <w:proofErr w:type="gramEnd"/>
      <w:r w:rsidRPr="00C02C63">
        <w:rPr>
          <w:rFonts w:cstheme="minorHAnsi"/>
          <w:color w:val="313131"/>
          <w:lang w:eastAsia="en-AU"/>
        </w:rPr>
        <w:t xml:space="preserve"> </w:t>
      </w:r>
    </w:p>
    <w:p w14:paraId="24E524F6" w14:textId="63C6A594" w:rsidR="00DC763C" w:rsidRDefault="00DC763C" w:rsidP="000C029B">
      <w:pPr>
        <w:pStyle w:val="ListParagraph"/>
        <w:numPr>
          <w:ilvl w:val="0"/>
          <w:numId w:val="16"/>
        </w:numPr>
        <w:spacing w:after="0" w:line="240" w:lineRule="auto"/>
        <w:ind w:left="360"/>
        <w:rPr>
          <w:rFonts w:cstheme="minorHAnsi"/>
          <w:color w:val="313131"/>
          <w:lang w:eastAsia="en-AU"/>
        </w:rPr>
      </w:pPr>
      <w:r>
        <w:rPr>
          <w:rFonts w:cstheme="minorHAnsi"/>
          <w:color w:val="313131"/>
          <w:lang w:eastAsia="en-AU"/>
        </w:rPr>
        <w:t xml:space="preserve">those responsibilities covered some matters under State control </w:t>
      </w:r>
      <w:r w:rsidR="00B11661">
        <w:rPr>
          <w:rFonts w:cstheme="minorHAnsi"/>
          <w:color w:val="313131"/>
          <w:lang w:eastAsia="en-AU"/>
        </w:rPr>
        <w:t>like</w:t>
      </w:r>
      <w:r>
        <w:rPr>
          <w:rFonts w:cstheme="minorHAnsi"/>
          <w:color w:val="313131"/>
          <w:lang w:eastAsia="en-AU"/>
        </w:rPr>
        <w:t xml:space="preserve"> road</w:t>
      </w:r>
      <w:r w:rsidR="00B11661">
        <w:rPr>
          <w:rFonts w:cstheme="minorHAnsi"/>
          <w:color w:val="313131"/>
          <w:lang w:eastAsia="en-AU"/>
        </w:rPr>
        <w:t>s</w:t>
      </w:r>
      <w:r>
        <w:rPr>
          <w:rFonts w:cstheme="minorHAnsi"/>
          <w:color w:val="313131"/>
          <w:lang w:eastAsia="en-AU"/>
        </w:rPr>
        <w:t xml:space="preserve"> and public transport;</w:t>
      </w:r>
    </w:p>
    <w:p w14:paraId="297D3199" w14:textId="5E405848" w:rsidR="00ED1EDA" w:rsidRPr="00C02C63" w:rsidRDefault="00B11661" w:rsidP="000C029B">
      <w:pPr>
        <w:pStyle w:val="ListParagraph"/>
        <w:numPr>
          <w:ilvl w:val="0"/>
          <w:numId w:val="16"/>
        </w:numPr>
        <w:spacing w:after="0" w:line="240" w:lineRule="auto"/>
        <w:ind w:left="360"/>
        <w:rPr>
          <w:rFonts w:cstheme="minorHAnsi"/>
          <w:color w:val="313131"/>
          <w:lang w:eastAsia="en-AU"/>
        </w:rPr>
      </w:pPr>
      <w:r>
        <w:rPr>
          <w:rFonts w:cstheme="minorHAnsi"/>
          <w:color w:val="313131"/>
          <w:lang w:eastAsia="en-AU"/>
        </w:rPr>
        <w:t xml:space="preserve">a </w:t>
      </w:r>
      <w:r w:rsidR="00B63C49">
        <w:rPr>
          <w:rFonts w:cstheme="minorHAnsi"/>
          <w:color w:val="313131"/>
          <w:lang w:eastAsia="en-AU"/>
        </w:rPr>
        <w:t>construction</w:t>
      </w:r>
      <w:r w:rsidR="006A5D42">
        <w:rPr>
          <w:rFonts w:cstheme="minorHAnsi"/>
          <w:color w:val="313131"/>
          <w:lang w:eastAsia="en-AU"/>
        </w:rPr>
        <w:t>-</w:t>
      </w:r>
      <w:r w:rsidR="00B63C49">
        <w:rPr>
          <w:rFonts w:cstheme="minorHAnsi"/>
          <w:color w:val="313131"/>
          <w:lang w:eastAsia="en-AU"/>
        </w:rPr>
        <w:t xml:space="preserve">shortfall </w:t>
      </w:r>
      <w:r>
        <w:rPr>
          <w:rFonts w:cstheme="minorHAnsi"/>
          <w:color w:val="313131"/>
          <w:lang w:eastAsia="en-AU"/>
        </w:rPr>
        <w:t>infrastructure deficit</w:t>
      </w:r>
      <w:r w:rsidR="00B63C49">
        <w:rPr>
          <w:rFonts w:cstheme="minorHAnsi"/>
          <w:color w:val="313131"/>
          <w:lang w:eastAsia="en-AU"/>
        </w:rPr>
        <w:t xml:space="preserve"> </w:t>
      </w:r>
      <w:r w:rsidR="00ED1EDA">
        <w:rPr>
          <w:rFonts w:cstheme="minorHAnsi"/>
          <w:color w:val="313131"/>
          <w:lang w:eastAsia="en-AU"/>
        </w:rPr>
        <w:t>constrain</w:t>
      </w:r>
      <w:r w:rsidR="00EB2227">
        <w:rPr>
          <w:rFonts w:cstheme="minorHAnsi"/>
          <w:color w:val="313131"/>
          <w:lang w:eastAsia="en-AU"/>
        </w:rPr>
        <w:t>ed</w:t>
      </w:r>
      <w:r w:rsidR="00ED1EDA">
        <w:rPr>
          <w:rFonts w:cstheme="minorHAnsi"/>
          <w:color w:val="313131"/>
          <w:lang w:eastAsia="en-AU"/>
        </w:rPr>
        <w:t xml:space="preserve"> the economy;</w:t>
      </w:r>
    </w:p>
    <w:p w14:paraId="5E0ECBE7" w14:textId="5BE8A0C4" w:rsidR="00C02C63" w:rsidRPr="00C02C63" w:rsidRDefault="00C02C63" w:rsidP="000C029B">
      <w:pPr>
        <w:pStyle w:val="ListParagraph"/>
        <w:numPr>
          <w:ilvl w:val="0"/>
          <w:numId w:val="16"/>
        </w:numPr>
        <w:spacing w:after="0" w:line="240" w:lineRule="auto"/>
        <w:ind w:left="360"/>
        <w:rPr>
          <w:rFonts w:cstheme="minorHAnsi"/>
          <w:color w:val="313131"/>
          <w:lang w:eastAsia="en-AU"/>
        </w:rPr>
      </w:pPr>
      <w:r w:rsidRPr="00C02C63">
        <w:rPr>
          <w:rFonts w:cstheme="minorHAnsi"/>
          <w:color w:val="313131"/>
          <w:lang w:eastAsia="en-AU"/>
        </w:rPr>
        <w:t xml:space="preserve">vastly more Commonwealth revenues </w:t>
      </w:r>
      <w:r w:rsidR="006C2902">
        <w:rPr>
          <w:rFonts w:cstheme="minorHAnsi"/>
          <w:color w:val="313131"/>
          <w:lang w:eastAsia="en-AU"/>
        </w:rPr>
        <w:t xml:space="preserve">would come </w:t>
      </w:r>
      <w:r w:rsidRPr="00C02C63">
        <w:rPr>
          <w:rFonts w:cstheme="minorHAnsi"/>
          <w:color w:val="313131"/>
          <w:lang w:eastAsia="en-AU"/>
        </w:rPr>
        <w:t xml:space="preserve">from a resources boom; </w:t>
      </w:r>
    </w:p>
    <w:p w14:paraId="6FA2F30C" w14:textId="3836F1B7" w:rsidR="00E327E0" w:rsidRPr="00C02C63" w:rsidRDefault="00E327E0" w:rsidP="000C029B">
      <w:pPr>
        <w:pStyle w:val="ListParagraph"/>
        <w:numPr>
          <w:ilvl w:val="0"/>
          <w:numId w:val="16"/>
        </w:numPr>
        <w:spacing w:after="0" w:line="240" w:lineRule="auto"/>
        <w:ind w:left="360"/>
        <w:rPr>
          <w:rFonts w:cstheme="minorHAnsi"/>
          <w:color w:val="313131"/>
          <w:lang w:eastAsia="en-AU"/>
        </w:rPr>
      </w:pPr>
      <w:r w:rsidRPr="00C02C63">
        <w:rPr>
          <w:rFonts w:cstheme="minorHAnsi"/>
          <w:color w:val="313131"/>
          <w:lang w:eastAsia="en-AU"/>
        </w:rPr>
        <w:t xml:space="preserve">Governments determine </w:t>
      </w:r>
      <w:r w:rsidR="00B11661">
        <w:rPr>
          <w:rFonts w:cstheme="minorHAnsi"/>
          <w:color w:val="313131"/>
          <w:lang w:eastAsia="en-AU"/>
        </w:rPr>
        <w:t>Commonwealth</w:t>
      </w:r>
      <w:r w:rsidRPr="00C02C63">
        <w:rPr>
          <w:rFonts w:cstheme="minorHAnsi"/>
          <w:color w:val="313131"/>
          <w:lang w:eastAsia="en-AU"/>
        </w:rPr>
        <w:t xml:space="preserve"> responsibilities</w:t>
      </w:r>
      <w:r w:rsidR="00C02C63" w:rsidRPr="00C02C63">
        <w:rPr>
          <w:rFonts w:cstheme="minorHAnsi"/>
          <w:color w:val="313131"/>
          <w:lang w:eastAsia="en-AU"/>
        </w:rPr>
        <w:t xml:space="preserve"> and can spend as they like</w:t>
      </w:r>
      <w:r w:rsidRPr="00C02C63">
        <w:rPr>
          <w:rFonts w:cstheme="minorHAnsi"/>
          <w:color w:val="313131"/>
          <w:lang w:eastAsia="en-AU"/>
        </w:rPr>
        <w:t>.</w:t>
      </w:r>
    </w:p>
    <w:p w14:paraId="5952F990" w14:textId="77777777" w:rsidR="00E327E0" w:rsidRPr="001E2809" w:rsidRDefault="00E327E0" w:rsidP="000C029B">
      <w:pPr>
        <w:spacing w:after="0" w:line="240" w:lineRule="auto"/>
        <w:rPr>
          <w:rFonts w:cstheme="minorHAnsi"/>
          <w:color w:val="313131"/>
          <w:lang w:eastAsia="en-AU"/>
        </w:rPr>
      </w:pPr>
    </w:p>
    <w:p w14:paraId="05339196" w14:textId="77777777" w:rsidR="006C2902" w:rsidRDefault="00E327E0" w:rsidP="000C029B">
      <w:pPr>
        <w:spacing w:after="0" w:line="240" w:lineRule="auto"/>
        <w:rPr>
          <w:rFonts w:cstheme="minorHAnsi"/>
          <w:color w:val="313131"/>
          <w:lang w:eastAsia="en-AU"/>
        </w:rPr>
      </w:pPr>
      <w:r w:rsidRPr="001E2809">
        <w:rPr>
          <w:rFonts w:cstheme="minorHAnsi"/>
          <w:color w:val="313131"/>
          <w:lang w:eastAsia="en-AU"/>
        </w:rPr>
        <w:t xml:space="preserve">It was a statutory authority comprising a chief executive – ‘Coordinator’ – and a twelve-member </w:t>
      </w:r>
      <w:r w:rsidR="00C02C63">
        <w:rPr>
          <w:rFonts w:cstheme="minorHAnsi"/>
          <w:color w:val="313131"/>
          <w:lang w:eastAsia="en-AU"/>
        </w:rPr>
        <w:t xml:space="preserve">advisory </w:t>
      </w:r>
      <w:r w:rsidRPr="001E2809">
        <w:rPr>
          <w:rFonts w:cstheme="minorHAnsi"/>
          <w:color w:val="313131"/>
          <w:lang w:eastAsia="en-AU"/>
        </w:rPr>
        <w:t xml:space="preserve">‘board’ of industry experts and heads of State and Commonwealth central agencies.  </w:t>
      </w:r>
    </w:p>
    <w:p w14:paraId="5F3CE566" w14:textId="066C5633" w:rsidR="00E327E0" w:rsidRPr="001E2809" w:rsidRDefault="00E327E0" w:rsidP="000C029B">
      <w:pPr>
        <w:spacing w:after="0" w:line="240" w:lineRule="auto"/>
        <w:rPr>
          <w:rFonts w:cstheme="minorHAnsi"/>
          <w:color w:val="313131"/>
          <w:lang w:eastAsia="en-AU"/>
        </w:rPr>
      </w:pPr>
      <w:r w:rsidRPr="001E2809">
        <w:rPr>
          <w:rFonts w:cstheme="minorHAnsi"/>
          <w:color w:val="313131"/>
          <w:lang w:eastAsia="en-AU"/>
        </w:rPr>
        <w:lastRenderedPageBreak/>
        <w:t xml:space="preserve">The board was advisory as it is inappropriate for Government </w:t>
      </w:r>
      <w:r w:rsidR="00C02C63">
        <w:rPr>
          <w:rFonts w:cstheme="minorHAnsi"/>
          <w:color w:val="313131"/>
          <w:lang w:eastAsia="en-AU"/>
        </w:rPr>
        <w:t xml:space="preserve">or industry </w:t>
      </w:r>
      <w:r w:rsidRPr="001E2809">
        <w:rPr>
          <w:rFonts w:cstheme="minorHAnsi"/>
          <w:color w:val="313131"/>
          <w:lang w:eastAsia="en-AU"/>
        </w:rPr>
        <w:t>representatives to be on a governing board.</w:t>
      </w:r>
    </w:p>
    <w:p w14:paraId="3E395CF6" w14:textId="77777777" w:rsidR="00E327E0" w:rsidRPr="001E2809" w:rsidRDefault="00E327E0" w:rsidP="000C029B">
      <w:pPr>
        <w:spacing w:after="0" w:line="240" w:lineRule="auto"/>
        <w:rPr>
          <w:rFonts w:cstheme="minorHAnsi"/>
          <w:color w:val="313131"/>
          <w:lang w:eastAsia="en-AU"/>
        </w:rPr>
      </w:pPr>
    </w:p>
    <w:p w14:paraId="4F20117B" w14:textId="38C466C5" w:rsidR="00AC46EA" w:rsidRDefault="00AC46EA" w:rsidP="000C029B">
      <w:pPr>
        <w:spacing w:after="0" w:line="240" w:lineRule="auto"/>
        <w:rPr>
          <w:rFonts w:cstheme="minorHAnsi"/>
          <w:color w:val="313131"/>
          <w:lang w:eastAsia="en-AU"/>
        </w:rPr>
      </w:pPr>
      <w:r>
        <w:rPr>
          <w:rFonts w:cstheme="minorHAnsi"/>
          <w:color w:val="313131"/>
          <w:lang w:eastAsia="en-AU"/>
        </w:rPr>
        <w:t xml:space="preserve">As a statutory authority, it was ‘independent’ of the Government </w:t>
      </w:r>
      <w:r w:rsidR="004827E1">
        <w:rPr>
          <w:rFonts w:cstheme="minorHAnsi"/>
          <w:color w:val="313131"/>
          <w:lang w:eastAsia="en-AU"/>
        </w:rPr>
        <w:t>i.e.,</w:t>
      </w:r>
      <w:r>
        <w:rPr>
          <w:rFonts w:cstheme="minorHAnsi"/>
          <w:color w:val="313131"/>
          <w:lang w:eastAsia="en-AU"/>
        </w:rPr>
        <w:t xml:space="preserve"> not a Department.</w:t>
      </w:r>
      <w:r w:rsidR="00B11661">
        <w:rPr>
          <w:rStyle w:val="FootnoteReference"/>
          <w:rFonts w:cstheme="minorHAnsi"/>
          <w:color w:val="313131"/>
          <w:lang w:eastAsia="en-AU"/>
        </w:rPr>
        <w:footnoteReference w:id="3"/>
      </w:r>
    </w:p>
    <w:p w14:paraId="17C871C2" w14:textId="77777777" w:rsidR="00AC46EA" w:rsidRDefault="00AC46EA" w:rsidP="000C029B">
      <w:pPr>
        <w:spacing w:after="0" w:line="240" w:lineRule="auto"/>
        <w:rPr>
          <w:rFonts w:cstheme="minorHAnsi"/>
          <w:color w:val="313131"/>
          <w:lang w:eastAsia="en-AU"/>
        </w:rPr>
      </w:pPr>
    </w:p>
    <w:p w14:paraId="3F94A836" w14:textId="5D6A8E24" w:rsidR="00D8475A" w:rsidRDefault="00E327E0" w:rsidP="000C029B">
      <w:pPr>
        <w:spacing w:after="0" w:line="240" w:lineRule="auto"/>
        <w:rPr>
          <w:rFonts w:cstheme="minorHAnsi"/>
          <w:color w:val="313131"/>
          <w:lang w:eastAsia="en-AU"/>
        </w:rPr>
      </w:pPr>
      <w:r w:rsidRPr="001E2809">
        <w:rPr>
          <w:rFonts w:cstheme="minorHAnsi"/>
          <w:color w:val="313131"/>
          <w:lang w:eastAsia="en-AU"/>
        </w:rPr>
        <w:t xml:space="preserve">The reason for ‘independence’: a perception Departments were </w:t>
      </w:r>
      <w:r w:rsidR="00D8475A">
        <w:rPr>
          <w:rFonts w:cstheme="minorHAnsi"/>
          <w:color w:val="313131"/>
          <w:lang w:eastAsia="en-AU"/>
        </w:rPr>
        <w:t xml:space="preserve">institutionally </w:t>
      </w:r>
      <w:r w:rsidRPr="001E2809">
        <w:rPr>
          <w:rFonts w:cstheme="minorHAnsi"/>
          <w:color w:val="313131"/>
          <w:lang w:eastAsia="en-AU"/>
        </w:rPr>
        <w:t>unable to provide sound infrastructure advice</w:t>
      </w:r>
      <w:r w:rsidR="00ED1EDA">
        <w:rPr>
          <w:rFonts w:cstheme="minorHAnsi"/>
          <w:color w:val="313131"/>
          <w:lang w:eastAsia="en-AU"/>
        </w:rPr>
        <w:t xml:space="preserve"> aimed at promoting economic development</w:t>
      </w:r>
      <w:r w:rsidR="00C02C63">
        <w:rPr>
          <w:rFonts w:cstheme="minorHAnsi"/>
          <w:color w:val="313131"/>
          <w:lang w:eastAsia="en-AU"/>
        </w:rPr>
        <w:t xml:space="preserve">.  </w:t>
      </w:r>
      <w:r w:rsidRPr="001E2809">
        <w:rPr>
          <w:rFonts w:cstheme="minorHAnsi"/>
          <w:color w:val="313131"/>
          <w:lang w:eastAsia="en-AU"/>
        </w:rPr>
        <w:t xml:space="preserve"> </w:t>
      </w:r>
    </w:p>
    <w:p w14:paraId="3AB61EFC" w14:textId="77777777" w:rsidR="00D8475A" w:rsidRDefault="00D8475A" w:rsidP="000C029B">
      <w:pPr>
        <w:spacing w:after="0" w:line="240" w:lineRule="auto"/>
        <w:rPr>
          <w:rFonts w:cstheme="minorHAnsi"/>
          <w:color w:val="313131"/>
          <w:lang w:eastAsia="en-AU"/>
        </w:rPr>
      </w:pPr>
    </w:p>
    <w:p w14:paraId="0C4FF427" w14:textId="1F46F01C" w:rsidR="00D67022" w:rsidRPr="00D8475A" w:rsidRDefault="00C02C63" w:rsidP="000C029B">
      <w:pPr>
        <w:spacing w:after="0" w:line="240" w:lineRule="auto"/>
        <w:rPr>
          <w:rFonts w:ascii="Calibri" w:hAnsi="Calibri" w:cs="Calibri"/>
          <w:color w:val="313131"/>
          <w:lang w:eastAsia="en-AU"/>
        </w:rPr>
      </w:pPr>
      <w:r>
        <w:rPr>
          <w:rFonts w:cstheme="minorHAnsi"/>
          <w:color w:val="313131"/>
          <w:lang w:eastAsia="en-AU"/>
        </w:rPr>
        <w:t>In part</w:t>
      </w:r>
      <w:r w:rsidR="00D51674">
        <w:rPr>
          <w:rFonts w:cstheme="minorHAnsi"/>
          <w:color w:val="313131"/>
          <w:lang w:eastAsia="en-AU"/>
        </w:rPr>
        <w:t>,</w:t>
      </w:r>
      <w:r>
        <w:rPr>
          <w:rFonts w:cstheme="minorHAnsi"/>
          <w:color w:val="313131"/>
          <w:lang w:eastAsia="en-AU"/>
        </w:rPr>
        <w:t xml:space="preserve"> this was </w:t>
      </w:r>
      <w:r w:rsidR="00E327E0" w:rsidRPr="001E2809">
        <w:rPr>
          <w:rFonts w:cstheme="minorHAnsi"/>
          <w:color w:val="313131"/>
          <w:lang w:eastAsia="en-AU"/>
        </w:rPr>
        <w:t xml:space="preserve">because Commonwealth purposes </w:t>
      </w:r>
      <w:r>
        <w:rPr>
          <w:rFonts w:cstheme="minorHAnsi"/>
          <w:color w:val="313131"/>
          <w:lang w:eastAsia="en-AU"/>
        </w:rPr>
        <w:t>since the early 1970s were</w:t>
      </w:r>
      <w:r w:rsidR="00E327E0" w:rsidRPr="001E2809">
        <w:rPr>
          <w:rFonts w:cstheme="minorHAnsi"/>
          <w:color w:val="313131"/>
          <w:lang w:eastAsia="en-AU"/>
        </w:rPr>
        <w:t xml:space="preserve"> in </w:t>
      </w:r>
      <w:r w:rsidR="00D8475A">
        <w:rPr>
          <w:rFonts w:cstheme="minorHAnsi"/>
          <w:color w:val="313131"/>
          <w:lang w:eastAsia="en-AU"/>
        </w:rPr>
        <w:t xml:space="preserve">political </w:t>
      </w:r>
      <w:r w:rsidR="00E327E0" w:rsidRPr="001E2809">
        <w:rPr>
          <w:rFonts w:cstheme="minorHAnsi"/>
          <w:color w:val="313131"/>
          <w:lang w:eastAsia="en-AU"/>
        </w:rPr>
        <w:t xml:space="preserve">flux </w:t>
      </w:r>
      <w:r w:rsidR="004827E1" w:rsidRPr="001E2809">
        <w:rPr>
          <w:rFonts w:cstheme="minorHAnsi"/>
          <w:color w:val="313131"/>
          <w:lang w:eastAsia="en-AU"/>
        </w:rPr>
        <w:t>e.g.,</w:t>
      </w:r>
      <w:r w:rsidR="00E327E0" w:rsidRPr="001E2809">
        <w:rPr>
          <w:rFonts w:cstheme="minorHAnsi"/>
          <w:color w:val="313131"/>
          <w:lang w:eastAsia="en-AU"/>
        </w:rPr>
        <w:t xml:space="preserve"> drifting between </w:t>
      </w:r>
      <w:r w:rsidR="006C2902">
        <w:rPr>
          <w:rFonts w:cstheme="minorHAnsi"/>
          <w:color w:val="313131"/>
          <w:lang w:eastAsia="en-AU"/>
        </w:rPr>
        <w:t>attention to</w:t>
      </w:r>
      <w:r w:rsidR="00E327E0" w:rsidRPr="001E2809">
        <w:rPr>
          <w:rFonts w:cstheme="minorHAnsi"/>
          <w:color w:val="313131"/>
          <w:lang w:eastAsia="en-AU"/>
        </w:rPr>
        <w:t xml:space="preserve"> regions (Coalition) and cities (Labor</w:t>
      </w:r>
      <w:r w:rsidR="00E327E0" w:rsidRPr="00D8475A">
        <w:rPr>
          <w:rFonts w:cstheme="minorHAnsi"/>
          <w:color w:val="313131"/>
          <w:lang w:eastAsia="en-AU"/>
        </w:rPr>
        <w:t>)</w:t>
      </w:r>
      <w:r w:rsidR="005C1D83" w:rsidRPr="00D8475A">
        <w:rPr>
          <w:rFonts w:cstheme="minorHAnsi"/>
          <w:color w:val="313131"/>
          <w:lang w:eastAsia="en-AU"/>
        </w:rPr>
        <w:t xml:space="preserve">.  </w:t>
      </w:r>
      <w:r w:rsidR="00D8475A" w:rsidRPr="00D8475A">
        <w:rPr>
          <w:rFonts w:ascii="Calibri" w:hAnsi="Calibri" w:cs="Calibri"/>
          <w:color w:val="313131"/>
          <w:lang w:eastAsia="en-AU"/>
        </w:rPr>
        <w:t xml:space="preserve">Departments were unable to </w:t>
      </w:r>
      <w:r w:rsidR="00D8475A">
        <w:rPr>
          <w:rFonts w:ascii="Calibri" w:hAnsi="Calibri" w:cs="Calibri"/>
          <w:color w:val="313131"/>
          <w:lang w:eastAsia="en-AU"/>
        </w:rPr>
        <w:t xml:space="preserve">develop long term plans, notably in transport, </w:t>
      </w:r>
      <w:r w:rsidR="006C2902">
        <w:rPr>
          <w:rFonts w:ascii="Calibri" w:hAnsi="Calibri" w:cs="Calibri"/>
          <w:color w:val="313131"/>
          <w:lang w:eastAsia="en-AU"/>
        </w:rPr>
        <w:t xml:space="preserve">partly </w:t>
      </w:r>
      <w:r w:rsidR="00D8475A">
        <w:rPr>
          <w:rFonts w:ascii="Calibri" w:hAnsi="Calibri" w:cs="Calibri"/>
          <w:color w:val="313131"/>
          <w:lang w:eastAsia="en-AU"/>
        </w:rPr>
        <w:t xml:space="preserve">because they needed to provide advice to advance </w:t>
      </w:r>
      <w:r w:rsidR="00E6336D">
        <w:rPr>
          <w:rFonts w:ascii="Calibri" w:hAnsi="Calibri" w:cs="Calibri"/>
          <w:color w:val="313131"/>
          <w:lang w:eastAsia="en-AU"/>
        </w:rPr>
        <w:t xml:space="preserve">political priorities.  </w:t>
      </w:r>
      <w:r w:rsidR="005C1D83" w:rsidRPr="00D8475A">
        <w:rPr>
          <w:rFonts w:ascii="Calibri" w:hAnsi="Calibri" w:cs="Calibri"/>
          <w:color w:val="313131"/>
          <w:lang w:eastAsia="en-AU"/>
        </w:rPr>
        <w:t>Also relevant was</w:t>
      </w:r>
      <w:r w:rsidR="00B73E12" w:rsidRPr="00D8475A">
        <w:rPr>
          <w:rFonts w:ascii="Calibri" w:hAnsi="Calibri" w:cs="Calibri"/>
          <w:color w:val="313131"/>
          <w:lang w:eastAsia="en-AU"/>
        </w:rPr>
        <w:t xml:space="preserve"> </w:t>
      </w:r>
      <w:r w:rsidR="005C1D83" w:rsidRPr="00D8475A">
        <w:rPr>
          <w:rFonts w:ascii="Calibri" w:hAnsi="Calibri" w:cs="Calibri"/>
          <w:color w:val="313131"/>
          <w:lang w:eastAsia="en-AU"/>
        </w:rPr>
        <w:t xml:space="preserve">the assumption the Commonwealth’s principal responsibility was funding.  </w:t>
      </w:r>
    </w:p>
    <w:p w14:paraId="71CD2353" w14:textId="77777777" w:rsidR="00D67022" w:rsidRDefault="00D67022" w:rsidP="000C029B">
      <w:pPr>
        <w:spacing w:after="0" w:line="240" w:lineRule="auto"/>
        <w:rPr>
          <w:rFonts w:cstheme="minorHAnsi"/>
          <w:color w:val="313131"/>
          <w:lang w:eastAsia="en-AU"/>
        </w:rPr>
      </w:pPr>
    </w:p>
    <w:p w14:paraId="19497FC0" w14:textId="51C7064A" w:rsidR="00B73E12" w:rsidRDefault="00C02C63" w:rsidP="000C029B">
      <w:pPr>
        <w:spacing w:after="0" w:line="240" w:lineRule="auto"/>
        <w:rPr>
          <w:rFonts w:cstheme="minorHAnsi"/>
          <w:color w:val="313131"/>
          <w:lang w:eastAsia="en-AU"/>
        </w:rPr>
      </w:pPr>
      <w:r>
        <w:rPr>
          <w:rFonts w:cstheme="minorHAnsi"/>
          <w:color w:val="313131"/>
          <w:lang w:eastAsia="en-AU"/>
        </w:rPr>
        <w:t xml:space="preserve">A change of Government </w:t>
      </w:r>
      <w:r w:rsidR="00DC763C">
        <w:rPr>
          <w:rFonts w:cstheme="minorHAnsi"/>
          <w:color w:val="313131"/>
          <w:lang w:eastAsia="en-AU"/>
        </w:rPr>
        <w:t>c</w:t>
      </w:r>
      <w:r>
        <w:rPr>
          <w:rFonts w:cstheme="minorHAnsi"/>
          <w:color w:val="313131"/>
          <w:lang w:eastAsia="en-AU"/>
        </w:rPr>
        <w:t>ould lead to reversal of</w:t>
      </w:r>
      <w:r w:rsidR="00DC763C">
        <w:rPr>
          <w:rFonts w:cstheme="minorHAnsi"/>
          <w:color w:val="313131"/>
          <w:lang w:eastAsia="en-AU"/>
        </w:rPr>
        <w:t xml:space="preserve"> </w:t>
      </w:r>
      <w:r w:rsidR="005C1D83">
        <w:rPr>
          <w:rFonts w:cstheme="minorHAnsi"/>
          <w:color w:val="313131"/>
          <w:lang w:eastAsia="en-AU"/>
        </w:rPr>
        <w:t xml:space="preserve">the direction of </w:t>
      </w:r>
      <w:r w:rsidR="00ED1EDA">
        <w:rPr>
          <w:rFonts w:cstheme="minorHAnsi"/>
          <w:color w:val="313131"/>
          <w:lang w:eastAsia="en-AU"/>
        </w:rPr>
        <w:t>economic-</w:t>
      </w:r>
      <w:r w:rsidR="00DC763C">
        <w:rPr>
          <w:rFonts w:cstheme="minorHAnsi"/>
          <w:color w:val="313131"/>
          <w:lang w:eastAsia="en-AU"/>
        </w:rPr>
        <w:t>infrastructure p</w:t>
      </w:r>
      <w:r w:rsidR="00B73E12">
        <w:rPr>
          <w:rFonts w:cstheme="minorHAnsi"/>
          <w:color w:val="313131"/>
          <w:lang w:eastAsia="en-AU"/>
        </w:rPr>
        <w:t>olicy</w:t>
      </w:r>
      <w:r w:rsidR="00DC763C">
        <w:rPr>
          <w:rFonts w:cstheme="minorHAnsi"/>
          <w:color w:val="313131"/>
          <w:lang w:eastAsia="en-AU"/>
        </w:rPr>
        <w:t xml:space="preserve">.  </w:t>
      </w:r>
      <w:r w:rsidR="00E6336D">
        <w:rPr>
          <w:rFonts w:cstheme="minorHAnsi"/>
          <w:color w:val="313131"/>
          <w:lang w:eastAsia="en-AU"/>
        </w:rPr>
        <w:t xml:space="preserve">An example is </w:t>
      </w:r>
      <w:r w:rsidR="00E6336D">
        <w:rPr>
          <w:rFonts w:ascii="Calibri" w:hAnsi="Calibri" w:cs="Calibri"/>
          <w:color w:val="313131"/>
          <w:lang w:eastAsia="en-AU"/>
        </w:rPr>
        <w:t xml:space="preserve">the attitude to urban public transport.  </w:t>
      </w:r>
      <w:r w:rsidR="00B73E12">
        <w:rPr>
          <w:rFonts w:cstheme="minorHAnsi"/>
          <w:color w:val="313131"/>
          <w:lang w:eastAsia="en-AU"/>
        </w:rPr>
        <w:t xml:space="preserve">A change in Budget conditions </w:t>
      </w:r>
      <w:r w:rsidR="00E6336D">
        <w:rPr>
          <w:rFonts w:cstheme="minorHAnsi"/>
          <w:color w:val="313131"/>
          <w:lang w:eastAsia="en-AU"/>
        </w:rPr>
        <w:t xml:space="preserve">or policy </w:t>
      </w:r>
      <w:r w:rsidR="005C1D83">
        <w:rPr>
          <w:rFonts w:cstheme="minorHAnsi"/>
          <w:color w:val="313131"/>
          <w:lang w:eastAsia="en-AU"/>
        </w:rPr>
        <w:t>could change the extent of ‘funding responsibility’</w:t>
      </w:r>
      <w:r w:rsidR="00E6336D">
        <w:rPr>
          <w:rFonts w:cstheme="minorHAnsi"/>
          <w:color w:val="313131"/>
          <w:lang w:eastAsia="en-AU"/>
        </w:rPr>
        <w:t xml:space="preserve"> especially in </w:t>
      </w:r>
      <w:r w:rsidR="006C2902">
        <w:rPr>
          <w:rFonts w:cstheme="minorHAnsi"/>
          <w:color w:val="313131"/>
          <w:lang w:eastAsia="en-AU"/>
        </w:rPr>
        <w:t>discretionary</w:t>
      </w:r>
      <w:r w:rsidR="00E6336D">
        <w:rPr>
          <w:rFonts w:cstheme="minorHAnsi"/>
          <w:color w:val="313131"/>
          <w:lang w:eastAsia="en-AU"/>
        </w:rPr>
        <w:t xml:space="preserve"> activities</w:t>
      </w:r>
      <w:r w:rsidR="005C1D83">
        <w:rPr>
          <w:rFonts w:cstheme="minorHAnsi"/>
          <w:color w:val="313131"/>
          <w:lang w:eastAsia="en-AU"/>
        </w:rPr>
        <w:t>.</w:t>
      </w:r>
    </w:p>
    <w:p w14:paraId="6147214F" w14:textId="2C2001BE" w:rsidR="00B73E12" w:rsidRDefault="00B73E12" w:rsidP="000C029B">
      <w:pPr>
        <w:spacing w:after="0" w:line="240" w:lineRule="auto"/>
        <w:rPr>
          <w:rFonts w:cstheme="minorHAnsi"/>
          <w:color w:val="313131"/>
          <w:lang w:eastAsia="en-AU"/>
        </w:rPr>
      </w:pPr>
    </w:p>
    <w:p w14:paraId="33EA8972" w14:textId="2E979C54" w:rsidR="00E327E0" w:rsidRDefault="005C1D83" w:rsidP="000C029B">
      <w:pPr>
        <w:spacing w:after="0" w:line="240" w:lineRule="auto"/>
        <w:rPr>
          <w:rFonts w:cstheme="minorHAnsi"/>
          <w:color w:val="313131"/>
          <w:lang w:eastAsia="en-AU"/>
        </w:rPr>
      </w:pPr>
      <w:r>
        <w:rPr>
          <w:rFonts w:cstheme="minorHAnsi"/>
          <w:color w:val="313131"/>
          <w:lang w:eastAsia="en-AU"/>
        </w:rPr>
        <w:t>Nonetheless, t</w:t>
      </w:r>
      <w:r w:rsidR="00E327E0" w:rsidRPr="001E2809">
        <w:rPr>
          <w:rFonts w:cstheme="minorHAnsi"/>
          <w:color w:val="313131"/>
          <w:lang w:eastAsia="en-AU"/>
        </w:rPr>
        <w:t>he very idea of a</w:t>
      </w:r>
      <w:r w:rsidR="00E6336D">
        <w:rPr>
          <w:rFonts w:cstheme="minorHAnsi"/>
          <w:color w:val="313131"/>
          <w:lang w:eastAsia="en-AU"/>
        </w:rPr>
        <w:t xml:space="preserve"> statutory authority</w:t>
      </w:r>
      <w:r w:rsidR="00E327E0" w:rsidRPr="001E2809">
        <w:rPr>
          <w:rFonts w:cstheme="minorHAnsi"/>
          <w:color w:val="313131"/>
          <w:lang w:eastAsia="en-AU"/>
        </w:rPr>
        <w:t xml:space="preserve"> </w:t>
      </w:r>
      <w:r w:rsidR="00D51674">
        <w:rPr>
          <w:rFonts w:cstheme="minorHAnsi"/>
          <w:color w:val="313131"/>
          <w:lang w:eastAsia="en-AU"/>
        </w:rPr>
        <w:t xml:space="preserve">- </w:t>
      </w:r>
      <w:r w:rsidR="00E327E0" w:rsidRPr="001E2809">
        <w:rPr>
          <w:rFonts w:cstheme="minorHAnsi"/>
          <w:color w:val="313131"/>
          <w:lang w:eastAsia="en-AU"/>
        </w:rPr>
        <w:t xml:space="preserve">which might advise </w:t>
      </w:r>
      <w:r w:rsidR="00D51674">
        <w:rPr>
          <w:rFonts w:cstheme="minorHAnsi"/>
          <w:color w:val="313131"/>
          <w:lang w:eastAsia="en-AU"/>
        </w:rPr>
        <w:t>Commonwealth</w:t>
      </w:r>
      <w:r w:rsidR="00E327E0" w:rsidRPr="001E2809">
        <w:rPr>
          <w:rFonts w:cstheme="minorHAnsi"/>
          <w:color w:val="313131"/>
          <w:lang w:eastAsia="en-AU"/>
        </w:rPr>
        <w:t xml:space="preserve"> purposes </w:t>
      </w:r>
      <w:r w:rsidR="00E6336D">
        <w:rPr>
          <w:rFonts w:cstheme="minorHAnsi"/>
          <w:color w:val="313131"/>
          <w:lang w:eastAsia="en-AU"/>
        </w:rPr>
        <w:t>should be stable</w:t>
      </w:r>
      <w:r w:rsidR="00E327E0" w:rsidRPr="001E2809">
        <w:rPr>
          <w:rFonts w:cstheme="minorHAnsi"/>
          <w:color w:val="313131"/>
          <w:lang w:eastAsia="en-AU"/>
        </w:rPr>
        <w:t xml:space="preserve"> </w:t>
      </w:r>
      <w:r w:rsidR="00D51674">
        <w:rPr>
          <w:rFonts w:cstheme="minorHAnsi"/>
          <w:color w:val="313131"/>
          <w:lang w:eastAsia="en-AU"/>
        </w:rPr>
        <w:t xml:space="preserve">- </w:t>
      </w:r>
      <w:r>
        <w:rPr>
          <w:rFonts w:cstheme="minorHAnsi"/>
          <w:color w:val="313131"/>
          <w:lang w:eastAsia="en-AU"/>
        </w:rPr>
        <w:t>was</w:t>
      </w:r>
      <w:r w:rsidR="00E327E0" w:rsidRPr="001E2809">
        <w:rPr>
          <w:rFonts w:cstheme="minorHAnsi"/>
          <w:color w:val="313131"/>
          <w:lang w:eastAsia="en-AU"/>
        </w:rPr>
        <w:t xml:space="preserve"> anathema to Departments</w:t>
      </w:r>
      <w:r w:rsidR="00D67022">
        <w:rPr>
          <w:rFonts w:cstheme="minorHAnsi"/>
          <w:color w:val="313131"/>
          <w:lang w:eastAsia="en-AU"/>
        </w:rPr>
        <w:t xml:space="preserve"> </w:t>
      </w:r>
      <w:r w:rsidR="006C2902">
        <w:rPr>
          <w:rFonts w:cstheme="minorHAnsi"/>
          <w:color w:val="313131"/>
          <w:lang w:eastAsia="en-AU"/>
        </w:rPr>
        <w:t>with</w:t>
      </w:r>
      <w:r w:rsidR="00D67022">
        <w:rPr>
          <w:rFonts w:cstheme="minorHAnsi"/>
          <w:color w:val="313131"/>
          <w:lang w:eastAsia="en-AU"/>
        </w:rPr>
        <w:t xml:space="preserve"> </w:t>
      </w:r>
      <w:r w:rsidR="006C2902">
        <w:rPr>
          <w:rFonts w:cstheme="minorHAnsi"/>
          <w:color w:val="313131"/>
          <w:lang w:eastAsia="en-AU"/>
        </w:rPr>
        <w:t>functions</w:t>
      </w:r>
      <w:r w:rsidR="00D67022">
        <w:rPr>
          <w:rFonts w:cstheme="minorHAnsi"/>
          <w:color w:val="313131"/>
          <w:lang w:eastAsia="en-AU"/>
        </w:rPr>
        <w:t xml:space="preserve"> of advising the Government on </w:t>
      </w:r>
      <w:r w:rsidR="00ED1EDA">
        <w:rPr>
          <w:rFonts w:cstheme="minorHAnsi"/>
          <w:color w:val="313131"/>
          <w:lang w:eastAsia="en-AU"/>
        </w:rPr>
        <w:t>economic-</w:t>
      </w:r>
      <w:r w:rsidR="00D67022">
        <w:rPr>
          <w:rFonts w:cstheme="minorHAnsi"/>
          <w:color w:val="313131"/>
          <w:lang w:eastAsia="en-AU"/>
        </w:rPr>
        <w:t>infrastructure</w:t>
      </w:r>
      <w:r w:rsidR="00E327E0" w:rsidRPr="001E2809">
        <w:rPr>
          <w:rFonts w:cstheme="minorHAnsi"/>
          <w:color w:val="313131"/>
          <w:lang w:eastAsia="en-AU"/>
        </w:rPr>
        <w:t xml:space="preserve">.  </w:t>
      </w:r>
    </w:p>
    <w:p w14:paraId="78714316" w14:textId="5B3B8ED4" w:rsidR="005C1D83" w:rsidRDefault="005C1D83" w:rsidP="000C029B">
      <w:pPr>
        <w:spacing w:after="0" w:line="240" w:lineRule="auto"/>
        <w:rPr>
          <w:rFonts w:cstheme="minorHAnsi"/>
          <w:color w:val="313131"/>
          <w:lang w:eastAsia="en-AU"/>
        </w:rPr>
      </w:pPr>
    </w:p>
    <w:p w14:paraId="31DB9C01" w14:textId="259E4974" w:rsidR="00ED1EDA" w:rsidRDefault="009E096E" w:rsidP="000C029B">
      <w:pPr>
        <w:spacing w:after="0" w:line="240" w:lineRule="auto"/>
        <w:rPr>
          <w:rFonts w:cstheme="minorHAnsi"/>
          <w:color w:val="313131"/>
          <w:lang w:eastAsia="en-AU"/>
        </w:rPr>
      </w:pPr>
      <w:r w:rsidRPr="001E2809">
        <w:rPr>
          <w:rFonts w:cstheme="minorHAnsi"/>
          <w:color w:val="313131"/>
          <w:lang w:eastAsia="en-AU"/>
        </w:rPr>
        <w:t xml:space="preserve">Infrastructure Australia’s primary task was supposed to be gatekeeping - advising which of the many well-thought-out projects in State and national plans should gain Commonwealth financial support by </w:t>
      </w:r>
      <w:r w:rsidR="00AC46EA">
        <w:rPr>
          <w:rFonts w:cstheme="minorHAnsi"/>
          <w:color w:val="313131"/>
          <w:lang w:eastAsia="en-AU"/>
        </w:rPr>
        <w:t>answering question</w:t>
      </w:r>
      <w:r w:rsidR="00FB1B16">
        <w:rPr>
          <w:rFonts w:cstheme="minorHAnsi"/>
          <w:color w:val="313131"/>
          <w:lang w:eastAsia="en-AU"/>
        </w:rPr>
        <w:t>s</w:t>
      </w:r>
      <w:r w:rsidR="00AC46EA">
        <w:rPr>
          <w:rFonts w:cstheme="minorHAnsi"/>
          <w:color w:val="313131"/>
          <w:lang w:eastAsia="en-AU"/>
        </w:rPr>
        <w:t xml:space="preserve"> </w:t>
      </w:r>
      <w:r w:rsidRPr="001E2809">
        <w:rPr>
          <w:rFonts w:cstheme="minorHAnsi"/>
          <w:color w:val="313131"/>
          <w:lang w:eastAsia="en-AU"/>
        </w:rPr>
        <w:t xml:space="preserve">of: what? why? and worth? </w:t>
      </w:r>
      <w:r w:rsidR="00ED1EDA">
        <w:rPr>
          <w:rFonts w:cstheme="minorHAnsi"/>
          <w:color w:val="313131"/>
          <w:lang w:eastAsia="en-AU"/>
        </w:rPr>
        <w:t xml:space="preserve">  </w:t>
      </w:r>
    </w:p>
    <w:p w14:paraId="08DA1365" w14:textId="77777777" w:rsidR="00ED1EDA" w:rsidRDefault="00ED1EDA" w:rsidP="000C029B">
      <w:pPr>
        <w:spacing w:after="0" w:line="240" w:lineRule="auto"/>
        <w:rPr>
          <w:rFonts w:cstheme="minorHAnsi"/>
          <w:color w:val="313131"/>
          <w:lang w:eastAsia="en-AU"/>
        </w:rPr>
      </w:pPr>
    </w:p>
    <w:p w14:paraId="275DF0FD" w14:textId="7CBBAB66" w:rsidR="009E096E" w:rsidRPr="001E2809" w:rsidRDefault="00FB1B16" w:rsidP="000C029B">
      <w:pPr>
        <w:spacing w:after="0" w:line="240" w:lineRule="auto"/>
        <w:rPr>
          <w:rFonts w:cstheme="minorHAnsi"/>
          <w:color w:val="313131"/>
          <w:lang w:eastAsia="en-AU"/>
        </w:rPr>
      </w:pPr>
      <w:r>
        <w:rPr>
          <w:rFonts w:cstheme="minorHAnsi"/>
          <w:color w:val="313131"/>
          <w:lang w:eastAsia="en-AU"/>
        </w:rPr>
        <w:t>The w</w:t>
      </w:r>
      <w:r w:rsidR="00ED1EDA">
        <w:rPr>
          <w:rFonts w:cstheme="minorHAnsi"/>
          <w:color w:val="313131"/>
          <w:lang w:eastAsia="en-AU"/>
        </w:rPr>
        <w:t>hat: a description of what is proposed</w:t>
      </w:r>
      <w:r>
        <w:rPr>
          <w:rFonts w:cstheme="minorHAnsi"/>
          <w:color w:val="313131"/>
          <w:lang w:eastAsia="en-AU"/>
        </w:rPr>
        <w:t>, the problem it intends to address,</w:t>
      </w:r>
      <w:r w:rsidR="00ED1EDA">
        <w:rPr>
          <w:rFonts w:cstheme="minorHAnsi"/>
          <w:color w:val="313131"/>
          <w:lang w:eastAsia="en-AU"/>
        </w:rPr>
        <w:t xml:space="preserve"> and how it came to be identified, including its relation with sector and land use plans</w:t>
      </w:r>
      <w:r>
        <w:rPr>
          <w:rFonts w:cstheme="minorHAnsi"/>
          <w:color w:val="313131"/>
          <w:lang w:eastAsia="en-AU"/>
        </w:rPr>
        <w:t xml:space="preserve">.  </w:t>
      </w:r>
      <w:r w:rsidR="004827E1">
        <w:rPr>
          <w:rFonts w:cstheme="minorHAnsi"/>
          <w:color w:val="313131"/>
          <w:lang w:eastAsia="en-AU"/>
        </w:rPr>
        <w:t>Also,</w:t>
      </w:r>
      <w:r>
        <w:rPr>
          <w:rFonts w:cstheme="minorHAnsi"/>
          <w:color w:val="313131"/>
          <w:lang w:eastAsia="en-AU"/>
        </w:rPr>
        <w:t xml:space="preserve"> how it is to be delivered.</w:t>
      </w:r>
      <w:r w:rsidR="009E096E" w:rsidRPr="001E2809">
        <w:rPr>
          <w:rFonts w:cstheme="minorHAnsi"/>
          <w:color w:val="313131"/>
          <w:lang w:eastAsia="en-AU"/>
        </w:rPr>
        <w:t xml:space="preserve"> </w:t>
      </w:r>
    </w:p>
    <w:p w14:paraId="16E341BF" w14:textId="0543AF7B" w:rsidR="009E096E" w:rsidRDefault="009E096E" w:rsidP="000C029B">
      <w:pPr>
        <w:spacing w:after="0" w:line="240" w:lineRule="auto"/>
        <w:rPr>
          <w:rFonts w:cstheme="minorHAnsi"/>
          <w:color w:val="313131"/>
          <w:lang w:eastAsia="en-AU"/>
        </w:rPr>
      </w:pPr>
    </w:p>
    <w:p w14:paraId="5542DB0A" w14:textId="1553E256" w:rsidR="00FB1B16" w:rsidRDefault="00FB1B16" w:rsidP="000C029B">
      <w:pPr>
        <w:spacing w:after="0" w:line="240" w:lineRule="auto"/>
        <w:rPr>
          <w:rFonts w:cstheme="minorHAnsi"/>
          <w:color w:val="313131"/>
          <w:lang w:eastAsia="en-AU"/>
        </w:rPr>
      </w:pPr>
      <w:r>
        <w:rPr>
          <w:rFonts w:cstheme="minorHAnsi"/>
          <w:color w:val="313131"/>
          <w:lang w:eastAsia="en-AU"/>
        </w:rPr>
        <w:t>The why: reasons for Commonwealth involvement.</w:t>
      </w:r>
    </w:p>
    <w:p w14:paraId="45F13683" w14:textId="77777777" w:rsidR="00FB1B16" w:rsidRDefault="00FB1B16" w:rsidP="000C029B">
      <w:pPr>
        <w:spacing w:after="0" w:line="240" w:lineRule="auto"/>
        <w:rPr>
          <w:rFonts w:cstheme="minorHAnsi"/>
          <w:color w:val="313131"/>
          <w:lang w:eastAsia="en-AU"/>
        </w:rPr>
      </w:pPr>
    </w:p>
    <w:p w14:paraId="4AC796CB" w14:textId="190EACD0" w:rsidR="00FB1B16" w:rsidRDefault="00FB1B16" w:rsidP="000C029B">
      <w:pPr>
        <w:spacing w:after="0" w:line="240" w:lineRule="auto"/>
        <w:rPr>
          <w:rFonts w:cstheme="minorHAnsi"/>
          <w:color w:val="313131"/>
          <w:lang w:eastAsia="en-AU"/>
        </w:rPr>
      </w:pPr>
      <w:r>
        <w:rPr>
          <w:rFonts w:cstheme="minorHAnsi"/>
          <w:color w:val="313131"/>
          <w:lang w:eastAsia="en-AU"/>
        </w:rPr>
        <w:t xml:space="preserve">The worth: </w:t>
      </w:r>
      <w:proofErr w:type="spellStart"/>
      <w:proofErr w:type="gramStart"/>
      <w:r>
        <w:rPr>
          <w:rFonts w:cstheme="minorHAnsi"/>
          <w:color w:val="313131"/>
          <w:lang w:eastAsia="en-AU"/>
        </w:rPr>
        <w:t>benefit:cost</w:t>
      </w:r>
      <w:proofErr w:type="spellEnd"/>
      <w:proofErr w:type="gramEnd"/>
      <w:r>
        <w:rPr>
          <w:rFonts w:cstheme="minorHAnsi"/>
          <w:color w:val="313131"/>
          <w:lang w:eastAsia="en-AU"/>
        </w:rPr>
        <w:t xml:space="preserve"> assessment, not least to allow comparison of proposals among sectors.</w:t>
      </w:r>
    </w:p>
    <w:p w14:paraId="10AFB05E" w14:textId="738B8704" w:rsidR="00FB1B16" w:rsidRPr="001E2809" w:rsidRDefault="00FB1B16" w:rsidP="000C029B">
      <w:pPr>
        <w:spacing w:after="0" w:line="240" w:lineRule="auto"/>
        <w:rPr>
          <w:rFonts w:cstheme="minorHAnsi"/>
          <w:color w:val="313131"/>
          <w:lang w:eastAsia="en-AU"/>
        </w:rPr>
      </w:pPr>
      <w:r>
        <w:rPr>
          <w:rFonts w:cstheme="minorHAnsi"/>
          <w:color w:val="313131"/>
          <w:lang w:eastAsia="en-AU"/>
        </w:rPr>
        <w:t xml:space="preserve"> </w:t>
      </w:r>
    </w:p>
    <w:p w14:paraId="47A7AF9B" w14:textId="07CBD92A" w:rsidR="00E327E0" w:rsidRPr="001E2809" w:rsidRDefault="005C1D83" w:rsidP="000C029B">
      <w:pPr>
        <w:pStyle w:val="Heading3"/>
        <w:spacing w:before="0"/>
        <w:rPr>
          <w:lang w:eastAsia="en-AU"/>
        </w:rPr>
      </w:pPr>
      <w:bookmarkStart w:id="5" w:name="_Toc111195424"/>
      <w:r>
        <w:rPr>
          <w:lang w:eastAsia="en-AU"/>
        </w:rPr>
        <w:t>3.2</w:t>
      </w:r>
      <w:r>
        <w:rPr>
          <w:lang w:eastAsia="en-AU"/>
        </w:rPr>
        <w:tab/>
      </w:r>
      <w:r w:rsidR="00E327E0" w:rsidRPr="001E2809">
        <w:rPr>
          <w:lang w:eastAsia="en-AU"/>
        </w:rPr>
        <w:t>The real problem</w:t>
      </w:r>
      <w:bookmarkEnd w:id="5"/>
      <w:r w:rsidR="00E327E0" w:rsidRPr="001E2809">
        <w:rPr>
          <w:lang w:eastAsia="en-AU"/>
        </w:rPr>
        <w:t xml:space="preserve"> </w:t>
      </w:r>
    </w:p>
    <w:p w14:paraId="36E057D2" w14:textId="77777777" w:rsidR="006C2902" w:rsidRDefault="00AC46EA" w:rsidP="000C029B">
      <w:pPr>
        <w:spacing w:after="0" w:line="240" w:lineRule="auto"/>
        <w:rPr>
          <w:rFonts w:cstheme="minorHAnsi"/>
          <w:color w:val="313131"/>
          <w:lang w:eastAsia="en-AU"/>
        </w:rPr>
      </w:pPr>
      <w:r>
        <w:rPr>
          <w:rFonts w:cstheme="minorHAnsi"/>
          <w:color w:val="313131"/>
          <w:lang w:eastAsia="en-AU"/>
        </w:rPr>
        <w:t>At commencement, Infrastructure Australia sought proposals from the public.  O</w:t>
      </w:r>
      <w:r w:rsidR="00E327E0" w:rsidRPr="001E2809">
        <w:rPr>
          <w:rFonts w:cstheme="minorHAnsi"/>
          <w:color w:val="313131"/>
          <w:lang w:eastAsia="en-AU"/>
        </w:rPr>
        <w:t xml:space="preserve">nly a handful of many hundreds of </w:t>
      </w:r>
      <w:r>
        <w:rPr>
          <w:rFonts w:cstheme="minorHAnsi"/>
          <w:color w:val="313131"/>
          <w:lang w:eastAsia="en-AU"/>
        </w:rPr>
        <w:t>responses</w:t>
      </w:r>
      <w:r w:rsidR="00E327E0" w:rsidRPr="001E2809">
        <w:rPr>
          <w:rFonts w:cstheme="minorHAnsi"/>
          <w:color w:val="313131"/>
          <w:lang w:eastAsia="en-AU"/>
        </w:rPr>
        <w:t xml:space="preserve"> could answer the</w:t>
      </w:r>
      <w:r w:rsidR="00FB1B16">
        <w:rPr>
          <w:rFonts w:cstheme="minorHAnsi"/>
          <w:color w:val="313131"/>
          <w:lang w:eastAsia="en-AU"/>
        </w:rPr>
        <w:t xml:space="preserve"> ‘what’ </w:t>
      </w:r>
      <w:r w:rsidR="00E327E0" w:rsidRPr="001E2809">
        <w:rPr>
          <w:rFonts w:cstheme="minorHAnsi"/>
          <w:color w:val="313131"/>
          <w:lang w:eastAsia="en-AU"/>
        </w:rPr>
        <w:t>question</w:t>
      </w:r>
      <w:r>
        <w:rPr>
          <w:rFonts w:cstheme="minorHAnsi"/>
          <w:color w:val="313131"/>
          <w:lang w:eastAsia="en-AU"/>
        </w:rPr>
        <w:t>.  That</w:t>
      </w:r>
      <w:r w:rsidR="00B54648">
        <w:rPr>
          <w:rFonts w:cstheme="minorHAnsi"/>
          <w:color w:val="313131"/>
          <w:lang w:eastAsia="en-AU"/>
        </w:rPr>
        <w:t>, and an initial ‘audit</w:t>
      </w:r>
      <w:proofErr w:type="gramStart"/>
      <w:r w:rsidR="00B54648">
        <w:rPr>
          <w:rFonts w:cstheme="minorHAnsi"/>
          <w:color w:val="313131"/>
          <w:lang w:eastAsia="en-AU"/>
        </w:rPr>
        <w:t>’,</w:t>
      </w:r>
      <w:proofErr w:type="gramEnd"/>
      <w:r w:rsidR="00E327E0" w:rsidRPr="001E2809">
        <w:rPr>
          <w:rFonts w:cstheme="minorHAnsi"/>
          <w:color w:val="313131"/>
          <w:lang w:eastAsia="en-AU"/>
        </w:rPr>
        <w:t xml:space="preserve"> revealed the real problem </w:t>
      </w:r>
      <w:r>
        <w:rPr>
          <w:rFonts w:cstheme="minorHAnsi"/>
          <w:color w:val="313131"/>
          <w:lang w:eastAsia="en-AU"/>
        </w:rPr>
        <w:t>was</w:t>
      </w:r>
      <w:r w:rsidR="00E327E0" w:rsidRPr="001E2809">
        <w:rPr>
          <w:rFonts w:cstheme="minorHAnsi"/>
          <w:color w:val="313131"/>
          <w:lang w:eastAsia="en-AU"/>
        </w:rPr>
        <w:t xml:space="preserve"> an absence of plans and proposals that made sense.</w:t>
      </w:r>
    </w:p>
    <w:p w14:paraId="125E1C4D" w14:textId="1E978BF1" w:rsidR="00E327E0" w:rsidRPr="001E2809" w:rsidRDefault="00E327E0" w:rsidP="000C029B">
      <w:pPr>
        <w:spacing w:after="0" w:line="240" w:lineRule="auto"/>
        <w:rPr>
          <w:rFonts w:cstheme="minorHAnsi"/>
          <w:color w:val="313131"/>
          <w:lang w:eastAsia="en-AU"/>
        </w:rPr>
      </w:pPr>
      <w:r w:rsidRPr="001E2809">
        <w:rPr>
          <w:rFonts w:cstheme="minorHAnsi"/>
          <w:color w:val="313131"/>
          <w:lang w:eastAsia="en-AU"/>
        </w:rPr>
        <w:t xml:space="preserve"> </w:t>
      </w:r>
    </w:p>
    <w:p w14:paraId="586D1CB9" w14:textId="7B0E0FEC" w:rsidR="00E327E0" w:rsidRDefault="00E327E0" w:rsidP="000C029B">
      <w:pPr>
        <w:spacing w:after="0" w:line="240" w:lineRule="auto"/>
        <w:rPr>
          <w:rFonts w:cstheme="minorHAnsi"/>
          <w:color w:val="313131"/>
          <w:lang w:eastAsia="en-AU"/>
        </w:rPr>
      </w:pPr>
      <w:r w:rsidRPr="001E2809">
        <w:rPr>
          <w:rFonts w:cstheme="minorHAnsi"/>
          <w:color w:val="313131"/>
          <w:lang w:eastAsia="en-AU"/>
        </w:rPr>
        <w:t xml:space="preserve">It was apparent Australia’s infrastructure problem was not insufficient spending on meritorious proposals, but meretricious grabs for public funds and votes – pork barrelling - usually involving major roads.  Proponents – mostly governments - were generally unable to: make a rudimentary case for their ideas; identify or generate reasonable proposals. </w:t>
      </w:r>
      <w:r w:rsidR="00FB1B16">
        <w:rPr>
          <w:rFonts w:cstheme="minorHAnsi"/>
          <w:color w:val="313131"/>
          <w:lang w:eastAsia="en-AU"/>
        </w:rPr>
        <w:t xml:space="preserve"> </w:t>
      </w:r>
    </w:p>
    <w:p w14:paraId="6CF3BCCC" w14:textId="77777777" w:rsidR="00E327E0" w:rsidRPr="001E2809" w:rsidRDefault="00E327E0" w:rsidP="000C029B">
      <w:pPr>
        <w:spacing w:after="0" w:line="240" w:lineRule="auto"/>
        <w:rPr>
          <w:rFonts w:cstheme="minorHAnsi"/>
          <w:color w:val="313131"/>
          <w:lang w:eastAsia="en-AU"/>
        </w:rPr>
      </w:pPr>
    </w:p>
    <w:p w14:paraId="0F63B027" w14:textId="77777777" w:rsidR="00AC46EA" w:rsidRDefault="00AC46EA" w:rsidP="000C029B">
      <w:pPr>
        <w:pStyle w:val="Heading3"/>
        <w:spacing w:before="0"/>
        <w:rPr>
          <w:lang w:eastAsia="en-AU"/>
        </w:rPr>
      </w:pPr>
      <w:bookmarkStart w:id="6" w:name="_Toc111195425"/>
      <w:r>
        <w:rPr>
          <w:lang w:eastAsia="en-AU"/>
        </w:rPr>
        <w:t>3.3</w:t>
      </w:r>
      <w:r>
        <w:rPr>
          <w:lang w:eastAsia="en-AU"/>
        </w:rPr>
        <w:tab/>
        <w:t>Tackling the problem</w:t>
      </w:r>
      <w:bookmarkEnd w:id="6"/>
    </w:p>
    <w:p w14:paraId="13627C03" w14:textId="2ABCAD0D" w:rsidR="008269FA" w:rsidRDefault="002E0761" w:rsidP="000C029B">
      <w:pPr>
        <w:spacing w:after="0" w:line="240" w:lineRule="auto"/>
        <w:rPr>
          <w:rFonts w:cstheme="minorHAnsi"/>
          <w:color w:val="313131"/>
          <w:lang w:eastAsia="en-AU"/>
        </w:rPr>
      </w:pPr>
      <w:r>
        <w:rPr>
          <w:rFonts w:cstheme="minorHAnsi"/>
          <w:color w:val="313131"/>
          <w:lang w:eastAsia="en-AU"/>
        </w:rPr>
        <w:t xml:space="preserve">To avoid being continuously swamped </w:t>
      </w:r>
      <w:r w:rsidR="008269FA">
        <w:rPr>
          <w:rFonts w:cstheme="minorHAnsi"/>
          <w:color w:val="313131"/>
          <w:lang w:eastAsia="en-AU"/>
        </w:rPr>
        <w:t xml:space="preserve">by nonsense, </w:t>
      </w:r>
      <w:r w:rsidR="00E327E0" w:rsidRPr="001E2809">
        <w:rPr>
          <w:rFonts w:cstheme="minorHAnsi"/>
          <w:color w:val="313131"/>
          <w:lang w:eastAsia="en-AU"/>
        </w:rPr>
        <w:t>Infrastructure Australia sought to</w:t>
      </w:r>
      <w:r w:rsidR="008269FA">
        <w:rPr>
          <w:rFonts w:cstheme="minorHAnsi"/>
          <w:color w:val="313131"/>
          <w:lang w:eastAsia="en-AU"/>
        </w:rPr>
        <w:t xml:space="preserve"> limit proposals from States and categorise them from early ideas to ready to proceed.  </w:t>
      </w:r>
      <w:r w:rsidR="00F33557">
        <w:rPr>
          <w:rFonts w:cstheme="minorHAnsi"/>
          <w:color w:val="313131"/>
          <w:lang w:eastAsia="en-AU"/>
        </w:rPr>
        <w:t>I</w:t>
      </w:r>
      <w:r w:rsidR="008269FA">
        <w:rPr>
          <w:rFonts w:cstheme="minorHAnsi"/>
          <w:color w:val="313131"/>
          <w:lang w:eastAsia="en-AU"/>
        </w:rPr>
        <w:t>ntermediate categories – real potential and threshold</w:t>
      </w:r>
      <w:r w:rsidR="00F33557">
        <w:rPr>
          <w:rFonts w:cstheme="minorHAnsi"/>
          <w:color w:val="313131"/>
          <w:lang w:eastAsia="en-AU"/>
        </w:rPr>
        <w:t xml:space="preserve"> - were for</w:t>
      </w:r>
      <w:r w:rsidR="008269FA">
        <w:rPr>
          <w:rFonts w:cstheme="minorHAnsi"/>
          <w:color w:val="313131"/>
          <w:lang w:eastAsia="en-AU"/>
        </w:rPr>
        <w:t xml:space="preserve"> those with a realistic possibility of advancing.</w:t>
      </w:r>
    </w:p>
    <w:p w14:paraId="580D2C93" w14:textId="77777777" w:rsidR="008269FA" w:rsidRDefault="008269FA" w:rsidP="000C029B">
      <w:pPr>
        <w:spacing w:after="0" w:line="240" w:lineRule="auto"/>
        <w:rPr>
          <w:rFonts w:cstheme="minorHAnsi"/>
          <w:color w:val="313131"/>
          <w:lang w:eastAsia="en-AU"/>
        </w:rPr>
      </w:pPr>
    </w:p>
    <w:p w14:paraId="5D9EC4E9" w14:textId="097F9929" w:rsidR="00E327E0" w:rsidRPr="001E2809" w:rsidRDefault="008269FA" w:rsidP="000C029B">
      <w:pPr>
        <w:spacing w:after="0" w:line="240" w:lineRule="auto"/>
        <w:rPr>
          <w:rFonts w:cstheme="minorHAnsi"/>
          <w:color w:val="313131"/>
          <w:lang w:eastAsia="en-AU"/>
        </w:rPr>
      </w:pPr>
      <w:r>
        <w:rPr>
          <w:rFonts w:cstheme="minorHAnsi"/>
          <w:color w:val="313131"/>
          <w:lang w:eastAsia="en-AU"/>
        </w:rPr>
        <w:lastRenderedPageBreak/>
        <w:t xml:space="preserve">It sought to </w:t>
      </w:r>
      <w:r w:rsidR="00E327E0" w:rsidRPr="001E2809">
        <w:rPr>
          <w:rFonts w:cstheme="minorHAnsi"/>
          <w:color w:val="313131"/>
          <w:lang w:eastAsia="en-AU"/>
        </w:rPr>
        <w:t xml:space="preserve">address the </w:t>
      </w:r>
      <w:r w:rsidR="00AC46EA">
        <w:rPr>
          <w:rFonts w:cstheme="minorHAnsi"/>
          <w:color w:val="313131"/>
          <w:lang w:eastAsia="en-AU"/>
        </w:rPr>
        <w:t xml:space="preserve">inability to </w:t>
      </w:r>
      <w:r w:rsidR="002E0761">
        <w:rPr>
          <w:rFonts w:cstheme="minorHAnsi"/>
          <w:color w:val="313131"/>
          <w:lang w:eastAsia="en-AU"/>
        </w:rPr>
        <w:t xml:space="preserve">develop and explain proposals </w:t>
      </w:r>
      <w:r w:rsidR="00E327E0" w:rsidRPr="001E2809">
        <w:rPr>
          <w:rFonts w:cstheme="minorHAnsi"/>
          <w:color w:val="313131"/>
          <w:lang w:eastAsia="en-AU"/>
        </w:rPr>
        <w:t xml:space="preserve">by ‘working with proponents’ to improve </w:t>
      </w:r>
      <w:r w:rsidR="00966DC9">
        <w:rPr>
          <w:rFonts w:cstheme="minorHAnsi"/>
          <w:color w:val="313131"/>
          <w:lang w:eastAsia="en-AU"/>
        </w:rPr>
        <w:t>explanations of ‘what’</w:t>
      </w:r>
      <w:r w:rsidR="006C2902">
        <w:rPr>
          <w:rFonts w:cstheme="minorHAnsi"/>
          <w:color w:val="313131"/>
          <w:lang w:eastAsia="en-AU"/>
        </w:rPr>
        <w:t xml:space="preserve"> and</w:t>
      </w:r>
      <w:r w:rsidR="00966DC9">
        <w:rPr>
          <w:rFonts w:cstheme="minorHAnsi"/>
          <w:color w:val="313131"/>
          <w:lang w:eastAsia="en-AU"/>
        </w:rPr>
        <w:t xml:space="preserve"> </w:t>
      </w:r>
      <w:r w:rsidR="006C2902">
        <w:rPr>
          <w:rFonts w:cstheme="minorHAnsi"/>
          <w:color w:val="313131"/>
          <w:lang w:eastAsia="en-AU"/>
        </w:rPr>
        <w:t>demonstrate</w:t>
      </w:r>
      <w:r w:rsidR="00966DC9">
        <w:rPr>
          <w:rFonts w:cstheme="minorHAnsi"/>
          <w:color w:val="313131"/>
          <w:lang w:eastAsia="en-AU"/>
        </w:rPr>
        <w:t xml:space="preserve"> ‘worth’ by benefit-cost </w:t>
      </w:r>
      <w:r w:rsidR="00E327E0" w:rsidRPr="001E2809">
        <w:rPr>
          <w:rFonts w:cstheme="minorHAnsi"/>
          <w:color w:val="313131"/>
          <w:lang w:eastAsia="en-AU"/>
        </w:rPr>
        <w:t>analyses.  To save embarrassment, public release of information relating to proposals and assessments was limited.</w:t>
      </w:r>
    </w:p>
    <w:p w14:paraId="2EF50094" w14:textId="77777777" w:rsidR="00E327E0" w:rsidRPr="001E2809" w:rsidRDefault="00E327E0" w:rsidP="000C029B">
      <w:pPr>
        <w:spacing w:after="0" w:line="240" w:lineRule="auto"/>
        <w:rPr>
          <w:rFonts w:cstheme="minorHAnsi"/>
          <w:color w:val="313131"/>
          <w:lang w:eastAsia="en-AU"/>
        </w:rPr>
      </w:pPr>
    </w:p>
    <w:p w14:paraId="0823F0C1" w14:textId="555AB135" w:rsidR="00E327E0" w:rsidRDefault="00E327E0" w:rsidP="000C029B">
      <w:pPr>
        <w:spacing w:after="0" w:line="240" w:lineRule="auto"/>
        <w:rPr>
          <w:rFonts w:cstheme="minorHAnsi"/>
          <w:color w:val="313131"/>
          <w:lang w:eastAsia="en-AU"/>
        </w:rPr>
      </w:pPr>
      <w:r w:rsidRPr="001E2809">
        <w:rPr>
          <w:rFonts w:cstheme="minorHAnsi"/>
          <w:color w:val="313131"/>
          <w:lang w:eastAsia="en-AU"/>
        </w:rPr>
        <w:t xml:space="preserve">To address the </w:t>
      </w:r>
      <w:r w:rsidR="002E0761">
        <w:rPr>
          <w:rFonts w:cstheme="minorHAnsi"/>
          <w:color w:val="313131"/>
          <w:lang w:eastAsia="en-AU"/>
        </w:rPr>
        <w:t xml:space="preserve">inability to </w:t>
      </w:r>
      <w:r w:rsidRPr="001E2809">
        <w:rPr>
          <w:rFonts w:cstheme="minorHAnsi"/>
          <w:color w:val="313131"/>
          <w:lang w:eastAsia="en-AU"/>
        </w:rPr>
        <w:t>identif</w:t>
      </w:r>
      <w:r w:rsidR="002E0761">
        <w:rPr>
          <w:rFonts w:cstheme="minorHAnsi"/>
          <w:color w:val="313131"/>
          <w:lang w:eastAsia="en-AU"/>
        </w:rPr>
        <w:t>y</w:t>
      </w:r>
      <w:r w:rsidRPr="001E2809">
        <w:rPr>
          <w:rFonts w:cstheme="minorHAnsi"/>
          <w:color w:val="313131"/>
          <w:lang w:eastAsia="en-AU"/>
        </w:rPr>
        <w:t xml:space="preserve"> proposals</w:t>
      </w:r>
      <w:r w:rsidR="00EE6C46">
        <w:rPr>
          <w:rFonts w:cstheme="minorHAnsi"/>
          <w:color w:val="313131"/>
          <w:lang w:eastAsia="en-AU"/>
        </w:rPr>
        <w:t xml:space="preserve"> suitable for Commonwealth consideration</w:t>
      </w:r>
      <w:r w:rsidR="002E0761">
        <w:rPr>
          <w:rFonts w:cstheme="minorHAnsi"/>
          <w:color w:val="313131"/>
          <w:lang w:eastAsia="en-AU"/>
        </w:rPr>
        <w:t xml:space="preserve">, </w:t>
      </w:r>
      <w:r w:rsidRPr="001E2809">
        <w:rPr>
          <w:rFonts w:cstheme="minorHAnsi"/>
          <w:color w:val="313131"/>
          <w:lang w:eastAsia="en-AU"/>
        </w:rPr>
        <w:t xml:space="preserve">Infrastructure Australia published documents </w:t>
      </w:r>
      <w:r w:rsidR="006A5D42">
        <w:rPr>
          <w:rFonts w:cstheme="minorHAnsi"/>
          <w:color w:val="313131"/>
          <w:lang w:eastAsia="en-AU"/>
        </w:rPr>
        <w:t>emphasising the need for sound policy as a precondition for infrastructure spending – ‘reform and invest</w:t>
      </w:r>
      <w:proofErr w:type="gramStart"/>
      <w:r w:rsidR="006A5D42">
        <w:rPr>
          <w:rFonts w:cstheme="minorHAnsi"/>
          <w:color w:val="313131"/>
          <w:lang w:eastAsia="en-AU"/>
        </w:rPr>
        <w:t>’.</w:t>
      </w:r>
      <w:proofErr w:type="gramEnd"/>
      <w:r w:rsidR="006A5D42">
        <w:rPr>
          <w:rFonts w:cstheme="minorHAnsi"/>
          <w:color w:val="313131"/>
          <w:lang w:eastAsia="en-AU"/>
        </w:rPr>
        <w:t xml:space="preserve">  It also published</w:t>
      </w:r>
      <w:r w:rsidRPr="001E2809">
        <w:rPr>
          <w:rFonts w:cstheme="minorHAnsi"/>
          <w:color w:val="313131"/>
          <w:lang w:eastAsia="en-AU"/>
        </w:rPr>
        <w:t xml:space="preserve"> national plans – ‘strategies’ – </w:t>
      </w:r>
      <w:r w:rsidR="00EE6C46">
        <w:rPr>
          <w:rFonts w:cstheme="minorHAnsi"/>
          <w:color w:val="313131"/>
          <w:lang w:eastAsia="en-AU"/>
        </w:rPr>
        <w:t xml:space="preserve">like </w:t>
      </w:r>
      <w:r w:rsidRPr="001E2809">
        <w:rPr>
          <w:rFonts w:cstheme="minorHAnsi"/>
          <w:color w:val="313131"/>
          <w:lang w:eastAsia="en-AU"/>
        </w:rPr>
        <w:t xml:space="preserve">ports, </w:t>
      </w:r>
      <w:proofErr w:type="gramStart"/>
      <w:r w:rsidRPr="001E2809">
        <w:rPr>
          <w:rFonts w:cstheme="minorHAnsi"/>
          <w:color w:val="313131"/>
          <w:lang w:eastAsia="en-AU"/>
        </w:rPr>
        <w:t>freight</w:t>
      </w:r>
      <w:proofErr w:type="gramEnd"/>
      <w:r w:rsidRPr="001E2809">
        <w:rPr>
          <w:rFonts w:cstheme="minorHAnsi"/>
          <w:color w:val="313131"/>
          <w:lang w:eastAsia="en-AU"/>
        </w:rPr>
        <w:t xml:space="preserve"> and urban transport.  Conformance with these would identify nationally significant proposals.  The documents were welcomed by industry and community groups but outraged some bureaucrats – for interdicting monument building and showing up decades-long advisory failures.</w:t>
      </w:r>
    </w:p>
    <w:p w14:paraId="711CA1EB" w14:textId="77777777" w:rsidR="00FD0F48" w:rsidRDefault="00FD0F48" w:rsidP="000C029B">
      <w:pPr>
        <w:spacing w:after="0" w:line="240" w:lineRule="auto"/>
        <w:rPr>
          <w:rFonts w:cstheme="minorHAnsi"/>
          <w:color w:val="313131"/>
          <w:lang w:eastAsia="en-AU"/>
        </w:rPr>
      </w:pPr>
    </w:p>
    <w:p w14:paraId="623F2671" w14:textId="575EF653" w:rsidR="00966DC9" w:rsidRDefault="00966DC9" w:rsidP="000C029B">
      <w:pPr>
        <w:spacing w:after="0" w:line="240" w:lineRule="auto"/>
        <w:rPr>
          <w:rFonts w:cstheme="minorHAnsi"/>
          <w:color w:val="313131"/>
          <w:lang w:eastAsia="en-AU"/>
        </w:rPr>
      </w:pPr>
      <w:r>
        <w:rPr>
          <w:rFonts w:cstheme="minorHAnsi"/>
          <w:color w:val="313131"/>
          <w:lang w:eastAsia="en-AU"/>
        </w:rPr>
        <w:t xml:space="preserve">The above </w:t>
      </w:r>
      <w:r w:rsidR="00EE6C46">
        <w:rPr>
          <w:rFonts w:cstheme="minorHAnsi"/>
          <w:color w:val="313131"/>
          <w:lang w:eastAsia="en-AU"/>
        </w:rPr>
        <w:t xml:space="preserve">indicates </w:t>
      </w:r>
      <w:r>
        <w:rPr>
          <w:rFonts w:cstheme="minorHAnsi"/>
          <w:color w:val="313131"/>
          <w:lang w:eastAsia="en-AU"/>
        </w:rPr>
        <w:t xml:space="preserve">an implicit assumption: the ‘why’ of Commonwealth involvement </w:t>
      </w:r>
      <w:r w:rsidR="00EE6C46">
        <w:rPr>
          <w:rFonts w:cstheme="minorHAnsi"/>
          <w:color w:val="313131"/>
          <w:lang w:eastAsia="en-AU"/>
        </w:rPr>
        <w:t xml:space="preserve">was </w:t>
      </w:r>
      <w:r>
        <w:rPr>
          <w:rFonts w:cstheme="minorHAnsi"/>
          <w:color w:val="313131"/>
          <w:lang w:eastAsia="en-AU"/>
        </w:rPr>
        <w:t xml:space="preserve">national significance.  That was satisfied by projects </w:t>
      </w:r>
      <w:r w:rsidR="00EE6C46">
        <w:rPr>
          <w:rFonts w:cstheme="minorHAnsi"/>
          <w:color w:val="313131"/>
          <w:lang w:eastAsia="en-AU"/>
        </w:rPr>
        <w:t xml:space="preserve">costing </w:t>
      </w:r>
      <w:r>
        <w:rPr>
          <w:rFonts w:cstheme="minorHAnsi"/>
          <w:color w:val="313131"/>
          <w:lang w:eastAsia="en-AU"/>
        </w:rPr>
        <w:t xml:space="preserve">more than several hundred million dollars.  </w:t>
      </w:r>
    </w:p>
    <w:p w14:paraId="7E30D08A" w14:textId="77777777" w:rsidR="00966DC9" w:rsidRDefault="00966DC9" w:rsidP="000C029B">
      <w:pPr>
        <w:spacing w:after="0" w:line="240" w:lineRule="auto"/>
        <w:rPr>
          <w:rFonts w:cstheme="minorHAnsi"/>
          <w:color w:val="313131"/>
          <w:lang w:eastAsia="en-AU"/>
        </w:rPr>
      </w:pPr>
    </w:p>
    <w:p w14:paraId="01A715DE" w14:textId="3A0DCF8E" w:rsidR="00F51E3E" w:rsidRDefault="00EE6C46" w:rsidP="000C029B">
      <w:pPr>
        <w:spacing w:after="0" w:line="240" w:lineRule="auto"/>
        <w:rPr>
          <w:rFonts w:cstheme="minorHAnsi"/>
          <w:color w:val="313131"/>
          <w:lang w:eastAsia="en-AU"/>
        </w:rPr>
      </w:pPr>
      <w:r>
        <w:rPr>
          <w:rFonts w:cstheme="minorHAnsi"/>
          <w:color w:val="313131"/>
          <w:lang w:eastAsia="en-AU"/>
        </w:rPr>
        <w:t>Yet</w:t>
      </w:r>
      <w:r w:rsidR="00966DC9">
        <w:rPr>
          <w:rFonts w:cstheme="minorHAnsi"/>
          <w:color w:val="313131"/>
          <w:lang w:eastAsia="en-AU"/>
        </w:rPr>
        <w:t xml:space="preserve"> </w:t>
      </w:r>
      <w:r>
        <w:rPr>
          <w:rFonts w:cstheme="minorHAnsi"/>
          <w:color w:val="313131"/>
          <w:lang w:eastAsia="en-AU"/>
        </w:rPr>
        <w:t>States</w:t>
      </w:r>
      <w:r w:rsidR="00966DC9">
        <w:rPr>
          <w:rFonts w:cstheme="minorHAnsi"/>
          <w:color w:val="313131"/>
          <w:lang w:eastAsia="en-AU"/>
        </w:rPr>
        <w:t xml:space="preserve"> continued to undertake other major projects without seeking Commonwealth involvement</w:t>
      </w:r>
      <w:r>
        <w:rPr>
          <w:rFonts w:cstheme="minorHAnsi"/>
          <w:color w:val="313131"/>
          <w:lang w:eastAsia="en-AU"/>
        </w:rPr>
        <w:t>.  That</w:t>
      </w:r>
      <w:r w:rsidR="00ED6A77">
        <w:rPr>
          <w:rFonts w:cstheme="minorHAnsi"/>
          <w:color w:val="313131"/>
          <w:lang w:eastAsia="en-AU"/>
        </w:rPr>
        <w:t xml:space="preserve"> implied a primary motivation, the truth about ‘why’</w:t>
      </w:r>
      <w:r>
        <w:rPr>
          <w:rFonts w:cstheme="minorHAnsi"/>
          <w:color w:val="313131"/>
          <w:lang w:eastAsia="en-AU"/>
        </w:rPr>
        <w:t xml:space="preserve"> for proposals put to Infrastructure Australia,</w:t>
      </w:r>
      <w:r w:rsidR="00ED6A77">
        <w:rPr>
          <w:rFonts w:cstheme="minorHAnsi"/>
          <w:color w:val="313131"/>
          <w:lang w:eastAsia="en-AU"/>
        </w:rPr>
        <w:t xml:space="preserve"> </w:t>
      </w:r>
      <w:r>
        <w:rPr>
          <w:rFonts w:cstheme="minorHAnsi"/>
          <w:color w:val="313131"/>
          <w:lang w:eastAsia="en-AU"/>
        </w:rPr>
        <w:t xml:space="preserve">was State rather than Commonwealth interests.  States saw opportunity for additional </w:t>
      </w:r>
      <w:r w:rsidR="00ED6A77">
        <w:rPr>
          <w:rFonts w:cstheme="minorHAnsi"/>
          <w:color w:val="313131"/>
          <w:lang w:eastAsia="en-AU"/>
        </w:rPr>
        <w:t xml:space="preserve">Commonwealth funds and kudos rather than </w:t>
      </w:r>
      <w:r w:rsidR="00B36E13">
        <w:rPr>
          <w:rFonts w:cstheme="minorHAnsi"/>
          <w:color w:val="313131"/>
          <w:lang w:eastAsia="en-AU"/>
        </w:rPr>
        <w:t xml:space="preserve">responding to (any) long-term </w:t>
      </w:r>
      <w:r w:rsidR="00ED6A77">
        <w:rPr>
          <w:rFonts w:cstheme="minorHAnsi"/>
          <w:color w:val="313131"/>
          <w:lang w:eastAsia="en-AU"/>
        </w:rPr>
        <w:t>Commonwealth</w:t>
      </w:r>
      <w:r w:rsidR="00B36E13">
        <w:rPr>
          <w:rFonts w:cstheme="minorHAnsi"/>
          <w:color w:val="313131"/>
          <w:lang w:eastAsia="en-AU"/>
        </w:rPr>
        <w:t xml:space="preserve"> </w:t>
      </w:r>
      <w:r w:rsidR="00ED6A77">
        <w:rPr>
          <w:rFonts w:cstheme="minorHAnsi"/>
          <w:color w:val="313131"/>
          <w:lang w:eastAsia="en-AU"/>
        </w:rPr>
        <w:t>goals</w:t>
      </w:r>
      <w:r w:rsidR="00491E6C">
        <w:rPr>
          <w:rFonts w:cstheme="minorHAnsi"/>
          <w:color w:val="313131"/>
          <w:lang w:eastAsia="en-AU"/>
        </w:rPr>
        <w:t>.  This was</w:t>
      </w:r>
      <w:r w:rsidR="00B36E13">
        <w:rPr>
          <w:rFonts w:cstheme="minorHAnsi"/>
          <w:color w:val="313131"/>
          <w:lang w:eastAsia="en-AU"/>
        </w:rPr>
        <w:t xml:space="preserve"> reinforced by </w:t>
      </w:r>
      <w:r w:rsidR="00491E6C">
        <w:rPr>
          <w:rFonts w:cstheme="minorHAnsi"/>
          <w:color w:val="313131"/>
          <w:lang w:eastAsia="en-AU"/>
        </w:rPr>
        <w:t xml:space="preserve">States </w:t>
      </w:r>
      <w:r w:rsidR="00225AEE">
        <w:rPr>
          <w:rFonts w:cstheme="minorHAnsi"/>
          <w:color w:val="313131"/>
          <w:lang w:eastAsia="en-AU"/>
        </w:rPr>
        <w:t xml:space="preserve">having to </w:t>
      </w:r>
      <w:r w:rsidR="00B36E13">
        <w:rPr>
          <w:rFonts w:cstheme="minorHAnsi"/>
          <w:color w:val="313131"/>
          <w:lang w:eastAsia="en-AU"/>
        </w:rPr>
        <w:t xml:space="preserve">deal with </w:t>
      </w:r>
      <w:r w:rsidR="00225AEE">
        <w:rPr>
          <w:rFonts w:cstheme="minorHAnsi"/>
          <w:color w:val="313131"/>
          <w:lang w:eastAsia="en-AU"/>
        </w:rPr>
        <w:t xml:space="preserve">great uncertainties arising from </w:t>
      </w:r>
      <w:r w:rsidR="00491E6C">
        <w:rPr>
          <w:rFonts w:cstheme="minorHAnsi"/>
          <w:color w:val="313131"/>
          <w:lang w:eastAsia="en-AU"/>
        </w:rPr>
        <w:t xml:space="preserve">Commonwealth </w:t>
      </w:r>
      <w:r w:rsidR="00B36E13">
        <w:rPr>
          <w:rFonts w:cstheme="minorHAnsi"/>
          <w:color w:val="313131"/>
          <w:lang w:eastAsia="en-AU"/>
        </w:rPr>
        <w:t>flux over a considerable period</w:t>
      </w:r>
      <w:r w:rsidR="00ED6A77">
        <w:rPr>
          <w:rFonts w:cstheme="minorHAnsi"/>
          <w:color w:val="313131"/>
          <w:lang w:eastAsia="en-AU"/>
        </w:rPr>
        <w:t>.</w:t>
      </w:r>
      <w:r w:rsidR="000A62F2">
        <w:rPr>
          <w:rFonts w:cstheme="minorHAnsi"/>
          <w:color w:val="313131"/>
          <w:lang w:eastAsia="en-AU"/>
        </w:rPr>
        <w:t xml:space="preserve">  </w:t>
      </w:r>
    </w:p>
    <w:p w14:paraId="1FC3AC9C" w14:textId="77777777" w:rsidR="00F51E3E" w:rsidRDefault="00F51E3E" w:rsidP="000C029B">
      <w:pPr>
        <w:spacing w:after="0" w:line="240" w:lineRule="auto"/>
        <w:rPr>
          <w:rFonts w:cstheme="minorHAnsi"/>
          <w:color w:val="313131"/>
          <w:lang w:eastAsia="en-AU"/>
        </w:rPr>
      </w:pPr>
    </w:p>
    <w:p w14:paraId="1EAFF8E9" w14:textId="1F155D67" w:rsidR="00966DC9" w:rsidRPr="001E2809" w:rsidRDefault="00491E6C" w:rsidP="000C029B">
      <w:pPr>
        <w:spacing w:after="0" w:line="240" w:lineRule="auto"/>
        <w:rPr>
          <w:rFonts w:cstheme="minorHAnsi"/>
          <w:color w:val="313131"/>
          <w:lang w:eastAsia="en-AU"/>
        </w:rPr>
      </w:pPr>
      <w:r>
        <w:rPr>
          <w:rFonts w:cstheme="minorHAnsi"/>
          <w:color w:val="313131"/>
          <w:lang w:eastAsia="en-AU"/>
        </w:rPr>
        <w:t>W</w:t>
      </w:r>
      <w:r w:rsidR="000A62F2">
        <w:rPr>
          <w:rFonts w:cstheme="minorHAnsi"/>
          <w:color w:val="313131"/>
          <w:lang w:eastAsia="en-AU"/>
        </w:rPr>
        <w:t>ithout Commonwealth adoption of ‘strategies</w:t>
      </w:r>
      <w:proofErr w:type="gramStart"/>
      <w:r w:rsidR="000A62F2">
        <w:rPr>
          <w:rFonts w:cstheme="minorHAnsi"/>
          <w:color w:val="313131"/>
          <w:lang w:eastAsia="en-AU"/>
        </w:rPr>
        <w:t>’,</w:t>
      </w:r>
      <w:proofErr w:type="gramEnd"/>
      <w:r w:rsidR="000A62F2">
        <w:rPr>
          <w:rFonts w:cstheme="minorHAnsi"/>
          <w:color w:val="313131"/>
          <w:lang w:eastAsia="en-AU"/>
        </w:rPr>
        <w:t xml:space="preserve"> to the extent Infrastructure Australia was effective, Commonwealth </w:t>
      </w:r>
      <w:r w:rsidR="00F51E3E">
        <w:rPr>
          <w:rFonts w:cstheme="minorHAnsi"/>
          <w:color w:val="313131"/>
          <w:lang w:eastAsia="en-AU"/>
        </w:rPr>
        <w:t>economic-infrastructure policy w</w:t>
      </w:r>
      <w:r w:rsidR="00B36E13">
        <w:rPr>
          <w:rFonts w:cstheme="minorHAnsi"/>
          <w:color w:val="313131"/>
          <w:lang w:eastAsia="en-AU"/>
        </w:rPr>
        <w:t xml:space="preserve">ould </w:t>
      </w:r>
      <w:r w:rsidR="000A62F2">
        <w:rPr>
          <w:rFonts w:cstheme="minorHAnsi"/>
          <w:color w:val="313131"/>
          <w:lang w:eastAsia="en-AU"/>
        </w:rPr>
        <w:t xml:space="preserve">largely </w:t>
      </w:r>
      <w:r w:rsidR="00B36E13">
        <w:rPr>
          <w:rFonts w:cstheme="minorHAnsi"/>
          <w:color w:val="313131"/>
          <w:lang w:eastAsia="en-AU"/>
        </w:rPr>
        <w:t xml:space="preserve">be </w:t>
      </w:r>
      <w:r w:rsidR="000A62F2">
        <w:rPr>
          <w:rFonts w:cstheme="minorHAnsi"/>
          <w:color w:val="313131"/>
          <w:lang w:eastAsia="en-AU"/>
        </w:rPr>
        <w:t>set by States.</w:t>
      </w:r>
      <w:r>
        <w:rPr>
          <w:rStyle w:val="FootnoteReference"/>
          <w:rFonts w:cstheme="minorHAnsi"/>
          <w:color w:val="313131"/>
          <w:lang w:eastAsia="en-AU"/>
        </w:rPr>
        <w:footnoteReference w:id="4"/>
      </w:r>
      <w:r w:rsidR="000A62F2">
        <w:rPr>
          <w:rFonts w:cstheme="minorHAnsi"/>
          <w:color w:val="313131"/>
          <w:lang w:eastAsia="en-AU"/>
        </w:rPr>
        <w:t xml:space="preserve"> </w:t>
      </w:r>
    </w:p>
    <w:p w14:paraId="65D7DE6C" w14:textId="77777777" w:rsidR="00E327E0" w:rsidRPr="001E2809" w:rsidRDefault="00E327E0" w:rsidP="000C029B">
      <w:pPr>
        <w:spacing w:after="0" w:line="240" w:lineRule="auto"/>
        <w:rPr>
          <w:rFonts w:cstheme="minorHAnsi"/>
          <w:color w:val="313131"/>
          <w:lang w:eastAsia="en-AU"/>
        </w:rPr>
      </w:pPr>
    </w:p>
    <w:p w14:paraId="35B6DAA9" w14:textId="2FC974D0" w:rsidR="00B54648" w:rsidRDefault="00B54648" w:rsidP="000C029B">
      <w:pPr>
        <w:pStyle w:val="Heading3"/>
        <w:spacing w:before="0"/>
        <w:rPr>
          <w:lang w:eastAsia="en-AU"/>
        </w:rPr>
      </w:pPr>
      <w:bookmarkStart w:id="7" w:name="_Toc111195426"/>
      <w:r>
        <w:rPr>
          <w:lang w:eastAsia="en-AU"/>
        </w:rPr>
        <w:t>3.4</w:t>
      </w:r>
      <w:r>
        <w:rPr>
          <w:lang w:eastAsia="en-AU"/>
        </w:rPr>
        <w:tab/>
        <w:t>Implications</w:t>
      </w:r>
      <w:bookmarkEnd w:id="7"/>
    </w:p>
    <w:p w14:paraId="257CCBEC" w14:textId="0ED5A8BC" w:rsidR="00E327E0" w:rsidRPr="001E2809" w:rsidRDefault="00E327E0" w:rsidP="000C029B">
      <w:pPr>
        <w:spacing w:after="0" w:line="240" w:lineRule="auto"/>
        <w:rPr>
          <w:rFonts w:cstheme="minorHAnsi"/>
          <w:color w:val="313131"/>
          <w:lang w:eastAsia="en-AU"/>
        </w:rPr>
      </w:pPr>
      <w:r w:rsidRPr="001E2809">
        <w:rPr>
          <w:rFonts w:cstheme="minorHAnsi"/>
          <w:color w:val="313131"/>
          <w:lang w:eastAsia="en-AU"/>
        </w:rPr>
        <w:t xml:space="preserve">Such roles should have been temporary with Infrastructure Australia soon returning to its original task of publishing its assessments of proposals put to the Commonwealth – rather than helping to generate and write them.  </w:t>
      </w:r>
    </w:p>
    <w:p w14:paraId="3FA7EBC9" w14:textId="77777777" w:rsidR="00E327E0" w:rsidRPr="001E2809" w:rsidRDefault="00E327E0" w:rsidP="000C029B">
      <w:pPr>
        <w:spacing w:after="0" w:line="240" w:lineRule="auto"/>
        <w:rPr>
          <w:rFonts w:cstheme="minorHAnsi"/>
          <w:color w:val="313131"/>
          <w:lang w:eastAsia="en-AU"/>
        </w:rPr>
      </w:pPr>
    </w:p>
    <w:p w14:paraId="7A5A9ECC" w14:textId="77777777" w:rsidR="00B54648" w:rsidRDefault="00E327E0" w:rsidP="000C029B">
      <w:pPr>
        <w:spacing w:after="0" w:line="240" w:lineRule="auto"/>
        <w:rPr>
          <w:rFonts w:cstheme="minorHAnsi"/>
          <w:color w:val="313131"/>
          <w:lang w:eastAsia="en-AU"/>
        </w:rPr>
      </w:pPr>
      <w:r w:rsidRPr="001E2809">
        <w:rPr>
          <w:rFonts w:cstheme="minorHAnsi"/>
          <w:color w:val="313131"/>
          <w:lang w:eastAsia="en-AU"/>
        </w:rPr>
        <w:t xml:space="preserve">The revelation ‘infrastructure’ was seen as another way of grabbing public funds and votes meant Infrastructure Australia’s role was more important than perceived. </w:t>
      </w:r>
    </w:p>
    <w:p w14:paraId="47D88FAD" w14:textId="77777777" w:rsidR="00B54648" w:rsidRDefault="00B54648" w:rsidP="000C029B">
      <w:pPr>
        <w:spacing w:after="0" w:line="240" w:lineRule="auto"/>
        <w:rPr>
          <w:rFonts w:cstheme="minorHAnsi"/>
          <w:color w:val="313131"/>
          <w:lang w:eastAsia="en-AU"/>
        </w:rPr>
      </w:pPr>
    </w:p>
    <w:p w14:paraId="715DFFE6" w14:textId="0719F1BF" w:rsidR="00491E6C" w:rsidRDefault="00E327E0" w:rsidP="000C029B">
      <w:pPr>
        <w:spacing w:after="0" w:line="240" w:lineRule="auto"/>
        <w:rPr>
          <w:rFonts w:cstheme="minorHAnsi"/>
          <w:color w:val="313131"/>
          <w:lang w:eastAsia="en-AU"/>
        </w:rPr>
      </w:pPr>
      <w:r w:rsidRPr="001E2809">
        <w:rPr>
          <w:rFonts w:cstheme="minorHAnsi"/>
          <w:color w:val="313131"/>
          <w:lang w:eastAsia="en-AU"/>
        </w:rPr>
        <w:t xml:space="preserve">In Australia’s </w:t>
      </w:r>
      <w:r w:rsidR="00F13E9D">
        <w:rPr>
          <w:rFonts w:cstheme="minorHAnsi"/>
          <w:color w:val="313131"/>
          <w:lang w:eastAsia="en-AU"/>
        </w:rPr>
        <w:t xml:space="preserve">democratic </w:t>
      </w:r>
      <w:r w:rsidRPr="001E2809">
        <w:rPr>
          <w:rFonts w:cstheme="minorHAnsi"/>
          <w:color w:val="313131"/>
          <w:lang w:eastAsia="en-AU"/>
        </w:rPr>
        <w:t>system of responsible government, elected representatives are entitled to spend public monies as they lawfully choose – whether or not recommended by ‘</w:t>
      </w:r>
      <w:proofErr w:type="gramStart"/>
      <w:r w:rsidRPr="001E2809">
        <w:rPr>
          <w:rFonts w:cstheme="minorHAnsi"/>
          <w:color w:val="313131"/>
          <w:lang w:eastAsia="en-AU"/>
        </w:rPr>
        <w:t>experts’</w:t>
      </w:r>
      <w:proofErr w:type="gramEnd"/>
      <w:r w:rsidRPr="001E2809">
        <w:rPr>
          <w:rFonts w:cstheme="minorHAnsi"/>
          <w:color w:val="313131"/>
          <w:lang w:eastAsia="en-AU"/>
        </w:rPr>
        <w:t xml:space="preserve">. </w:t>
      </w:r>
      <w:r w:rsidR="00B54648">
        <w:rPr>
          <w:rFonts w:cstheme="minorHAnsi"/>
          <w:color w:val="313131"/>
          <w:lang w:eastAsia="en-AU"/>
        </w:rPr>
        <w:t xml:space="preserve"> </w:t>
      </w:r>
    </w:p>
    <w:p w14:paraId="2E5C2AA9" w14:textId="77777777" w:rsidR="00491E6C" w:rsidRDefault="00491E6C" w:rsidP="000C029B">
      <w:pPr>
        <w:spacing w:after="0" w:line="240" w:lineRule="auto"/>
        <w:rPr>
          <w:rFonts w:cstheme="minorHAnsi"/>
          <w:color w:val="313131"/>
          <w:lang w:eastAsia="en-AU"/>
        </w:rPr>
      </w:pPr>
    </w:p>
    <w:p w14:paraId="13869C5C" w14:textId="188BBB36" w:rsidR="00B54648" w:rsidRDefault="00F13E9D" w:rsidP="000C029B">
      <w:pPr>
        <w:spacing w:after="0" w:line="240" w:lineRule="auto"/>
        <w:rPr>
          <w:rFonts w:cstheme="minorHAnsi"/>
          <w:color w:val="313131"/>
          <w:lang w:eastAsia="en-AU"/>
        </w:rPr>
      </w:pPr>
      <w:r>
        <w:rPr>
          <w:rFonts w:cstheme="minorHAnsi"/>
          <w:color w:val="313131"/>
          <w:lang w:eastAsia="en-AU"/>
        </w:rPr>
        <w:t>To be effective, this system</w:t>
      </w:r>
      <w:r w:rsidR="00E327E0" w:rsidRPr="001E2809">
        <w:rPr>
          <w:rFonts w:cstheme="minorHAnsi"/>
          <w:color w:val="313131"/>
          <w:lang w:eastAsia="en-AU"/>
        </w:rPr>
        <w:t xml:space="preserve"> requires the public</w:t>
      </w:r>
      <w:r w:rsidR="00B36E13">
        <w:rPr>
          <w:rFonts w:cstheme="minorHAnsi"/>
          <w:color w:val="313131"/>
          <w:lang w:eastAsia="en-AU"/>
        </w:rPr>
        <w:t xml:space="preserve"> </w:t>
      </w:r>
      <w:r>
        <w:rPr>
          <w:rFonts w:cstheme="minorHAnsi"/>
          <w:color w:val="313131"/>
          <w:lang w:eastAsia="en-AU"/>
        </w:rPr>
        <w:t>be</w:t>
      </w:r>
      <w:r w:rsidR="00B36E13">
        <w:rPr>
          <w:rFonts w:cstheme="minorHAnsi"/>
          <w:color w:val="313131"/>
          <w:lang w:eastAsia="en-AU"/>
        </w:rPr>
        <w:t xml:space="preserve"> </w:t>
      </w:r>
      <w:r w:rsidR="00491E6C">
        <w:rPr>
          <w:rFonts w:cstheme="minorHAnsi"/>
          <w:color w:val="313131"/>
          <w:lang w:eastAsia="en-AU"/>
        </w:rPr>
        <w:t xml:space="preserve">told </w:t>
      </w:r>
      <w:r w:rsidR="00B36E13">
        <w:rPr>
          <w:rFonts w:cstheme="minorHAnsi"/>
          <w:color w:val="313131"/>
          <w:lang w:eastAsia="en-AU"/>
        </w:rPr>
        <w:t>the</w:t>
      </w:r>
      <w:r w:rsidR="00E327E0" w:rsidRPr="001E2809">
        <w:rPr>
          <w:rFonts w:cstheme="minorHAnsi"/>
          <w:color w:val="313131"/>
          <w:lang w:eastAsia="en-AU"/>
        </w:rPr>
        <w:t xml:space="preserve"> what</w:t>
      </w:r>
      <w:r w:rsidR="00B36E13">
        <w:rPr>
          <w:rFonts w:cstheme="minorHAnsi"/>
          <w:color w:val="313131"/>
          <w:lang w:eastAsia="en-AU"/>
        </w:rPr>
        <w:t>, why</w:t>
      </w:r>
      <w:r w:rsidR="00E327E0" w:rsidRPr="001E2809">
        <w:rPr>
          <w:rFonts w:cstheme="minorHAnsi"/>
          <w:color w:val="313131"/>
          <w:lang w:eastAsia="en-AU"/>
        </w:rPr>
        <w:t xml:space="preserve"> and worth of s</w:t>
      </w:r>
      <w:r>
        <w:rPr>
          <w:rFonts w:cstheme="minorHAnsi"/>
          <w:color w:val="313131"/>
          <w:lang w:eastAsia="en-AU"/>
        </w:rPr>
        <w:t>ignificant s</w:t>
      </w:r>
      <w:r w:rsidR="00E327E0" w:rsidRPr="001E2809">
        <w:rPr>
          <w:rFonts w:cstheme="minorHAnsi"/>
          <w:color w:val="313131"/>
          <w:lang w:eastAsia="en-AU"/>
        </w:rPr>
        <w:t xml:space="preserve">pending proposals.  </w:t>
      </w:r>
      <w:r w:rsidR="00B54648">
        <w:rPr>
          <w:rFonts w:cstheme="minorHAnsi"/>
          <w:color w:val="313131"/>
          <w:lang w:eastAsia="en-AU"/>
        </w:rPr>
        <w:t>Infrastructure Australia’s actions implied the public had not been informed about proposals</w:t>
      </w:r>
      <w:r w:rsidR="009046E9">
        <w:rPr>
          <w:rFonts w:cstheme="minorHAnsi"/>
          <w:color w:val="313131"/>
          <w:lang w:eastAsia="en-AU"/>
        </w:rPr>
        <w:t xml:space="preserve"> </w:t>
      </w:r>
      <w:r w:rsidR="00B36E13">
        <w:rPr>
          <w:rFonts w:cstheme="minorHAnsi"/>
          <w:color w:val="313131"/>
          <w:lang w:eastAsia="en-AU"/>
        </w:rPr>
        <w:t>the Commonwealth</w:t>
      </w:r>
      <w:r w:rsidR="009046E9">
        <w:rPr>
          <w:rFonts w:cstheme="minorHAnsi"/>
          <w:color w:val="313131"/>
          <w:lang w:eastAsia="en-AU"/>
        </w:rPr>
        <w:t xml:space="preserve"> received</w:t>
      </w:r>
      <w:r w:rsidR="00B54648">
        <w:rPr>
          <w:rFonts w:cstheme="minorHAnsi"/>
          <w:color w:val="313131"/>
          <w:lang w:eastAsia="en-AU"/>
        </w:rPr>
        <w:t xml:space="preserve"> </w:t>
      </w:r>
      <w:r w:rsidR="009046E9">
        <w:rPr>
          <w:rFonts w:cstheme="minorHAnsi"/>
          <w:color w:val="313131"/>
          <w:lang w:eastAsia="en-AU"/>
        </w:rPr>
        <w:t>from</w:t>
      </w:r>
      <w:r w:rsidR="00B54648">
        <w:rPr>
          <w:rFonts w:cstheme="minorHAnsi"/>
          <w:color w:val="313131"/>
          <w:lang w:eastAsia="en-AU"/>
        </w:rPr>
        <w:t xml:space="preserve"> States </w:t>
      </w:r>
      <w:r w:rsidR="00B36E13">
        <w:rPr>
          <w:rFonts w:cstheme="minorHAnsi"/>
          <w:color w:val="313131"/>
          <w:lang w:eastAsia="en-AU"/>
        </w:rPr>
        <w:t>or initiated itself</w:t>
      </w:r>
      <w:r>
        <w:rPr>
          <w:rFonts w:cstheme="minorHAnsi"/>
          <w:color w:val="313131"/>
          <w:lang w:eastAsia="en-AU"/>
        </w:rPr>
        <w:t>.  T</w:t>
      </w:r>
      <w:r w:rsidR="00B54648">
        <w:rPr>
          <w:rFonts w:cstheme="minorHAnsi"/>
          <w:color w:val="313131"/>
          <w:lang w:eastAsia="en-AU"/>
        </w:rPr>
        <w:t xml:space="preserve">here was an </w:t>
      </w:r>
      <w:r>
        <w:rPr>
          <w:rFonts w:cstheme="minorHAnsi"/>
          <w:color w:val="313131"/>
          <w:lang w:eastAsia="en-AU"/>
        </w:rPr>
        <w:t xml:space="preserve">infrastructure deficit - in </w:t>
      </w:r>
      <w:r w:rsidR="00B54648">
        <w:rPr>
          <w:rFonts w:cstheme="minorHAnsi"/>
          <w:color w:val="313131"/>
          <w:lang w:eastAsia="en-AU"/>
        </w:rPr>
        <w:t>accountability.</w:t>
      </w:r>
    </w:p>
    <w:p w14:paraId="7EF86FDB" w14:textId="77777777" w:rsidR="00B54648" w:rsidRDefault="00B54648" w:rsidP="000C029B">
      <w:pPr>
        <w:spacing w:after="0" w:line="240" w:lineRule="auto"/>
        <w:rPr>
          <w:rFonts w:cstheme="minorHAnsi"/>
          <w:color w:val="313131"/>
          <w:lang w:eastAsia="en-AU"/>
        </w:rPr>
      </w:pPr>
    </w:p>
    <w:p w14:paraId="1AA184BB" w14:textId="7F5F5EE3" w:rsidR="00B54648" w:rsidRDefault="009046E9" w:rsidP="000C029B">
      <w:pPr>
        <w:spacing w:after="0" w:line="240" w:lineRule="auto"/>
        <w:rPr>
          <w:rFonts w:cstheme="minorHAnsi"/>
          <w:color w:val="313131"/>
          <w:lang w:eastAsia="en-AU"/>
        </w:rPr>
      </w:pPr>
      <w:r>
        <w:rPr>
          <w:rFonts w:cstheme="minorHAnsi"/>
          <w:color w:val="313131"/>
          <w:lang w:eastAsia="en-AU"/>
        </w:rPr>
        <w:t>O</w:t>
      </w:r>
      <w:r w:rsidR="002A0C6A">
        <w:rPr>
          <w:rFonts w:cstheme="minorHAnsi"/>
          <w:color w:val="313131"/>
          <w:lang w:eastAsia="en-AU"/>
        </w:rPr>
        <w:t>n th</w:t>
      </w:r>
      <w:r w:rsidR="00F13E9D">
        <w:rPr>
          <w:rFonts w:cstheme="minorHAnsi"/>
          <w:color w:val="313131"/>
          <w:lang w:eastAsia="en-AU"/>
        </w:rPr>
        <w:t>at</w:t>
      </w:r>
      <w:r w:rsidR="002A0C6A">
        <w:rPr>
          <w:rFonts w:cstheme="minorHAnsi"/>
          <w:color w:val="313131"/>
          <w:lang w:eastAsia="en-AU"/>
        </w:rPr>
        <w:t xml:space="preserve">, </w:t>
      </w:r>
      <w:r w:rsidR="00B54648">
        <w:rPr>
          <w:rFonts w:cstheme="minorHAnsi"/>
          <w:color w:val="313131"/>
          <w:lang w:eastAsia="en-AU"/>
        </w:rPr>
        <w:t xml:space="preserve">few of many </w:t>
      </w:r>
      <w:r>
        <w:rPr>
          <w:rFonts w:cstheme="minorHAnsi"/>
          <w:color w:val="313131"/>
          <w:lang w:eastAsia="en-AU"/>
        </w:rPr>
        <w:t xml:space="preserve">State and Commonwealth </w:t>
      </w:r>
      <w:r w:rsidR="00B54648">
        <w:rPr>
          <w:rFonts w:cstheme="minorHAnsi"/>
          <w:color w:val="313131"/>
          <w:lang w:eastAsia="en-AU"/>
        </w:rPr>
        <w:t>infrastructure pro</w:t>
      </w:r>
      <w:r>
        <w:rPr>
          <w:rFonts w:cstheme="minorHAnsi"/>
          <w:color w:val="313131"/>
          <w:lang w:eastAsia="en-AU"/>
        </w:rPr>
        <w:t xml:space="preserve">posals were submitted for Infrastructure Australia review.  </w:t>
      </w:r>
      <w:r w:rsidR="002A0C6A">
        <w:rPr>
          <w:rFonts w:cstheme="minorHAnsi"/>
          <w:color w:val="313131"/>
          <w:lang w:eastAsia="en-AU"/>
        </w:rPr>
        <w:t>Possibly</w:t>
      </w:r>
      <w:r>
        <w:rPr>
          <w:rFonts w:cstheme="minorHAnsi"/>
          <w:color w:val="313131"/>
          <w:lang w:eastAsia="en-AU"/>
        </w:rPr>
        <w:t xml:space="preserve"> those were better explained in terms of wh</w:t>
      </w:r>
      <w:r w:rsidR="002A0C6A">
        <w:rPr>
          <w:rFonts w:cstheme="minorHAnsi"/>
          <w:color w:val="313131"/>
          <w:lang w:eastAsia="en-AU"/>
        </w:rPr>
        <w:t>at</w:t>
      </w:r>
      <w:r>
        <w:rPr>
          <w:rFonts w:cstheme="minorHAnsi"/>
          <w:color w:val="313131"/>
          <w:lang w:eastAsia="en-AU"/>
        </w:rPr>
        <w:t>, wh</w:t>
      </w:r>
      <w:r w:rsidR="002A0C6A">
        <w:rPr>
          <w:rFonts w:cstheme="minorHAnsi"/>
          <w:color w:val="313131"/>
          <w:lang w:eastAsia="en-AU"/>
        </w:rPr>
        <w:t>y</w:t>
      </w:r>
      <w:r>
        <w:rPr>
          <w:rFonts w:cstheme="minorHAnsi"/>
          <w:color w:val="313131"/>
          <w:lang w:eastAsia="en-AU"/>
        </w:rPr>
        <w:t xml:space="preserve"> and worth than those not submitted.  </w:t>
      </w:r>
    </w:p>
    <w:p w14:paraId="2A150AA0" w14:textId="77777777" w:rsidR="00B54648" w:rsidRDefault="00B54648" w:rsidP="000C029B">
      <w:pPr>
        <w:spacing w:after="0" w:line="240" w:lineRule="auto"/>
        <w:rPr>
          <w:rFonts w:cstheme="minorHAnsi"/>
          <w:color w:val="313131"/>
          <w:lang w:eastAsia="en-AU"/>
        </w:rPr>
      </w:pPr>
    </w:p>
    <w:p w14:paraId="2A3199F8" w14:textId="77777777" w:rsidR="002A0C6A" w:rsidRDefault="00CD2007" w:rsidP="000C029B">
      <w:pPr>
        <w:spacing w:after="0" w:line="240" w:lineRule="auto"/>
        <w:rPr>
          <w:rFonts w:cstheme="minorHAnsi"/>
          <w:color w:val="313131"/>
          <w:lang w:eastAsia="en-AU"/>
        </w:rPr>
      </w:pPr>
      <w:r>
        <w:rPr>
          <w:rFonts w:cstheme="minorHAnsi"/>
          <w:color w:val="313131"/>
          <w:lang w:eastAsia="en-AU"/>
        </w:rPr>
        <w:t xml:space="preserve">Maintaining ‘confidentiality’ of details of proposals and assessments diminishes accountability.   </w:t>
      </w:r>
      <w:r w:rsidR="00A12A62">
        <w:rPr>
          <w:rFonts w:cstheme="minorHAnsi"/>
          <w:color w:val="313131"/>
          <w:lang w:eastAsia="en-AU"/>
        </w:rPr>
        <w:t>H</w:t>
      </w:r>
      <w:r w:rsidR="00E327E0" w:rsidRPr="001E2809">
        <w:rPr>
          <w:rFonts w:cstheme="minorHAnsi"/>
          <w:color w:val="313131"/>
          <w:lang w:eastAsia="en-AU"/>
        </w:rPr>
        <w:t>ence, after the short period of proponents ‘learning’ how to make decent infrastructure proposals, publication of full details of proposals and assessments would be important not merely to ensure value for money or advance national directions, but to support the system of government.</w:t>
      </w:r>
    </w:p>
    <w:p w14:paraId="280D49B3" w14:textId="1E01128E" w:rsidR="00E327E0" w:rsidRDefault="00E327E0" w:rsidP="000C029B">
      <w:pPr>
        <w:spacing w:after="0" w:line="240" w:lineRule="auto"/>
        <w:rPr>
          <w:rFonts w:cstheme="minorHAnsi"/>
          <w:color w:val="313131"/>
          <w:lang w:eastAsia="en-AU"/>
        </w:rPr>
      </w:pPr>
      <w:r w:rsidRPr="001E2809">
        <w:rPr>
          <w:rFonts w:cstheme="minorHAnsi"/>
          <w:color w:val="313131"/>
          <w:lang w:eastAsia="en-AU"/>
        </w:rPr>
        <w:t xml:space="preserve">  </w:t>
      </w:r>
    </w:p>
    <w:p w14:paraId="1580BD1C" w14:textId="765C533F" w:rsidR="00E327E0" w:rsidRPr="00A12A62" w:rsidRDefault="00A12A62" w:rsidP="000C029B">
      <w:pPr>
        <w:pStyle w:val="Heading2"/>
        <w:spacing w:before="0" w:beforeAutospacing="0" w:after="0" w:afterAutospacing="0"/>
      </w:pPr>
      <w:bookmarkStart w:id="8" w:name="_Toc111195427"/>
      <w:r w:rsidRPr="00A12A62">
        <w:lastRenderedPageBreak/>
        <w:t>4.</w:t>
      </w:r>
      <w:r>
        <w:tab/>
      </w:r>
      <w:r w:rsidRPr="00A12A62">
        <w:t>The changed Infrastructure Australia</w:t>
      </w:r>
      <w:bookmarkEnd w:id="8"/>
    </w:p>
    <w:p w14:paraId="64965472" w14:textId="76A18033" w:rsidR="00E327E0" w:rsidRDefault="00A12A62" w:rsidP="000C029B">
      <w:pPr>
        <w:pStyle w:val="Heading3"/>
        <w:spacing w:before="0"/>
        <w:rPr>
          <w:lang w:eastAsia="en-AU"/>
        </w:rPr>
      </w:pPr>
      <w:bookmarkStart w:id="9" w:name="_Toc111195428"/>
      <w:r>
        <w:rPr>
          <w:lang w:eastAsia="en-AU"/>
        </w:rPr>
        <w:t>4.1</w:t>
      </w:r>
      <w:r>
        <w:rPr>
          <w:lang w:eastAsia="en-AU"/>
        </w:rPr>
        <w:tab/>
        <w:t>Corporation</w:t>
      </w:r>
      <w:bookmarkEnd w:id="9"/>
    </w:p>
    <w:p w14:paraId="5B80B714" w14:textId="684FADE9" w:rsidR="00A12A62" w:rsidRDefault="00A12A62" w:rsidP="000C029B">
      <w:pPr>
        <w:spacing w:after="0" w:line="240" w:lineRule="auto"/>
        <w:rPr>
          <w:rFonts w:cstheme="minorHAnsi"/>
          <w:color w:val="313131"/>
          <w:lang w:eastAsia="en-AU"/>
        </w:rPr>
      </w:pPr>
      <w:r>
        <w:rPr>
          <w:rFonts w:cstheme="minorHAnsi"/>
          <w:color w:val="313131"/>
          <w:lang w:eastAsia="en-AU"/>
        </w:rPr>
        <w:t>In 2014, the new Coalition Government made good its election promise to make Infrastructure Australia even more ‘independent’ of the Government</w:t>
      </w:r>
      <w:r w:rsidR="00397F50">
        <w:rPr>
          <w:rFonts w:cstheme="minorHAnsi"/>
          <w:color w:val="313131"/>
          <w:lang w:eastAsia="en-AU"/>
        </w:rPr>
        <w:t>, while maintaining its functions of national infrastructure audits and assessments of proposals</w:t>
      </w:r>
      <w:r>
        <w:rPr>
          <w:rFonts w:cstheme="minorHAnsi"/>
          <w:color w:val="313131"/>
          <w:lang w:eastAsia="en-AU"/>
        </w:rPr>
        <w:t>.  It did so by effectively making it a corporation with a governing rather than advisory board.</w:t>
      </w:r>
      <w:r w:rsidR="002A0C6A">
        <w:rPr>
          <w:rStyle w:val="FootnoteReference"/>
          <w:rFonts w:cstheme="minorHAnsi"/>
          <w:color w:val="313131"/>
          <w:lang w:eastAsia="en-AU"/>
        </w:rPr>
        <w:footnoteReference w:id="5"/>
      </w:r>
    </w:p>
    <w:p w14:paraId="68F4A81B" w14:textId="714430F5" w:rsidR="00A12A62" w:rsidRDefault="00A12A62" w:rsidP="000C029B">
      <w:pPr>
        <w:spacing w:after="0" w:line="240" w:lineRule="auto"/>
        <w:rPr>
          <w:rFonts w:cstheme="minorHAnsi"/>
          <w:color w:val="313131"/>
          <w:lang w:eastAsia="en-AU"/>
        </w:rPr>
      </w:pPr>
    </w:p>
    <w:p w14:paraId="412EB170" w14:textId="77777777" w:rsidR="00235C70" w:rsidRDefault="00A12A62" w:rsidP="000C029B">
      <w:pPr>
        <w:spacing w:after="0" w:line="240" w:lineRule="auto"/>
        <w:rPr>
          <w:rFonts w:cstheme="minorHAnsi"/>
          <w:color w:val="313131"/>
          <w:lang w:eastAsia="en-AU"/>
        </w:rPr>
      </w:pPr>
      <w:r>
        <w:rPr>
          <w:rFonts w:cstheme="minorHAnsi"/>
          <w:color w:val="313131"/>
          <w:lang w:eastAsia="en-AU"/>
        </w:rPr>
        <w:t xml:space="preserve">The explanation given lacked credibility.  </w:t>
      </w:r>
    </w:p>
    <w:p w14:paraId="0EA61278" w14:textId="77777777" w:rsidR="00235C70" w:rsidRDefault="00235C70" w:rsidP="000C029B">
      <w:pPr>
        <w:spacing w:after="0" w:line="240" w:lineRule="auto"/>
        <w:rPr>
          <w:rFonts w:cstheme="minorHAnsi"/>
          <w:color w:val="313131"/>
          <w:lang w:eastAsia="en-AU"/>
        </w:rPr>
      </w:pPr>
    </w:p>
    <w:p w14:paraId="69EAFC78" w14:textId="77777777" w:rsidR="00235C70" w:rsidRDefault="00A12A62" w:rsidP="000C029B">
      <w:pPr>
        <w:spacing w:after="0" w:line="240" w:lineRule="auto"/>
        <w:rPr>
          <w:rFonts w:cstheme="minorHAnsi"/>
          <w:color w:val="313131"/>
          <w:lang w:eastAsia="en-AU"/>
        </w:rPr>
      </w:pPr>
      <w:r>
        <w:rPr>
          <w:rFonts w:cstheme="minorHAnsi"/>
          <w:color w:val="313131"/>
          <w:lang w:eastAsia="en-AU"/>
        </w:rPr>
        <w:t xml:space="preserve">The point of making a public sector organisation a corporation is to limit its </w:t>
      </w:r>
      <w:r w:rsidR="002A0C6A">
        <w:rPr>
          <w:rFonts w:cstheme="minorHAnsi"/>
          <w:color w:val="313131"/>
          <w:lang w:eastAsia="en-AU"/>
        </w:rPr>
        <w:t xml:space="preserve">financial </w:t>
      </w:r>
      <w:r>
        <w:rPr>
          <w:rFonts w:cstheme="minorHAnsi"/>
          <w:color w:val="313131"/>
          <w:lang w:eastAsia="en-AU"/>
        </w:rPr>
        <w:t xml:space="preserve">reliance on </w:t>
      </w:r>
      <w:r w:rsidR="00FF5685">
        <w:rPr>
          <w:rFonts w:cstheme="minorHAnsi"/>
          <w:color w:val="313131"/>
          <w:lang w:eastAsia="en-AU"/>
        </w:rPr>
        <w:t>government</w:t>
      </w:r>
      <w:r w:rsidR="00235C70">
        <w:rPr>
          <w:rFonts w:cstheme="minorHAnsi"/>
          <w:color w:val="313131"/>
          <w:lang w:eastAsia="en-AU"/>
        </w:rPr>
        <w:t>, government financial control</w:t>
      </w:r>
      <w:r w:rsidR="00FF5685">
        <w:rPr>
          <w:rFonts w:cstheme="minorHAnsi"/>
          <w:color w:val="313131"/>
          <w:lang w:eastAsia="en-AU"/>
        </w:rPr>
        <w:t xml:space="preserve"> and government </w:t>
      </w:r>
      <w:r>
        <w:rPr>
          <w:rFonts w:cstheme="minorHAnsi"/>
          <w:color w:val="313131"/>
          <w:lang w:eastAsia="en-AU"/>
        </w:rPr>
        <w:t>liability</w:t>
      </w:r>
      <w:r w:rsidR="00FF5685">
        <w:rPr>
          <w:rFonts w:cstheme="minorHAnsi"/>
          <w:color w:val="313131"/>
          <w:lang w:eastAsia="en-AU"/>
        </w:rPr>
        <w:t xml:space="preserve"> for its operations.  This is almost always limited to those organisations involved in trading - selling goods and services</w:t>
      </w:r>
      <w:r w:rsidR="00235C70">
        <w:rPr>
          <w:rFonts w:cstheme="minorHAnsi"/>
          <w:color w:val="313131"/>
          <w:lang w:eastAsia="en-AU"/>
        </w:rPr>
        <w:t xml:space="preserve"> in markets</w:t>
      </w:r>
      <w:r w:rsidR="00FF5685">
        <w:rPr>
          <w:rFonts w:cstheme="minorHAnsi"/>
          <w:color w:val="313131"/>
          <w:lang w:eastAsia="en-AU"/>
        </w:rPr>
        <w:t>.</w:t>
      </w:r>
      <w:r w:rsidR="002A0C6A">
        <w:rPr>
          <w:rFonts w:cstheme="minorHAnsi"/>
          <w:color w:val="313131"/>
          <w:lang w:eastAsia="en-AU"/>
        </w:rPr>
        <w:t xml:space="preserve"> </w:t>
      </w:r>
      <w:r w:rsidR="00235C70">
        <w:rPr>
          <w:rFonts w:cstheme="minorHAnsi"/>
          <w:color w:val="313131"/>
          <w:lang w:eastAsia="en-AU"/>
        </w:rPr>
        <w:t xml:space="preserve"> </w:t>
      </w:r>
    </w:p>
    <w:p w14:paraId="3623C6D6" w14:textId="77777777" w:rsidR="00235C70" w:rsidRDefault="00235C70" w:rsidP="000C029B">
      <w:pPr>
        <w:spacing w:after="0" w:line="240" w:lineRule="auto"/>
        <w:rPr>
          <w:rFonts w:cstheme="minorHAnsi"/>
          <w:color w:val="313131"/>
          <w:lang w:eastAsia="en-AU"/>
        </w:rPr>
      </w:pPr>
    </w:p>
    <w:p w14:paraId="4ED403FB" w14:textId="55555667" w:rsidR="0053346B" w:rsidRDefault="00235C70" w:rsidP="000C029B">
      <w:pPr>
        <w:spacing w:after="0" w:line="240" w:lineRule="auto"/>
        <w:rPr>
          <w:rFonts w:cstheme="minorHAnsi"/>
          <w:color w:val="313131"/>
          <w:lang w:eastAsia="en-AU"/>
        </w:rPr>
      </w:pPr>
      <w:r>
        <w:rPr>
          <w:rFonts w:cstheme="minorHAnsi"/>
          <w:color w:val="313131"/>
          <w:lang w:eastAsia="en-AU"/>
        </w:rPr>
        <w:t xml:space="preserve">The reason </w:t>
      </w:r>
      <w:r w:rsidR="00166253">
        <w:rPr>
          <w:rFonts w:cstheme="minorHAnsi"/>
          <w:color w:val="313131"/>
          <w:lang w:eastAsia="en-AU"/>
        </w:rPr>
        <w:t>corporatisation</w:t>
      </w:r>
      <w:r>
        <w:rPr>
          <w:rFonts w:cstheme="minorHAnsi"/>
          <w:color w:val="313131"/>
          <w:lang w:eastAsia="en-AU"/>
        </w:rPr>
        <w:t xml:space="preserve"> is limited to trading organisations: were a government organisation to sell advisory services in markets, it would </w:t>
      </w:r>
      <w:r w:rsidR="0053346B">
        <w:rPr>
          <w:rFonts w:cstheme="minorHAnsi"/>
          <w:color w:val="313131"/>
          <w:lang w:eastAsia="en-AU"/>
        </w:rPr>
        <w:t>face</w:t>
      </w:r>
      <w:r>
        <w:rPr>
          <w:rFonts w:cstheme="minorHAnsi"/>
          <w:color w:val="313131"/>
          <w:lang w:eastAsia="en-AU"/>
        </w:rPr>
        <w:t xml:space="preserve"> an irreconcilable conflict of public duty of advising government </w:t>
      </w:r>
      <w:r w:rsidR="0053346B">
        <w:rPr>
          <w:rFonts w:cstheme="minorHAnsi"/>
          <w:color w:val="313131"/>
          <w:lang w:eastAsia="en-AU"/>
        </w:rPr>
        <w:t>with its</w:t>
      </w:r>
      <w:r>
        <w:rPr>
          <w:rFonts w:cstheme="minorHAnsi"/>
          <w:color w:val="313131"/>
          <w:lang w:eastAsia="en-AU"/>
        </w:rPr>
        <w:t xml:space="preserve"> private interest of gaining revenue from markets</w:t>
      </w:r>
      <w:r w:rsidR="00F13E9D">
        <w:rPr>
          <w:rFonts w:cstheme="minorHAnsi"/>
          <w:color w:val="313131"/>
          <w:lang w:eastAsia="en-AU"/>
        </w:rPr>
        <w:t>.  I</w:t>
      </w:r>
      <w:r w:rsidR="0053346B">
        <w:rPr>
          <w:rFonts w:cstheme="minorHAnsi"/>
          <w:color w:val="313131"/>
          <w:lang w:eastAsia="en-AU"/>
        </w:rPr>
        <w:t xml:space="preserve">ts private customers would (at least be seen to) expect the organisation’s advice to government </w:t>
      </w:r>
      <w:r w:rsidR="00166253">
        <w:rPr>
          <w:rFonts w:cstheme="minorHAnsi"/>
          <w:color w:val="313131"/>
          <w:lang w:eastAsia="en-AU"/>
        </w:rPr>
        <w:t xml:space="preserve">to </w:t>
      </w:r>
      <w:r w:rsidR="0053346B">
        <w:rPr>
          <w:rFonts w:cstheme="minorHAnsi"/>
          <w:color w:val="313131"/>
          <w:lang w:eastAsia="en-AU"/>
        </w:rPr>
        <w:t>favour them.</w:t>
      </w:r>
    </w:p>
    <w:p w14:paraId="208B0B76" w14:textId="77777777" w:rsidR="0053346B" w:rsidRDefault="0053346B" w:rsidP="000C029B">
      <w:pPr>
        <w:spacing w:after="0" w:line="240" w:lineRule="auto"/>
        <w:rPr>
          <w:rFonts w:cstheme="minorHAnsi"/>
          <w:color w:val="313131"/>
          <w:lang w:eastAsia="en-AU"/>
        </w:rPr>
      </w:pPr>
    </w:p>
    <w:p w14:paraId="79A04E49" w14:textId="3A47BED0" w:rsidR="0053346B" w:rsidRDefault="00270FEE" w:rsidP="000C029B">
      <w:pPr>
        <w:spacing w:after="0" w:line="240" w:lineRule="auto"/>
        <w:rPr>
          <w:rFonts w:cstheme="minorHAnsi"/>
          <w:color w:val="313131"/>
          <w:lang w:eastAsia="en-AU"/>
        </w:rPr>
      </w:pPr>
      <w:r>
        <w:rPr>
          <w:rFonts w:cstheme="minorHAnsi"/>
          <w:color w:val="313131"/>
          <w:lang w:eastAsia="en-AU"/>
        </w:rPr>
        <w:t>The</w:t>
      </w:r>
      <w:r w:rsidR="0053346B">
        <w:rPr>
          <w:rFonts w:cstheme="minorHAnsi"/>
          <w:color w:val="313131"/>
          <w:lang w:eastAsia="en-AU"/>
        </w:rPr>
        <w:t xml:space="preserve">re also is a problem with a government advisory organisation being subject to </w:t>
      </w:r>
      <w:r>
        <w:rPr>
          <w:rFonts w:cstheme="minorHAnsi"/>
          <w:color w:val="313131"/>
          <w:lang w:eastAsia="en-AU"/>
        </w:rPr>
        <w:t>a governing board</w:t>
      </w:r>
      <w:r w:rsidR="0053346B">
        <w:rPr>
          <w:rFonts w:cstheme="minorHAnsi"/>
          <w:color w:val="313131"/>
          <w:lang w:eastAsia="en-AU"/>
        </w:rPr>
        <w:t>.</w:t>
      </w:r>
    </w:p>
    <w:p w14:paraId="0D846EF7" w14:textId="67613224" w:rsidR="009E5CF7" w:rsidRDefault="00166253" w:rsidP="000C029B">
      <w:pPr>
        <w:spacing w:after="0" w:line="240" w:lineRule="auto"/>
        <w:rPr>
          <w:rFonts w:cstheme="minorHAnsi"/>
          <w:color w:val="313131"/>
          <w:lang w:eastAsia="en-AU"/>
        </w:rPr>
      </w:pPr>
      <w:r>
        <w:rPr>
          <w:rFonts w:cstheme="minorHAnsi"/>
          <w:color w:val="313131"/>
          <w:lang w:eastAsia="en-AU"/>
        </w:rPr>
        <w:t>The reason:</w:t>
      </w:r>
      <w:r w:rsidR="00270FEE">
        <w:rPr>
          <w:rFonts w:cstheme="minorHAnsi"/>
          <w:color w:val="313131"/>
          <w:lang w:eastAsia="en-AU"/>
        </w:rPr>
        <w:t xml:space="preserve"> expertise </w:t>
      </w:r>
      <w:r>
        <w:rPr>
          <w:rFonts w:cstheme="minorHAnsi"/>
          <w:color w:val="313131"/>
          <w:lang w:eastAsia="en-AU"/>
        </w:rPr>
        <w:t xml:space="preserve">of other than those solely employed by the organisation </w:t>
      </w:r>
      <w:r w:rsidR="00270FEE">
        <w:rPr>
          <w:rFonts w:cstheme="minorHAnsi"/>
          <w:color w:val="313131"/>
          <w:lang w:eastAsia="en-AU"/>
        </w:rPr>
        <w:t xml:space="preserve">is correlated to </w:t>
      </w:r>
      <w:r>
        <w:rPr>
          <w:rFonts w:cstheme="minorHAnsi"/>
          <w:color w:val="313131"/>
          <w:lang w:eastAsia="en-AU"/>
        </w:rPr>
        <w:t>(</w:t>
      </w:r>
      <w:r w:rsidR="009E5CF7">
        <w:rPr>
          <w:rFonts w:cstheme="minorHAnsi"/>
          <w:color w:val="313131"/>
          <w:lang w:eastAsia="en-AU"/>
        </w:rPr>
        <w:t>at least perceptions</w:t>
      </w:r>
      <w:r>
        <w:rPr>
          <w:rFonts w:cstheme="minorHAnsi"/>
          <w:color w:val="313131"/>
          <w:lang w:eastAsia="en-AU"/>
        </w:rPr>
        <w:t>)</w:t>
      </w:r>
      <w:r w:rsidR="009E5CF7">
        <w:rPr>
          <w:rFonts w:cstheme="minorHAnsi"/>
          <w:color w:val="313131"/>
          <w:lang w:eastAsia="en-AU"/>
        </w:rPr>
        <w:t xml:space="preserve"> of conflicts of public duty and private interest.   The </w:t>
      </w:r>
      <w:r w:rsidR="00F13E9D">
        <w:rPr>
          <w:rFonts w:cstheme="minorHAnsi"/>
          <w:color w:val="313131"/>
          <w:lang w:eastAsia="en-AU"/>
        </w:rPr>
        <w:t xml:space="preserve">greater the industry expertise of </w:t>
      </w:r>
      <w:r w:rsidR="009E5CF7">
        <w:rPr>
          <w:rFonts w:cstheme="minorHAnsi"/>
          <w:color w:val="313131"/>
          <w:lang w:eastAsia="en-AU"/>
        </w:rPr>
        <w:t>board members</w:t>
      </w:r>
      <w:r>
        <w:rPr>
          <w:rFonts w:cstheme="minorHAnsi"/>
          <w:color w:val="313131"/>
          <w:lang w:eastAsia="en-AU"/>
        </w:rPr>
        <w:t xml:space="preserve"> not fully employed by the organisation </w:t>
      </w:r>
      <w:r w:rsidR="009E5CF7">
        <w:rPr>
          <w:rFonts w:cstheme="minorHAnsi"/>
          <w:color w:val="313131"/>
          <w:lang w:eastAsia="en-AU"/>
        </w:rPr>
        <w:t>the more likely it is they had, or have, private interests in that industry.  Such a problem does not arise with an advisory board.</w:t>
      </w:r>
    </w:p>
    <w:p w14:paraId="017B47DC" w14:textId="71807738" w:rsidR="009E5CF7" w:rsidRDefault="009E5CF7" w:rsidP="000C029B">
      <w:pPr>
        <w:spacing w:after="0" w:line="240" w:lineRule="auto"/>
        <w:rPr>
          <w:rFonts w:cstheme="minorHAnsi"/>
          <w:color w:val="313131"/>
          <w:lang w:eastAsia="en-AU"/>
        </w:rPr>
      </w:pPr>
    </w:p>
    <w:p w14:paraId="362CB0E1" w14:textId="05C5374F" w:rsidR="00FF5685" w:rsidRDefault="004664C4" w:rsidP="000C029B">
      <w:pPr>
        <w:spacing w:after="0" w:line="240" w:lineRule="auto"/>
        <w:rPr>
          <w:rFonts w:cstheme="minorHAnsi"/>
          <w:color w:val="313131"/>
          <w:lang w:eastAsia="en-AU"/>
        </w:rPr>
      </w:pPr>
      <w:r>
        <w:rPr>
          <w:rFonts w:cstheme="minorHAnsi"/>
          <w:color w:val="313131"/>
          <w:lang w:eastAsia="en-AU"/>
        </w:rPr>
        <w:t>T</w:t>
      </w:r>
      <w:r w:rsidR="009E5CF7">
        <w:rPr>
          <w:rFonts w:cstheme="minorHAnsi"/>
          <w:color w:val="313131"/>
          <w:lang w:eastAsia="en-AU"/>
        </w:rPr>
        <w:t>he new structure perverted governance principles.</w:t>
      </w:r>
      <w:r w:rsidR="00235C70">
        <w:rPr>
          <w:rFonts w:cstheme="minorHAnsi"/>
          <w:color w:val="313131"/>
          <w:lang w:eastAsia="en-AU"/>
        </w:rPr>
        <w:t xml:space="preserve">  </w:t>
      </w:r>
      <w:r w:rsidR="003E03A9">
        <w:rPr>
          <w:rFonts w:cstheme="minorHAnsi"/>
          <w:color w:val="313131"/>
          <w:lang w:eastAsia="en-AU"/>
        </w:rPr>
        <w:t xml:space="preserve">Public information suggests motivations </w:t>
      </w:r>
      <w:r w:rsidR="00235C70">
        <w:rPr>
          <w:rFonts w:cstheme="minorHAnsi"/>
          <w:color w:val="313131"/>
          <w:lang w:eastAsia="en-AU"/>
        </w:rPr>
        <w:t>were not limited to freedom from Government ‘control</w:t>
      </w:r>
      <w:proofErr w:type="gramStart"/>
      <w:r w:rsidR="00235C70">
        <w:rPr>
          <w:rFonts w:cstheme="minorHAnsi"/>
          <w:color w:val="313131"/>
          <w:lang w:eastAsia="en-AU"/>
        </w:rPr>
        <w:t>’.</w:t>
      </w:r>
      <w:proofErr w:type="gramEnd"/>
    </w:p>
    <w:p w14:paraId="2A93BE58" w14:textId="77777777" w:rsidR="003E03A9" w:rsidRDefault="003E03A9" w:rsidP="000C029B">
      <w:pPr>
        <w:spacing w:after="0" w:line="240" w:lineRule="auto"/>
        <w:rPr>
          <w:rFonts w:cstheme="minorHAnsi"/>
          <w:color w:val="313131"/>
          <w:lang w:eastAsia="en-AU"/>
        </w:rPr>
      </w:pPr>
    </w:p>
    <w:p w14:paraId="16B99434" w14:textId="561D91D3" w:rsidR="00D9051E" w:rsidRDefault="00CE020D" w:rsidP="000C029B">
      <w:pPr>
        <w:pStyle w:val="Heading3"/>
        <w:spacing w:before="0"/>
        <w:rPr>
          <w:lang w:eastAsia="en-AU"/>
        </w:rPr>
      </w:pPr>
      <w:bookmarkStart w:id="10" w:name="_Toc111195429"/>
      <w:r w:rsidRPr="00CE020D">
        <w:rPr>
          <w:lang w:eastAsia="en-AU"/>
        </w:rPr>
        <w:t>4.</w:t>
      </w:r>
      <w:r>
        <w:rPr>
          <w:lang w:eastAsia="en-AU"/>
        </w:rPr>
        <w:t>2</w:t>
      </w:r>
      <w:r>
        <w:rPr>
          <w:lang w:eastAsia="en-AU"/>
        </w:rPr>
        <w:tab/>
      </w:r>
      <w:r w:rsidR="00D9051E">
        <w:rPr>
          <w:lang w:eastAsia="en-AU"/>
        </w:rPr>
        <w:t xml:space="preserve">Change to context – Williams </w:t>
      </w:r>
      <w:r w:rsidR="00FD0F48">
        <w:rPr>
          <w:lang w:eastAsia="en-AU"/>
        </w:rPr>
        <w:t>(N</w:t>
      </w:r>
      <w:r w:rsidR="00D9051E">
        <w:rPr>
          <w:lang w:eastAsia="en-AU"/>
        </w:rPr>
        <w:t>o.2</w:t>
      </w:r>
      <w:r w:rsidR="00FD0F48">
        <w:rPr>
          <w:lang w:eastAsia="en-AU"/>
        </w:rPr>
        <w:t>)</w:t>
      </w:r>
      <w:bookmarkEnd w:id="10"/>
    </w:p>
    <w:p w14:paraId="72A0FF03" w14:textId="6A33B2E2" w:rsidR="004664C4" w:rsidRDefault="00D9051E" w:rsidP="000C029B">
      <w:pPr>
        <w:spacing w:after="0" w:line="240" w:lineRule="auto"/>
        <w:rPr>
          <w:rFonts w:cstheme="minorHAnsi"/>
          <w:color w:val="313131"/>
          <w:lang w:eastAsia="en-AU"/>
        </w:rPr>
      </w:pPr>
      <w:r>
        <w:rPr>
          <w:rFonts w:cstheme="minorHAnsi"/>
          <w:color w:val="313131"/>
          <w:lang w:eastAsia="en-AU"/>
        </w:rPr>
        <w:t>In mid-2014</w:t>
      </w:r>
      <w:r w:rsidR="004664C4">
        <w:rPr>
          <w:rFonts w:cstheme="minorHAnsi"/>
          <w:color w:val="313131"/>
          <w:lang w:eastAsia="en-AU"/>
        </w:rPr>
        <w:t>,</w:t>
      </w:r>
      <w:r w:rsidRPr="001E2809">
        <w:rPr>
          <w:rFonts w:cstheme="minorHAnsi"/>
          <w:color w:val="313131"/>
          <w:lang w:eastAsia="en-AU"/>
        </w:rPr>
        <w:t xml:space="preserve"> the</w:t>
      </w:r>
      <w:r w:rsidR="00B63C49">
        <w:rPr>
          <w:rFonts w:cstheme="minorHAnsi"/>
          <w:color w:val="313131"/>
          <w:lang w:eastAsia="en-AU"/>
        </w:rPr>
        <w:t xml:space="preserve"> High Court </w:t>
      </w:r>
      <w:r w:rsidR="004664C4">
        <w:rPr>
          <w:rFonts w:cstheme="minorHAnsi"/>
          <w:color w:val="313131"/>
          <w:lang w:eastAsia="en-AU"/>
        </w:rPr>
        <w:t xml:space="preserve">in Williams (No.2) </w:t>
      </w:r>
      <w:r>
        <w:rPr>
          <w:rFonts w:cstheme="minorHAnsi"/>
          <w:color w:val="313131"/>
          <w:lang w:eastAsia="en-AU"/>
        </w:rPr>
        <w:t xml:space="preserve">ruled </w:t>
      </w:r>
      <w:r w:rsidRPr="001E2809">
        <w:rPr>
          <w:rFonts w:cstheme="minorHAnsi"/>
          <w:color w:val="313131"/>
          <w:lang w:eastAsia="en-AU"/>
        </w:rPr>
        <w:t>Commonwealth purposes are neither determined by the Government nor in perpetual flux.  Rather, lawful spending is broadly limited to purposes specified in Constitution s.51</w:t>
      </w:r>
      <w:r>
        <w:rPr>
          <w:rFonts w:cstheme="minorHAnsi"/>
          <w:color w:val="313131"/>
          <w:lang w:eastAsia="en-AU"/>
        </w:rPr>
        <w:t xml:space="preserve"> </w:t>
      </w:r>
      <w:r w:rsidR="00FA4D61">
        <w:rPr>
          <w:rFonts w:cstheme="minorHAnsi"/>
          <w:color w:val="313131"/>
          <w:lang w:eastAsia="en-AU"/>
        </w:rPr>
        <w:t>a</w:t>
      </w:r>
      <w:r>
        <w:rPr>
          <w:rFonts w:cstheme="minorHAnsi"/>
          <w:color w:val="313131"/>
          <w:lang w:eastAsia="en-AU"/>
        </w:rPr>
        <w:t>nd arising from Executive prerogative</w:t>
      </w:r>
      <w:r w:rsidR="00FA4D61">
        <w:rPr>
          <w:rFonts w:cstheme="minorHAnsi"/>
          <w:color w:val="313131"/>
          <w:lang w:eastAsia="en-AU"/>
        </w:rPr>
        <w:t>s</w:t>
      </w:r>
      <w:r>
        <w:rPr>
          <w:rFonts w:cstheme="minorHAnsi"/>
          <w:color w:val="313131"/>
          <w:lang w:eastAsia="en-AU"/>
        </w:rPr>
        <w:t xml:space="preserve"> suitable for </w:t>
      </w:r>
      <w:r w:rsidR="00FA4D61">
        <w:rPr>
          <w:rFonts w:cstheme="minorHAnsi"/>
          <w:color w:val="313131"/>
          <w:lang w:eastAsia="en-AU"/>
        </w:rPr>
        <w:t>the</w:t>
      </w:r>
      <w:r>
        <w:rPr>
          <w:rFonts w:cstheme="minorHAnsi"/>
          <w:color w:val="313131"/>
          <w:lang w:eastAsia="en-AU"/>
        </w:rPr>
        <w:t xml:space="preserve"> national government of a Federation</w:t>
      </w:r>
      <w:r w:rsidRPr="001E2809">
        <w:rPr>
          <w:rFonts w:cstheme="minorHAnsi"/>
          <w:color w:val="313131"/>
          <w:lang w:eastAsia="en-AU"/>
        </w:rPr>
        <w:t xml:space="preserve">.  </w:t>
      </w:r>
    </w:p>
    <w:p w14:paraId="099E851B" w14:textId="77777777" w:rsidR="004664C4" w:rsidRDefault="004664C4" w:rsidP="000C029B">
      <w:pPr>
        <w:spacing w:after="0" w:line="240" w:lineRule="auto"/>
        <w:rPr>
          <w:rFonts w:cstheme="minorHAnsi"/>
          <w:color w:val="313131"/>
          <w:lang w:eastAsia="en-AU"/>
        </w:rPr>
      </w:pPr>
    </w:p>
    <w:p w14:paraId="3C78DF97" w14:textId="5C626DC7" w:rsidR="00D9051E" w:rsidRPr="001E2809" w:rsidRDefault="00D9051E" w:rsidP="000C029B">
      <w:pPr>
        <w:spacing w:after="0" w:line="240" w:lineRule="auto"/>
        <w:rPr>
          <w:rFonts w:cstheme="minorHAnsi"/>
          <w:color w:val="313131"/>
          <w:lang w:eastAsia="en-AU"/>
        </w:rPr>
      </w:pPr>
      <w:r w:rsidRPr="001E2809">
        <w:rPr>
          <w:rFonts w:cstheme="minorHAnsi"/>
          <w:color w:val="313131"/>
          <w:lang w:eastAsia="en-AU"/>
        </w:rPr>
        <w:t>Beyond th</w:t>
      </w:r>
      <w:r w:rsidR="004664C4">
        <w:rPr>
          <w:rFonts w:cstheme="minorHAnsi"/>
          <w:color w:val="313131"/>
          <w:lang w:eastAsia="en-AU"/>
        </w:rPr>
        <w:t>ose purposes, the</w:t>
      </w:r>
      <w:r w:rsidRPr="001E2809">
        <w:rPr>
          <w:rFonts w:cstheme="minorHAnsi"/>
          <w:color w:val="313131"/>
          <w:lang w:eastAsia="en-AU"/>
        </w:rPr>
        <w:t xml:space="preserve"> </w:t>
      </w:r>
      <w:r w:rsidR="00FA4D61">
        <w:rPr>
          <w:rFonts w:cstheme="minorHAnsi"/>
          <w:color w:val="313131"/>
          <w:lang w:eastAsia="en-AU"/>
        </w:rPr>
        <w:t xml:space="preserve">Constitution limits </w:t>
      </w:r>
      <w:r w:rsidRPr="001E2809">
        <w:rPr>
          <w:rFonts w:cstheme="minorHAnsi"/>
          <w:color w:val="313131"/>
          <w:lang w:eastAsia="en-AU"/>
        </w:rPr>
        <w:t xml:space="preserve">Commonwealth </w:t>
      </w:r>
      <w:r w:rsidR="00FA4D61">
        <w:rPr>
          <w:rFonts w:cstheme="minorHAnsi"/>
          <w:color w:val="313131"/>
          <w:lang w:eastAsia="en-AU"/>
        </w:rPr>
        <w:t xml:space="preserve">spending to the provision of </w:t>
      </w:r>
      <w:r w:rsidRPr="001E2809">
        <w:rPr>
          <w:rFonts w:cstheme="minorHAnsi"/>
          <w:color w:val="313131"/>
          <w:lang w:eastAsia="en-AU"/>
        </w:rPr>
        <w:t>monies to States</w:t>
      </w:r>
      <w:r w:rsidR="00FA4D61">
        <w:rPr>
          <w:rFonts w:cstheme="minorHAnsi"/>
          <w:color w:val="313131"/>
          <w:lang w:eastAsia="en-AU"/>
        </w:rPr>
        <w:t xml:space="preserve"> via s.96</w:t>
      </w:r>
      <w:r w:rsidRPr="001E2809">
        <w:rPr>
          <w:rFonts w:cstheme="minorHAnsi"/>
          <w:color w:val="313131"/>
          <w:lang w:eastAsia="en-AU"/>
        </w:rPr>
        <w:t xml:space="preserve">, possibly with conditions – </w:t>
      </w:r>
      <w:r w:rsidR="004827E1" w:rsidRPr="001E2809">
        <w:rPr>
          <w:rFonts w:cstheme="minorHAnsi"/>
          <w:color w:val="313131"/>
          <w:lang w:eastAsia="en-AU"/>
        </w:rPr>
        <w:t>e.g.,</w:t>
      </w:r>
      <w:r w:rsidRPr="001E2809">
        <w:rPr>
          <w:rFonts w:cstheme="minorHAnsi"/>
          <w:color w:val="313131"/>
          <w:lang w:eastAsia="en-AU"/>
        </w:rPr>
        <w:t xml:space="preserve"> to spend on certain projects - set by Parliament (not just the Government).</w:t>
      </w:r>
      <w:r w:rsidRPr="001E2809">
        <w:rPr>
          <w:rFonts w:cstheme="minorHAnsi"/>
        </w:rPr>
        <w:t xml:space="preserve"> </w:t>
      </w:r>
    </w:p>
    <w:p w14:paraId="04267D40" w14:textId="77777777" w:rsidR="00D9051E" w:rsidRPr="001E2809" w:rsidRDefault="00D9051E" w:rsidP="000C029B">
      <w:pPr>
        <w:spacing w:after="0" w:line="240" w:lineRule="auto"/>
        <w:rPr>
          <w:rFonts w:cstheme="minorHAnsi"/>
          <w:color w:val="313131"/>
          <w:lang w:eastAsia="en-AU"/>
        </w:rPr>
      </w:pPr>
    </w:p>
    <w:p w14:paraId="539FA81C" w14:textId="53842A3C" w:rsidR="00D9051E" w:rsidRPr="001E2809" w:rsidRDefault="00D9051E" w:rsidP="000C029B">
      <w:pPr>
        <w:spacing w:after="0" w:line="240" w:lineRule="auto"/>
        <w:rPr>
          <w:rFonts w:cstheme="minorHAnsi"/>
          <w:color w:val="313131"/>
          <w:lang w:eastAsia="en-AU"/>
        </w:rPr>
      </w:pPr>
      <w:r w:rsidRPr="001E2809">
        <w:rPr>
          <w:rFonts w:cstheme="minorHAnsi"/>
          <w:color w:val="313131"/>
          <w:lang w:eastAsia="en-AU"/>
        </w:rPr>
        <w:t xml:space="preserve">Assumptions that </w:t>
      </w:r>
      <w:r w:rsidR="00BC1910">
        <w:rPr>
          <w:rFonts w:cstheme="minorHAnsi"/>
          <w:color w:val="313131"/>
          <w:lang w:eastAsia="en-AU"/>
        </w:rPr>
        <w:t xml:space="preserve">projects can receive monies from </w:t>
      </w:r>
      <w:r w:rsidRPr="001E2809">
        <w:rPr>
          <w:rFonts w:cstheme="minorHAnsi"/>
          <w:color w:val="313131"/>
          <w:lang w:eastAsia="en-AU"/>
        </w:rPr>
        <w:t>the Government</w:t>
      </w:r>
      <w:r w:rsidR="00BC1910">
        <w:rPr>
          <w:rFonts w:cstheme="minorHAnsi"/>
          <w:color w:val="313131"/>
          <w:lang w:eastAsia="en-AU"/>
        </w:rPr>
        <w:t xml:space="preserve"> or Commonwealth generally</w:t>
      </w:r>
      <w:r w:rsidRPr="001E2809">
        <w:rPr>
          <w:rFonts w:cstheme="minorHAnsi"/>
          <w:color w:val="313131"/>
          <w:lang w:eastAsia="en-AU"/>
        </w:rPr>
        <w:t xml:space="preserve"> because they are nationally significant were thrown out by the Court.  </w:t>
      </w:r>
      <w:r w:rsidR="00BC1910">
        <w:rPr>
          <w:rFonts w:cstheme="minorHAnsi"/>
          <w:color w:val="313131"/>
          <w:lang w:eastAsia="en-AU"/>
        </w:rPr>
        <w:t xml:space="preserve">Also thrown out were a raft of other reasons including </w:t>
      </w:r>
      <w:r w:rsidR="004664C4">
        <w:rPr>
          <w:rFonts w:cstheme="minorHAnsi"/>
          <w:color w:val="313131"/>
          <w:lang w:eastAsia="en-AU"/>
        </w:rPr>
        <w:t>long-standing</w:t>
      </w:r>
      <w:r w:rsidR="00BC1910">
        <w:rPr>
          <w:rFonts w:cstheme="minorHAnsi"/>
          <w:color w:val="313131"/>
          <w:lang w:eastAsia="en-AU"/>
        </w:rPr>
        <w:t xml:space="preserve"> practice and convenience</w:t>
      </w:r>
      <w:r w:rsidR="00BD75E7">
        <w:rPr>
          <w:rFonts w:cstheme="minorHAnsi"/>
          <w:color w:val="313131"/>
          <w:lang w:eastAsia="en-AU"/>
        </w:rPr>
        <w:t>.</w:t>
      </w:r>
      <w:r w:rsidR="004664C4">
        <w:rPr>
          <w:rFonts w:cstheme="minorHAnsi"/>
          <w:color w:val="313131"/>
          <w:lang w:eastAsia="en-AU"/>
        </w:rPr>
        <w:t xml:space="preserve">  </w:t>
      </w:r>
      <w:r w:rsidR="00BD75E7">
        <w:rPr>
          <w:rFonts w:cstheme="minorHAnsi"/>
          <w:color w:val="313131"/>
          <w:lang w:eastAsia="en-AU"/>
        </w:rPr>
        <w:t>It was an historic ruling, overturning many of the assumptions held by the Commonwealth – and officials – since at least the mid</w:t>
      </w:r>
      <w:r w:rsidR="00FA4D61">
        <w:rPr>
          <w:rFonts w:cstheme="minorHAnsi"/>
          <w:color w:val="313131"/>
          <w:lang w:eastAsia="en-AU"/>
        </w:rPr>
        <w:t>-</w:t>
      </w:r>
      <w:r w:rsidR="00BD75E7">
        <w:rPr>
          <w:rFonts w:cstheme="minorHAnsi"/>
          <w:color w:val="313131"/>
          <w:lang w:eastAsia="en-AU"/>
        </w:rPr>
        <w:t>1970s and probably since Federation.</w:t>
      </w:r>
    </w:p>
    <w:p w14:paraId="2F012C4A" w14:textId="77777777" w:rsidR="00D9051E" w:rsidRPr="001E2809" w:rsidRDefault="00D9051E" w:rsidP="000C029B">
      <w:pPr>
        <w:spacing w:after="0" w:line="240" w:lineRule="auto"/>
        <w:rPr>
          <w:rFonts w:cstheme="minorHAnsi"/>
          <w:color w:val="313131"/>
          <w:lang w:eastAsia="en-AU"/>
        </w:rPr>
      </w:pPr>
    </w:p>
    <w:p w14:paraId="4E5F3BB4" w14:textId="1FD4B040" w:rsidR="00A61379" w:rsidRDefault="00FA4D61" w:rsidP="000C029B">
      <w:pPr>
        <w:spacing w:after="0" w:line="240" w:lineRule="auto"/>
        <w:rPr>
          <w:rFonts w:cstheme="minorHAnsi"/>
          <w:color w:val="313131"/>
          <w:lang w:eastAsia="en-AU"/>
        </w:rPr>
      </w:pPr>
      <w:r>
        <w:rPr>
          <w:rFonts w:cstheme="minorHAnsi"/>
          <w:color w:val="313131"/>
          <w:lang w:eastAsia="en-AU"/>
        </w:rPr>
        <w:t xml:space="preserve">If the </w:t>
      </w:r>
      <w:r w:rsidR="00B63C49">
        <w:rPr>
          <w:rFonts w:cstheme="minorHAnsi"/>
          <w:color w:val="313131"/>
          <w:lang w:eastAsia="en-AU"/>
        </w:rPr>
        <w:t xml:space="preserve">principles of the </w:t>
      </w:r>
      <w:r>
        <w:rPr>
          <w:rFonts w:cstheme="minorHAnsi"/>
          <w:color w:val="313131"/>
          <w:lang w:eastAsia="en-AU"/>
        </w:rPr>
        <w:t>ruling w</w:t>
      </w:r>
      <w:r w:rsidR="00B63C49">
        <w:rPr>
          <w:rFonts w:cstheme="minorHAnsi"/>
          <w:color w:val="313131"/>
          <w:lang w:eastAsia="en-AU"/>
        </w:rPr>
        <w:t>ere</w:t>
      </w:r>
      <w:r>
        <w:rPr>
          <w:rFonts w:cstheme="minorHAnsi"/>
          <w:color w:val="313131"/>
          <w:lang w:eastAsia="en-AU"/>
        </w:rPr>
        <w:t xml:space="preserve"> followed, infrastructure proposals, assessments and decisions would specify the head of power, prerogative or s.96 </w:t>
      </w:r>
      <w:r w:rsidR="00A61379">
        <w:rPr>
          <w:rFonts w:cstheme="minorHAnsi"/>
          <w:color w:val="313131"/>
          <w:lang w:eastAsia="en-AU"/>
        </w:rPr>
        <w:t xml:space="preserve">State grant </w:t>
      </w:r>
      <w:r>
        <w:rPr>
          <w:rFonts w:cstheme="minorHAnsi"/>
          <w:color w:val="313131"/>
          <w:lang w:eastAsia="en-AU"/>
        </w:rPr>
        <w:t xml:space="preserve">matter </w:t>
      </w:r>
      <w:r w:rsidR="00A61379">
        <w:rPr>
          <w:rFonts w:cstheme="minorHAnsi"/>
          <w:color w:val="313131"/>
          <w:lang w:eastAsia="en-AU"/>
        </w:rPr>
        <w:t xml:space="preserve">establishing the legality of proposed Commonwealth funding.  Any s.96 matter would trigger advice to Parliament, rather than the Government, because </w:t>
      </w:r>
      <w:r w:rsidR="00B63C49">
        <w:rPr>
          <w:rFonts w:cstheme="minorHAnsi"/>
          <w:color w:val="313131"/>
          <w:lang w:eastAsia="en-AU"/>
        </w:rPr>
        <w:t>s</w:t>
      </w:r>
      <w:r w:rsidR="00D51674">
        <w:rPr>
          <w:rFonts w:cstheme="minorHAnsi"/>
          <w:color w:val="313131"/>
          <w:lang w:eastAsia="en-AU"/>
        </w:rPr>
        <w:t>.</w:t>
      </w:r>
      <w:r w:rsidR="00B63C49">
        <w:rPr>
          <w:rFonts w:cstheme="minorHAnsi"/>
          <w:color w:val="313131"/>
          <w:lang w:eastAsia="en-AU"/>
        </w:rPr>
        <w:t>96</w:t>
      </w:r>
      <w:r w:rsidR="00A61379">
        <w:rPr>
          <w:rFonts w:cstheme="minorHAnsi"/>
          <w:color w:val="313131"/>
          <w:lang w:eastAsia="en-AU"/>
        </w:rPr>
        <w:t xml:space="preserve"> has Parliament </w:t>
      </w:r>
      <w:r w:rsidR="00B63C49">
        <w:rPr>
          <w:rFonts w:cstheme="minorHAnsi"/>
          <w:color w:val="313131"/>
          <w:lang w:eastAsia="en-AU"/>
        </w:rPr>
        <w:t>deciding</w:t>
      </w:r>
      <w:r w:rsidR="00A61379">
        <w:rPr>
          <w:rFonts w:cstheme="minorHAnsi"/>
          <w:color w:val="313131"/>
          <w:lang w:eastAsia="en-AU"/>
        </w:rPr>
        <w:t xml:space="preserve"> conditions for State grants.</w:t>
      </w:r>
    </w:p>
    <w:p w14:paraId="2AA5F62F" w14:textId="548AE44B" w:rsidR="00A61379" w:rsidRDefault="00A61379" w:rsidP="000C029B">
      <w:pPr>
        <w:spacing w:after="0" w:line="240" w:lineRule="auto"/>
        <w:rPr>
          <w:rFonts w:cstheme="minorHAnsi"/>
          <w:color w:val="313131"/>
          <w:lang w:eastAsia="en-AU"/>
        </w:rPr>
      </w:pPr>
    </w:p>
    <w:p w14:paraId="6F64FCD7" w14:textId="04D12EF6" w:rsidR="00A61379" w:rsidRDefault="00A61379" w:rsidP="000C029B">
      <w:pPr>
        <w:pStyle w:val="Heading3"/>
        <w:spacing w:before="0"/>
        <w:rPr>
          <w:lang w:eastAsia="en-AU"/>
        </w:rPr>
      </w:pPr>
      <w:bookmarkStart w:id="11" w:name="_Toc111195430"/>
      <w:r>
        <w:rPr>
          <w:lang w:eastAsia="en-AU"/>
        </w:rPr>
        <w:lastRenderedPageBreak/>
        <w:t>4.3</w:t>
      </w:r>
      <w:r>
        <w:rPr>
          <w:lang w:eastAsia="en-AU"/>
        </w:rPr>
        <w:tab/>
        <w:t>Invalidation of assumptions</w:t>
      </w:r>
      <w:bookmarkEnd w:id="11"/>
    </w:p>
    <w:p w14:paraId="68033B74" w14:textId="3D925A5B" w:rsidR="00A61379" w:rsidRDefault="00A61379" w:rsidP="000C029B">
      <w:pPr>
        <w:spacing w:after="0" w:line="240" w:lineRule="auto"/>
        <w:rPr>
          <w:rFonts w:cstheme="minorHAnsi"/>
          <w:color w:val="313131"/>
          <w:lang w:eastAsia="en-AU"/>
        </w:rPr>
      </w:pPr>
      <w:r>
        <w:rPr>
          <w:rFonts w:cstheme="minorHAnsi"/>
          <w:color w:val="313131"/>
          <w:lang w:eastAsia="en-AU"/>
        </w:rPr>
        <w:t xml:space="preserve">The </w:t>
      </w:r>
      <w:r w:rsidR="00B63C49">
        <w:rPr>
          <w:rFonts w:cstheme="minorHAnsi"/>
          <w:color w:val="313131"/>
          <w:lang w:eastAsia="en-AU"/>
        </w:rPr>
        <w:t>2014</w:t>
      </w:r>
      <w:r>
        <w:rPr>
          <w:rFonts w:cstheme="minorHAnsi"/>
          <w:color w:val="313131"/>
          <w:lang w:eastAsia="en-AU"/>
        </w:rPr>
        <w:t xml:space="preserve"> decision meant all the main assumptions behind establishment of Infrastructure Australia had been invalidated:</w:t>
      </w:r>
    </w:p>
    <w:p w14:paraId="5B460E7B" w14:textId="58A6BAD2" w:rsidR="00A61379" w:rsidRPr="00A61379" w:rsidRDefault="004664C4" w:rsidP="000C029B">
      <w:pPr>
        <w:pStyle w:val="ListParagraph"/>
        <w:numPr>
          <w:ilvl w:val="0"/>
          <w:numId w:val="17"/>
        </w:numPr>
        <w:spacing w:after="0" w:line="240" w:lineRule="auto"/>
        <w:ind w:left="360"/>
        <w:rPr>
          <w:rFonts w:cstheme="minorHAnsi"/>
          <w:color w:val="313131"/>
          <w:lang w:eastAsia="en-AU"/>
        </w:rPr>
      </w:pPr>
      <w:r>
        <w:rPr>
          <w:rFonts w:cstheme="minorHAnsi"/>
          <w:color w:val="313131"/>
          <w:lang w:eastAsia="en-AU"/>
        </w:rPr>
        <w:t>t</w:t>
      </w:r>
      <w:r w:rsidR="00271EED">
        <w:rPr>
          <w:rFonts w:cstheme="minorHAnsi"/>
          <w:color w:val="313131"/>
          <w:lang w:eastAsia="en-AU"/>
        </w:rPr>
        <w:t xml:space="preserve">here were, and continued to be, very few </w:t>
      </w:r>
      <w:r w:rsidR="00A61379" w:rsidRPr="00A61379">
        <w:rPr>
          <w:rFonts w:cstheme="minorHAnsi"/>
          <w:color w:val="313131"/>
          <w:lang w:eastAsia="en-AU"/>
        </w:rPr>
        <w:t>shovel</w:t>
      </w:r>
      <w:r w:rsidR="00271EED">
        <w:rPr>
          <w:rFonts w:cstheme="minorHAnsi"/>
          <w:color w:val="313131"/>
          <w:lang w:eastAsia="en-AU"/>
        </w:rPr>
        <w:t>-</w:t>
      </w:r>
      <w:r w:rsidR="00A61379" w:rsidRPr="00A61379">
        <w:rPr>
          <w:rFonts w:cstheme="minorHAnsi"/>
          <w:color w:val="313131"/>
          <w:lang w:eastAsia="en-AU"/>
        </w:rPr>
        <w:t>ready projects for economic infrastructure</w:t>
      </w:r>
      <w:r w:rsidR="00271EED">
        <w:rPr>
          <w:rFonts w:cstheme="minorHAnsi"/>
          <w:color w:val="313131"/>
          <w:lang w:eastAsia="en-AU"/>
        </w:rPr>
        <w:t>, even fewer of which were presented to Infrastructure Australia;</w:t>
      </w:r>
      <w:r w:rsidR="00A61379" w:rsidRPr="00A61379">
        <w:rPr>
          <w:rFonts w:cstheme="minorHAnsi"/>
          <w:color w:val="313131"/>
          <w:lang w:eastAsia="en-AU"/>
        </w:rPr>
        <w:t xml:space="preserve"> </w:t>
      </w:r>
    </w:p>
    <w:p w14:paraId="29A668CA" w14:textId="42605EEC" w:rsidR="00A61379" w:rsidRDefault="00A61379" w:rsidP="000C029B">
      <w:pPr>
        <w:pStyle w:val="ListParagraph"/>
        <w:numPr>
          <w:ilvl w:val="0"/>
          <w:numId w:val="17"/>
        </w:numPr>
        <w:spacing w:after="0" w:line="240" w:lineRule="auto"/>
        <w:ind w:left="360"/>
        <w:rPr>
          <w:rFonts w:cstheme="minorHAnsi"/>
          <w:color w:val="313131"/>
          <w:lang w:eastAsia="en-AU"/>
        </w:rPr>
      </w:pPr>
      <w:r>
        <w:rPr>
          <w:rFonts w:cstheme="minorHAnsi"/>
          <w:color w:val="313131"/>
          <w:lang w:eastAsia="en-AU"/>
        </w:rPr>
        <w:t>matters under State control</w:t>
      </w:r>
      <w:r w:rsidR="00B63C49">
        <w:rPr>
          <w:rFonts w:cstheme="minorHAnsi"/>
          <w:color w:val="313131"/>
          <w:lang w:eastAsia="en-AU"/>
        </w:rPr>
        <w:t>,</w:t>
      </w:r>
      <w:r>
        <w:rPr>
          <w:rFonts w:cstheme="minorHAnsi"/>
          <w:color w:val="313131"/>
          <w:lang w:eastAsia="en-AU"/>
        </w:rPr>
        <w:t xml:space="preserve"> including aspects of urban affairs such as road traffic congestion and public transport</w:t>
      </w:r>
      <w:r w:rsidR="00271EED">
        <w:rPr>
          <w:rFonts w:cstheme="minorHAnsi"/>
          <w:color w:val="313131"/>
          <w:lang w:eastAsia="en-AU"/>
        </w:rPr>
        <w:t xml:space="preserve">, </w:t>
      </w:r>
      <w:r w:rsidR="00B63C49">
        <w:rPr>
          <w:rFonts w:cstheme="minorHAnsi"/>
          <w:color w:val="313131"/>
          <w:lang w:eastAsia="en-AU"/>
        </w:rPr>
        <w:t>a</w:t>
      </w:r>
      <w:r w:rsidR="00271EED">
        <w:rPr>
          <w:rFonts w:cstheme="minorHAnsi"/>
          <w:color w:val="313131"/>
          <w:lang w:eastAsia="en-AU"/>
        </w:rPr>
        <w:t xml:space="preserve">re not Commonwealth purposes </w:t>
      </w:r>
      <w:r w:rsidR="00554FE0">
        <w:rPr>
          <w:rFonts w:cstheme="minorHAnsi"/>
          <w:color w:val="313131"/>
          <w:lang w:eastAsia="en-AU"/>
        </w:rPr>
        <w:t xml:space="preserve">and </w:t>
      </w:r>
      <w:r w:rsidR="00271EED">
        <w:rPr>
          <w:rFonts w:cstheme="minorHAnsi"/>
          <w:color w:val="313131"/>
          <w:lang w:eastAsia="en-AU"/>
        </w:rPr>
        <w:t xml:space="preserve">could only attract Commonwealth funding </w:t>
      </w:r>
      <w:r w:rsidR="00B63C49">
        <w:rPr>
          <w:rFonts w:cstheme="minorHAnsi"/>
          <w:color w:val="313131"/>
          <w:lang w:eastAsia="en-AU"/>
        </w:rPr>
        <w:t>via</w:t>
      </w:r>
      <w:r w:rsidR="00271EED">
        <w:rPr>
          <w:rFonts w:cstheme="minorHAnsi"/>
          <w:color w:val="313131"/>
          <w:lang w:eastAsia="en-AU"/>
        </w:rPr>
        <w:t xml:space="preserve"> s.96</w:t>
      </w:r>
      <w:r w:rsidR="004664C4">
        <w:rPr>
          <w:rStyle w:val="FootnoteReference"/>
          <w:rFonts w:cstheme="minorHAnsi"/>
          <w:color w:val="313131"/>
          <w:lang w:eastAsia="en-AU"/>
        </w:rPr>
        <w:footnoteReference w:id="6"/>
      </w:r>
      <w:r w:rsidR="00271EED">
        <w:rPr>
          <w:rFonts w:cstheme="minorHAnsi"/>
          <w:color w:val="313131"/>
          <w:lang w:eastAsia="en-AU"/>
        </w:rPr>
        <w:t>;</w:t>
      </w:r>
    </w:p>
    <w:p w14:paraId="0FFE274C" w14:textId="63ADAD5F" w:rsidR="00F51E3E" w:rsidRPr="00C02C63" w:rsidRDefault="006A5D42" w:rsidP="000C029B">
      <w:pPr>
        <w:pStyle w:val="ListParagraph"/>
        <w:numPr>
          <w:ilvl w:val="0"/>
          <w:numId w:val="17"/>
        </w:numPr>
        <w:spacing w:after="0" w:line="240" w:lineRule="auto"/>
        <w:ind w:left="360"/>
        <w:rPr>
          <w:rFonts w:cstheme="minorHAnsi"/>
          <w:color w:val="313131"/>
          <w:lang w:eastAsia="en-AU"/>
        </w:rPr>
      </w:pPr>
      <w:r>
        <w:rPr>
          <w:rFonts w:cstheme="minorHAnsi"/>
          <w:color w:val="313131"/>
          <w:lang w:eastAsia="en-AU"/>
        </w:rPr>
        <w:t xml:space="preserve">the relevant </w:t>
      </w:r>
      <w:r w:rsidR="00F51E3E">
        <w:rPr>
          <w:rFonts w:cstheme="minorHAnsi"/>
          <w:color w:val="313131"/>
          <w:lang w:eastAsia="en-AU"/>
        </w:rPr>
        <w:t>infrastructure deficit</w:t>
      </w:r>
      <w:r>
        <w:rPr>
          <w:rFonts w:cstheme="minorHAnsi"/>
          <w:color w:val="313131"/>
          <w:lang w:eastAsia="en-AU"/>
        </w:rPr>
        <w:t xml:space="preserve"> was not a construction shortfall, but a shortfall in democratic accountability</w:t>
      </w:r>
      <w:r w:rsidR="00711895">
        <w:rPr>
          <w:rFonts w:cstheme="minorHAnsi"/>
          <w:color w:val="313131"/>
          <w:lang w:eastAsia="en-AU"/>
        </w:rPr>
        <w:t>;</w:t>
      </w:r>
      <w:r w:rsidR="00F51E3E">
        <w:rPr>
          <w:rFonts w:cstheme="minorHAnsi"/>
          <w:color w:val="313131"/>
          <w:lang w:eastAsia="en-AU"/>
        </w:rPr>
        <w:t xml:space="preserve"> </w:t>
      </w:r>
    </w:p>
    <w:p w14:paraId="700EDAA2" w14:textId="016C9A15" w:rsidR="00A61379" w:rsidRPr="00C02C63" w:rsidRDefault="00271EED" w:rsidP="000C029B">
      <w:pPr>
        <w:pStyle w:val="ListParagraph"/>
        <w:numPr>
          <w:ilvl w:val="0"/>
          <w:numId w:val="17"/>
        </w:numPr>
        <w:spacing w:after="0" w:line="240" w:lineRule="auto"/>
        <w:ind w:left="360"/>
        <w:rPr>
          <w:rFonts w:cstheme="minorHAnsi"/>
          <w:color w:val="313131"/>
          <w:lang w:eastAsia="en-AU"/>
        </w:rPr>
      </w:pPr>
      <w:r>
        <w:rPr>
          <w:rFonts w:cstheme="minorHAnsi"/>
          <w:color w:val="313131"/>
          <w:lang w:eastAsia="en-AU"/>
        </w:rPr>
        <w:t xml:space="preserve">instead of vast new </w:t>
      </w:r>
      <w:r w:rsidR="00A61379" w:rsidRPr="00C02C63">
        <w:rPr>
          <w:rFonts w:cstheme="minorHAnsi"/>
          <w:color w:val="313131"/>
          <w:lang w:eastAsia="en-AU"/>
        </w:rPr>
        <w:t>revenues from a resources boom</w:t>
      </w:r>
      <w:r>
        <w:rPr>
          <w:rFonts w:cstheme="minorHAnsi"/>
          <w:color w:val="313131"/>
          <w:lang w:eastAsia="en-AU"/>
        </w:rPr>
        <w:t>, a Global Financial Crisis depleted the Budget position</w:t>
      </w:r>
      <w:r w:rsidR="00A61379" w:rsidRPr="00C02C63">
        <w:rPr>
          <w:rFonts w:cstheme="minorHAnsi"/>
          <w:color w:val="313131"/>
          <w:lang w:eastAsia="en-AU"/>
        </w:rPr>
        <w:t xml:space="preserve">; </w:t>
      </w:r>
    </w:p>
    <w:p w14:paraId="13A27A99" w14:textId="062659FB" w:rsidR="00A61379" w:rsidRPr="007A5A86" w:rsidRDefault="00271EED" w:rsidP="000C029B">
      <w:pPr>
        <w:pStyle w:val="ListParagraph"/>
        <w:numPr>
          <w:ilvl w:val="0"/>
          <w:numId w:val="17"/>
        </w:numPr>
        <w:spacing w:after="0" w:line="240" w:lineRule="auto"/>
        <w:ind w:left="360"/>
        <w:rPr>
          <w:rFonts w:cstheme="minorHAnsi"/>
          <w:color w:val="313131"/>
          <w:lang w:eastAsia="en-AU"/>
        </w:rPr>
      </w:pPr>
      <w:r w:rsidRPr="007A5A86">
        <w:rPr>
          <w:rFonts w:cstheme="minorHAnsi"/>
          <w:color w:val="313131"/>
          <w:lang w:eastAsia="en-AU"/>
        </w:rPr>
        <w:t xml:space="preserve">the Constitution, rather than </w:t>
      </w:r>
      <w:r w:rsidR="00A61379" w:rsidRPr="007A5A86">
        <w:rPr>
          <w:rFonts w:cstheme="minorHAnsi"/>
          <w:color w:val="313131"/>
          <w:lang w:eastAsia="en-AU"/>
        </w:rPr>
        <w:t>Governments</w:t>
      </w:r>
      <w:r w:rsidRPr="007A5A86">
        <w:rPr>
          <w:rFonts w:cstheme="minorHAnsi"/>
          <w:color w:val="313131"/>
          <w:lang w:eastAsia="en-AU"/>
        </w:rPr>
        <w:t xml:space="preserve">, </w:t>
      </w:r>
      <w:r w:rsidR="00A61379" w:rsidRPr="007A5A86">
        <w:rPr>
          <w:rFonts w:cstheme="minorHAnsi"/>
          <w:color w:val="313131"/>
          <w:lang w:eastAsia="en-AU"/>
        </w:rPr>
        <w:t>determine</w:t>
      </w:r>
      <w:r w:rsidR="00554FE0">
        <w:rPr>
          <w:rFonts w:cstheme="minorHAnsi"/>
          <w:color w:val="313131"/>
          <w:lang w:eastAsia="en-AU"/>
        </w:rPr>
        <w:t>s</w:t>
      </w:r>
      <w:r w:rsidR="00A61379" w:rsidRPr="007A5A86">
        <w:rPr>
          <w:rFonts w:cstheme="minorHAnsi"/>
          <w:color w:val="313131"/>
          <w:lang w:eastAsia="en-AU"/>
        </w:rPr>
        <w:t xml:space="preserve"> </w:t>
      </w:r>
      <w:r w:rsidRPr="007A5A86">
        <w:rPr>
          <w:rFonts w:cstheme="minorHAnsi"/>
          <w:color w:val="313131"/>
          <w:lang w:eastAsia="en-AU"/>
        </w:rPr>
        <w:t>Commonwealth purposes</w:t>
      </w:r>
      <w:r w:rsidR="007A5A86" w:rsidRPr="007A5A86">
        <w:rPr>
          <w:rFonts w:cstheme="minorHAnsi"/>
          <w:color w:val="313131"/>
          <w:lang w:eastAsia="en-AU"/>
        </w:rPr>
        <w:t>.</w:t>
      </w:r>
    </w:p>
    <w:p w14:paraId="01276176" w14:textId="105A1AF0" w:rsidR="00A61379" w:rsidRDefault="00A61379" w:rsidP="000C029B">
      <w:pPr>
        <w:spacing w:after="0" w:line="240" w:lineRule="auto"/>
        <w:rPr>
          <w:rFonts w:cstheme="minorHAnsi"/>
          <w:color w:val="313131"/>
          <w:lang w:eastAsia="en-AU"/>
        </w:rPr>
      </w:pPr>
    </w:p>
    <w:p w14:paraId="1999543E" w14:textId="7790BC6B" w:rsidR="007A5A86" w:rsidRDefault="007A5A86" w:rsidP="000C029B">
      <w:pPr>
        <w:spacing w:after="0" w:line="240" w:lineRule="auto"/>
        <w:rPr>
          <w:rFonts w:cstheme="minorHAnsi"/>
          <w:color w:val="313131"/>
          <w:lang w:eastAsia="en-AU"/>
        </w:rPr>
      </w:pPr>
      <w:r>
        <w:rPr>
          <w:rFonts w:cstheme="minorHAnsi"/>
          <w:color w:val="313131"/>
          <w:lang w:eastAsia="en-AU"/>
        </w:rPr>
        <w:t xml:space="preserve">Further, the </w:t>
      </w:r>
      <w:r w:rsidRPr="001E2809">
        <w:rPr>
          <w:rFonts w:cstheme="minorHAnsi"/>
          <w:color w:val="313131"/>
          <w:lang w:eastAsia="en-AU"/>
        </w:rPr>
        <w:t>cause of Department</w:t>
      </w:r>
      <w:r w:rsidR="006A5D42">
        <w:rPr>
          <w:rFonts w:cstheme="minorHAnsi"/>
          <w:color w:val="313131"/>
          <w:lang w:eastAsia="en-AU"/>
        </w:rPr>
        <w:t>s’</w:t>
      </w:r>
      <w:r w:rsidRPr="001E2809">
        <w:rPr>
          <w:rFonts w:cstheme="minorHAnsi"/>
          <w:color w:val="313131"/>
          <w:lang w:eastAsia="en-AU"/>
        </w:rPr>
        <w:t xml:space="preserve"> in</w:t>
      </w:r>
      <w:r w:rsidR="006A5D42">
        <w:rPr>
          <w:rFonts w:cstheme="minorHAnsi"/>
          <w:color w:val="313131"/>
          <w:lang w:eastAsia="en-AU"/>
        </w:rPr>
        <w:t>ability to</w:t>
      </w:r>
      <w:r w:rsidRPr="001E2809">
        <w:rPr>
          <w:rFonts w:cstheme="minorHAnsi"/>
          <w:color w:val="313131"/>
          <w:lang w:eastAsia="en-AU"/>
        </w:rPr>
        <w:t xml:space="preserve"> provid</w:t>
      </w:r>
      <w:r w:rsidR="006A5D42">
        <w:rPr>
          <w:rFonts w:cstheme="minorHAnsi"/>
          <w:color w:val="313131"/>
          <w:lang w:eastAsia="en-AU"/>
        </w:rPr>
        <w:t>e</w:t>
      </w:r>
      <w:r w:rsidRPr="001E2809">
        <w:rPr>
          <w:rFonts w:cstheme="minorHAnsi"/>
          <w:color w:val="313131"/>
          <w:lang w:eastAsia="en-AU"/>
        </w:rPr>
        <w:t xml:space="preserve"> infrastructure advice </w:t>
      </w:r>
      <w:r>
        <w:rPr>
          <w:rFonts w:cstheme="minorHAnsi"/>
          <w:color w:val="313131"/>
          <w:lang w:eastAsia="en-AU"/>
        </w:rPr>
        <w:t xml:space="preserve">to the Government </w:t>
      </w:r>
      <w:r w:rsidRPr="001E2809">
        <w:rPr>
          <w:rFonts w:cstheme="minorHAnsi"/>
          <w:color w:val="313131"/>
          <w:lang w:eastAsia="en-AU"/>
        </w:rPr>
        <w:t xml:space="preserve">– policy flux </w:t>
      </w:r>
      <w:r>
        <w:rPr>
          <w:rFonts w:cstheme="minorHAnsi"/>
          <w:color w:val="313131"/>
          <w:lang w:eastAsia="en-AU"/>
        </w:rPr>
        <w:t xml:space="preserve">due to political partisanship and ideology </w:t>
      </w:r>
      <w:r w:rsidR="006A5D42">
        <w:rPr>
          <w:rFonts w:cstheme="minorHAnsi"/>
          <w:color w:val="313131"/>
          <w:lang w:eastAsia="en-AU"/>
        </w:rPr>
        <w:t xml:space="preserve">- </w:t>
      </w:r>
      <w:r>
        <w:rPr>
          <w:rFonts w:cstheme="minorHAnsi"/>
          <w:color w:val="313131"/>
          <w:lang w:eastAsia="en-AU"/>
        </w:rPr>
        <w:t>had</w:t>
      </w:r>
      <w:r w:rsidRPr="001E2809">
        <w:rPr>
          <w:rFonts w:cstheme="minorHAnsi"/>
          <w:color w:val="313131"/>
          <w:lang w:eastAsia="en-AU"/>
        </w:rPr>
        <w:t xml:space="preserve"> disappear</w:t>
      </w:r>
      <w:r>
        <w:rPr>
          <w:rFonts w:cstheme="minorHAnsi"/>
          <w:color w:val="313131"/>
          <w:lang w:eastAsia="en-AU"/>
        </w:rPr>
        <w:t>ed.</w:t>
      </w:r>
      <w:r w:rsidRPr="001E2809">
        <w:rPr>
          <w:rFonts w:cstheme="minorHAnsi"/>
          <w:color w:val="313131"/>
          <w:lang w:eastAsia="en-AU"/>
        </w:rPr>
        <w:t xml:space="preserve"> </w:t>
      </w:r>
      <w:r>
        <w:rPr>
          <w:rFonts w:cstheme="minorHAnsi"/>
          <w:color w:val="313131"/>
          <w:lang w:eastAsia="en-AU"/>
        </w:rPr>
        <w:t xml:space="preserve"> Continued </w:t>
      </w:r>
      <w:r w:rsidR="006A5D42">
        <w:rPr>
          <w:rFonts w:cstheme="minorHAnsi"/>
          <w:color w:val="313131"/>
          <w:lang w:eastAsia="en-AU"/>
        </w:rPr>
        <w:t xml:space="preserve">policy </w:t>
      </w:r>
      <w:r>
        <w:rPr>
          <w:rFonts w:cstheme="minorHAnsi"/>
          <w:color w:val="313131"/>
          <w:lang w:eastAsia="en-AU"/>
        </w:rPr>
        <w:t xml:space="preserve">drift would raise questions about legality.  Few if any of the claims of </w:t>
      </w:r>
      <w:r w:rsidR="00DB224F">
        <w:rPr>
          <w:rFonts w:cstheme="minorHAnsi"/>
          <w:color w:val="313131"/>
          <w:lang w:eastAsia="en-AU"/>
        </w:rPr>
        <w:t xml:space="preserve">innate </w:t>
      </w:r>
      <w:r>
        <w:rPr>
          <w:rFonts w:cstheme="minorHAnsi"/>
          <w:color w:val="313131"/>
          <w:lang w:eastAsia="en-AU"/>
        </w:rPr>
        <w:t xml:space="preserve">Government roles – such as in urban or regional areas, and most roads - were valid beyond that time.  </w:t>
      </w:r>
    </w:p>
    <w:p w14:paraId="6BC81FE2" w14:textId="2A418EAA" w:rsidR="007A5A86" w:rsidRDefault="007A5A86" w:rsidP="000C029B">
      <w:pPr>
        <w:spacing w:after="0" w:line="240" w:lineRule="auto"/>
        <w:rPr>
          <w:rFonts w:cstheme="minorHAnsi"/>
          <w:color w:val="313131"/>
          <w:lang w:eastAsia="en-AU"/>
        </w:rPr>
      </w:pPr>
    </w:p>
    <w:p w14:paraId="22997C6F" w14:textId="1A95336E" w:rsidR="007A5A86" w:rsidRDefault="007A5A86" w:rsidP="000C029B">
      <w:pPr>
        <w:pStyle w:val="Heading3"/>
        <w:spacing w:before="0"/>
        <w:rPr>
          <w:lang w:eastAsia="en-AU"/>
        </w:rPr>
      </w:pPr>
      <w:bookmarkStart w:id="12" w:name="_Toc111195431"/>
      <w:r>
        <w:rPr>
          <w:lang w:eastAsia="en-AU"/>
        </w:rPr>
        <w:t>4.4</w:t>
      </w:r>
      <w:r>
        <w:rPr>
          <w:lang w:eastAsia="en-AU"/>
        </w:rPr>
        <w:tab/>
        <w:t>Response?</w:t>
      </w:r>
      <w:bookmarkEnd w:id="12"/>
    </w:p>
    <w:p w14:paraId="25E1A18D" w14:textId="2A20432B" w:rsidR="007E737E" w:rsidRDefault="00BD75E7" w:rsidP="000C029B">
      <w:pPr>
        <w:spacing w:after="0" w:line="240" w:lineRule="auto"/>
        <w:rPr>
          <w:rFonts w:cstheme="minorHAnsi"/>
          <w:color w:val="313131"/>
          <w:lang w:eastAsia="en-AU"/>
        </w:rPr>
      </w:pPr>
      <w:r>
        <w:rPr>
          <w:rFonts w:cstheme="minorHAnsi"/>
          <w:color w:val="313131"/>
          <w:lang w:eastAsia="en-AU"/>
        </w:rPr>
        <w:t xml:space="preserve">The </w:t>
      </w:r>
      <w:r w:rsidR="00DB224F">
        <w:rPr>
          <w:rFonts w:cstheme="minorHAnsi"/>
          <w:color w:val="313131"/>
          <w:lang w:eastAsia="en-AU"/>
        </w:rPr>
        <w:t>Court’s</w:t>
      </w:r>
      <w:r w:rsidR="007A5A86">
        <w:rPr>
          <w:rFonts w:cstheme="minorHAnsi"/>
          <w:color w:val="313131"/>
          <w:lang w:eastAsia="en-AU"/>
        </w:rPr>
        <w:t xml:space="preserve"> </w:t>
      </w:r>
      <w:r>
        <w:rPr>
          <w:rFonts w:cstheme="minorHAnsi"/>
          <w:color w:val="313131"/>
          <w:lang w:eastAsia="en-AU"/>
        </w:rPr>
        <w:t xml:space="preserve">decision should have upended </w:t>
      </w:r>
      <w:r w:rsidR="007A5A86">
        <w:rPr>
          <w:rFonts w:cstheme="minorHAnsi"/>
          <w:color w:val="313131"/>
          <w:lang w:eastAsia="en-AU"/>
        </w:rPr>
        <w:t xml:space="preserve">the approach to Commonwealth infrastructure advising in relevant Departments and </w:t>
      </w:r>
      <w:r w:rsidR="00DB224F">
        <w:rPr>
          <w:rFonts w:cstheme="minorHAnsi"/>
          <w:color w:val="313131"/>
          <w:lang w:eastAsia="en-AU"/>
        </w:rPr>
        <w:t xml:space="preserve">in </w:t>
      </w:r>
      <w:r>
        <w:rPr>
          <w:rFonts w:cstheme="minorHAnsi"/>
          <w:color w:val="313131"/>
          <w:lang w:eastAsia="en-AU"/>
        </w:rPr>
        <w:t>Infrastructure Australia</w:t>
      </w:r>
      <w:r w:rsidR="007A5A86">
        <w:rPr>
          <w:rFonts w:cstheme="minorHAnsi"/>
          <w:color w:val="313131"/>
          <w:lang w:eastAsia="en-AU"/>
        </w:rPr>
        <w:t>.</w:t>
      </w:r>
      <w:r w:rsidR="002F00D7">
        <w:rPr>
          <w:rFonts w:cstheme="minorHAnsi"/>
          <w:color w:val="313131"/>
          <w:lang w:eastAsia="en-AU"/>
        </w:rPr>
        <w:t xml:space="preserve">  </w:t>
      </w:r>
    </w:p>
    <w:p w14:paraId="7293F0A5" w14:textId="77777777" w:rsidR="007E737E" w:rsidRDefault="007E737E" w:rsidP="000C029B">
      <w:pPr>
        <w:spacing w:after="0" w:line="240" w:lineRule="auto"/>
        <w:rPr>
          <w:rFonts w:cstheme="minorHAnsi"/>
          <w:color w:val="313131"/>
          <w:lang w:eastAsia="en-AU"/>
        </w:rPr>
      </w:pPr>
    </w:p>
    <w:p w14:paraId="4B07F3BE" w14:textId="35B7E613" w:rsidR="007E737E" w:rsidRDefault="002F00D7" w:rsidP="000C029B">
      <w:pPr>
        <w:spacing w:after="0" w:line="240" w:lineRule="auto"/>
        <w:rPr>
          <w:rFonts w:cstheme="minorHAnsi"/>
          <w:color w:val="313131"/>
          <w:lang w:eastAsia="en-AU"/>
        </w:rPr>
      </w:pPr>
      <w:r>
        <w:rPr>
          <w:rFonts w:cstheme="minorHAnsi"/>
          <w:color w:val="313131"/>
          <w:lang w:eastAsia="en-AU"/>
        </w:rPr>
        <w:t xml:space="preserve">This should have occurred </w:t>
      </w:r>
      <w:proofErr w:type="gramStart"/>
      <w:r>
        <w:rPr>
          <w:rFonts w:cstheme="minorHAnsi"/>
          <w:color w:val="313131"/>
          <w:lang w:eastAsia="en-AU"/>
        </w:rPr>
        <w:t>whether or not</w:t>
      </w:r>
      <w:proofErr w:type="gramEnd"/>
      <w:r>
        <w:rPr>
          <w:rFonts w:cstheme="minorHAnsi"/>
          <w:color w:val="313131"/>
          <w:lang w:eastAsia="en-AU"/>
        </w:rPr>
        <w:t xml:space="preserve"> Governments continued to pursue </w:t>
      </w:r>
      <w:r w:rsidR="007E737E">
        <w:rPr>
          <w:rFonts w:cstheme="minorHAnsi"/>
          <w:color w:val="313131"/>
          <w:lang w:eastAsia="en-AU"/>
        </w:rPr>
        <w:t xml:space="preserve">political </w:t>
      </w:r>
      <w:r>
        <w:rPr>
          <w:rFonts w:cstheme="minorHAnsi"/>
          <w:color w:val="313131"/>
          <w:lang w:eastAsia="en-AU"/>
        </w:rPr>
        <w:t>goals</w:t>
      </w:r>
      <w:r w:rsidR="007E737E">
        <w:rPr>
          <w:rFonts w:cstheme="minorHAnsi"/>
          <w:color w:val="313131"/>
          <w:lang w:eastAsia="en-AU"/>
        </w:rPr>
        <w:t>.  Indeed</w:t>
      </w:r>
      <w:r w:rsidR="00AA4F90">
        <w:rPr>
          <w:rFonts w:cstheme="minorHAnsi"/>
          <w:color w:val="313131"/>
          <w:lang w:eastAsia="en-AU"/>
        </w:rPr>
        <w:t>,</w:t>
      </w:r>
      <w:r w:rsidR="007E737E">
        <w:rPr>
          <w:rFonts w:cstheme="minorHAnsi"/>
          <w:color w:val="313131"/>
          <w:lang w:eastAsia="en-AU"/>
        </w:rPr>
        <w:t xml:space="preserve"> advice should have indicated the necessity </w:t>
      </w:r>
      <w:r w:rsidR="00DB224F">
        <w:rPr>
          <w:rFonts w:cstheme="minorHAnsi"/>
          <w:color w:val="313131"/>
          <w:lang w:eastAsia="en-AU"/>
        </w:rPr>
        <w:t xml:space="preserve">for change and </w:t>
      </w:r>
      <w:r w:rsidR="007E737E">
        <w:rPr>
          <w:rFonts w:cstheme="minorHAnsi"/>
          <w:color w:val="313131"/>
          <w:lang w:eastAsia="en-AU"/>
        </w:rPr>
        <w:t>to publicly specify</w:t>
      </w:r>
      <w:r>
        <w:rPr>
          <w:rFonts w:cstheme="minorHAnsi"/>
          <w:color w:val="313131"/>
          <w:lang w:eastAsia="en-AU"/>
        </w:rPr>
        <w:t xml:space="preserve"> funding mechanisms</w:t>
      </w:r>
      <w:r w:rsidR="007E737E">
        <w:rPr>
          <w:rFonts w:cstheme="minorHAnsi"/>
          <w:color w:val="313131"/>
          <w:lang w:eastAsia="en-AU"/>
        </w:rPr>
        <w:t xml:space="preserve"> if Government </w:t>
      </w:r>
      <w:r w:rsidR="00554FE0">
        <w:rPr>
          <w:rFonts w:cstheme="minorHAnsi"/>
          <w:color w:val="313131"/>
          <w:lang w:eastAsia="en-AU"/>
        </w:rPr>
        <w:t xml:space="preserve">continued such </w:t>
      </w:r>
      <w:r w:rsidR="00DB224F">
        <w:rPr>
          <w:rFonts w:cstheme="minorHAnsi"/>
          <w:color w:val="313131"/>
          <w:lang w:eastAsia="en-AU"/>
        </w:rPr>
        <w:t>pursuits</w:t>
      </w:r>
      <w:r w:rsidR="007E737E">
        <w:rPr>
          <w:rFonts w:cstheme="minorHAnsi"/>
          <w:color w:val="313131"/>
          <w:lang w:eastAsia="en-AU"/>
        </w:rPr>
        <w:t>.</w:t>
      </w:r>
    </w:p>
    <w:p w14:paraId="4BCB4547" w14:textId="77777777" w:rsidR="007A5A86" w:rsidRDefault="007A5A86" w:rsidP="000C029B">
      <w:pPr>
        <w:spacing w:after="0" w:line="240" w:lineRule="auto"/>
        <w:rPr>
          <w:rFonts w:cstheme="minorHAnsi"/>
          <w:color w:val="313131"/>
          <w:lang w:eastAsia="en-AU"/>
        </w:rPr>
      </w:pPr>
    </w:p>
    <w:p w14:paraId="048F81FE" w14:textId="3C0D6A0C" w:rsidR="00FD0F48" w:rsidRDefault="00ED6A77" w:rsidP="000C029B">
      <w:pPr>
        <w:spacing w:after="0" w:line="240" w:lineRule="auto"/>
        <w:rPr>
          <w:rFonts w:cstheme="minorHAnsi"/>
          <w:color w:val="313131"/>
          <w:lang w:eastAsia="en-AU"/>
        </w:rPr>
      </w:pPr>
      <w:r>
        <w:rPr>
          <w:rFonts w:cstheme="minorHAnsi"/>
          <w:color w:val="313131"/>
          <w:lang w:eastAsia="en-AU"/>
        </w:rPr>
        <w:t>I</w:t>
      </w:r>
      <w:r w:rsidR="00AA4F90">
        <w:rPr>
          <w:rFonts w:cstheme="minorHAnsi"/>
          <w:color w:val="313131"/>
          <w:lang w:eastAsia="en-AU"/>
        </w:rPr>
        <w:t>nfrastructure audit</w:t>
      </w:r>
      <w:r>
        <w:rPr>
          <w:rFonts w:cstheme="minorHAnsi"/>
          <w:color w:val="313131"/>
          <w:lang w:eastAsia="en-AU"/>
        </w:rPr>
        <w:t>s</w:t>
      </w:r>
      <w:r w:rsidR="00AA4F90">
        <w:rPr>
          <w:rFonts w:cstheme="minorHAnsi"/>
          <w:color w:val="313131"/>
          <w:lang w:eastAsia="en-AU"/>
        </w:rPr>
        <w:t xml:space="preserve"> for the Commonwealth should </w:t>
      </w:r>
      <w:r>
        <w:rPr>
          <w:rFonts w:cstheme="minorHAnsi"/>
          <w:color w:val="313131"/>
          <w:lang w:eastAsia="en-AU"/>
        </w:rPr>
        <w:t xml:space="preserve">then </w:t>
      </w:r>
      <w:r w:rsidR="00AA4F90">
        <w:rPr>
          <w:rFonts w:cstheme="minorHAnsi"/>
          <w:color w:val="313131"/>
          <w:lang w:eastAsia="en-AU"/>
        </w:rPr>
        <w:t xml:space="preserve">have </w:t>
      </w:r>
      <w:r w:rsidR="00BD75E7">
        <w:rPr>
          <w:rFonts w:cstheme="minorHAnsi"/>
          <w:color w:val="313131"/>
          <w:lang w:eastAsia="en-AU"/>
        </w:rPr>
        <w:t>focus</w:t>
      </w:r>
      <w:r w:rsidR="00BA24B5">
        <w:rPr>
          <w:rFonts w:cstheme="minorHAnsi"/>
          <w:color w:val="313131"/>
          <w:lang w:eastAsia="en-AU"/>
        </w:rPr>
        <w:t>sed</w:t>
      </w:r>
      <w:r w:rsidR="00BD75E7">
        <w:rPr>
          <w:rFonts w:cstheme="minorHAnsi"/>
          <w:color w:val="313131"/>
          <w:lang w:eastAsia="en-AU"/>
        </w:rPr>
        <w:t xml:space="preserve"> on interstate and international infrastructure </w:t>
      </w:r>
      <w:r w:rsidR="00BA24B5">
        <w:rPr>
          <w:rFonts w:cstheme="minorHAnsi"/>
          <w:color w:val="313131"/>
          <w:lang w:eastAsia="en-AU"/>
        </w:rPr>
        <w:t xml:space="preserve">nodes and </w:t>
      </w:r>
      <w:r w:rsidR="00BD75E7">
        <w:rPr>
          <w:rFonts w:cstheme="minorHAnsi"/>
          <w:color w:val="313131"/>
          <w:lang w:eastAsia="en-AU"/>
        </w:rPr>
        <w:t>links</w:t>
      </w:r>
      <w:r w:rsidR="00AA4F90">
        <w:rPr>
          <w:rFonts w:cstheme="minorHAnsi"/>
          <w:color w:val="313131"/>
          <w:lang w:eastAsia="en-AU"/>
        </w:rPr>
        <w:t>, facilitation of exporting industries</w:t>
      </w:r>
      <w:r w:rsidR="00BA24B5">
        <w:rPr>
          <w:rFonts w:cstheme="minorHAnsi"/>
          <w:color w:val="313131"/>
          <w:lang w:eastAsia="en-AU"/>
        </w:rPr>
        <w:t>, interoperability for defence purposes etc.</w:t>
      </w:r>
      <w:r w:rsidR="00BD75E7">
        <w:rPr>
          <w:rFonts w:cstheme="minorHAnsi"/>
          <w:color w:val="313131"/>
          <w:lang w:eastAsia="en-AU"/>
        </w:rPr>
        <w:t xml:space="preserve"> rather than </w:t>
      </w:r>
      <w:r w:rsidR="00AA4F90">
        <w:rPr>
          <w:rFonts w:cstheme="minorHAnsi"/>
          <w:color w:val="313131"/>
          <w:lang w:eastAsia="en-AU"/>
        </w:rPr>
        <w:t>shortcomings in</w:t>
      </w:r>
      <w:r w:rsidR="00BD75E7">
        <w:rPr>
          <w:rFonts w:cstheme="minorHAnsi"/>
          <w:color w:val="313131"/>
          <w:lang w:eastAsia="en-AU"/>
        </w:rPr>
        <w:t xml:space="preserve"> essentially State responsibilities, such as inner urban road traffic congestion.  </w:t>
      </w:r>
      <w:r w:rsidR="00FD0F48">
        <w:rPr>
          <w:rFonts w:cstheme="minorHAnsi"/>
          <w:color w:val="313131"/>
          <w:lang w:eastAsia="en-AU"/>
        </w:rPr>
        <w:t xml:space="preserve">Audits should have covered impediments to Commonwealth purposes resolvable by the Commonwealth without resort for funding – for example, restrictions on Newcastle port. </w:t>
      </w:r>
    </w:p>
    <w:p w14:paraId="4DABFDF2" w14:textId="77777777" w:rsidR="00FD0F48" w:rsidRDefault="00FD0F48" w:rsidP="000C029B">
      <w:pPr>
        <w:spacing w:after="0" w:line="240" w:lineRule="auto"/>
        <w:rPr>
          <w:rFonts w:cstheme="minorHAnsi"/>
          <w:color w:val="313131"/>
          <w:lang w:eastAsia="en-AU"/>
        </w:rPr>
      </w:pPr>
    </w:p>
    <w:p w14:paraId="3DFF55C6" w14:textId="7B9E519D" w:rsidR="00BD75E7" w:rsidRDefault="00BD75E7" w:rsidP="000C029B">
      <w:pPr>
        <w:spacing w:after="0" w:line="240" w:lineRule="auto"/>
        <w:rPr>
          <w:rFonts w:cstheme="minorHAnsi"/>
          <w:color w:val="313131"/>
          <w:lang w:eastAsia="en-AU"/>
        </w:rPr>
      </w:pPr>
      <w:r>
        <w:rPr>
          <w:rFonts w:cstheme="minorHAnsi"/>
          <w:color w:val="313131"/>
          <w:lang w:eastAsia="en-AU"/>
        </w:rPr>
        <w:t>A</w:t>
      </w:r>
      <w:r w:rsidR="00AA4F90">
        <w:rPr>
          <w:rFonts w:cstheme="minorHAnsi"/>
          <w:color w:val="313131"/>
          <w:lang w:eastAsia="en-AU"/>
        </w:rPr>
        <w:t>ny overview advice, such as arising from an audit</w:t>
      </w:r>
      <w:r w:rsidR="00BA24B5">
        <w:rPr>
          <w:rFonts w:cstheme="minorHAnsi"/>
          <w:color w:val="313131"/>
          <w:lang w:eastAsia="en-AU"/>
        </w:rPr>
        <w:t>,</w:t>
      </w:r>
      <w:r w:rsidR="00AA4F90">
        <w:rPr>
          <w:rFonts w:cstheme="minorHAnsi"/>
          <w:color w:val="313131"/>
          <w:lang w:eastAsia="en-AU"/>
        </w:rPr>
        <w:t xml:space="preserve"> </w:t>
      </w:r>
      <w:r>
        <w:rPr>
          <w:rFonts w:cstheme="minorHAnsi"/>
          <w:color w:val="313131"/>
          <w:lang w:eastAsia="en-AU"/>
        </w:rPr>
        <w:t xml:space="preserve">should have explained the implications of </w:t>
      </w:r>
      <w:r w:rsidR="00AA4F90">
        <w:rPr>
          <w:rFonts w:cstheme="minorHAnsi"/>
          <w:color w:val="313131"/>
          <w:lang w:eastAsia="en-AU"/>
        </w:rPr>
        <w:t>invalidation of assumptions made when Infrastructure Australia was formed</w:t>
      </w:r>
      <w:r w:rsidR="00270FEE">
        <w:rPr>
          <w:rFonts w:cstheme="minorHAnsi"/>
          <w:color w:val="313131"/>
          <w:lang w:eastAsia="en-AU"/>
        </w:rPr>
        <w:t xml:space="preserve"> </w:t>
      </w:r>
      <w:r w:rsidR="00BA24B5">
        <w:rPr>
          <w:rFonts w:cstheme="minorHAnsi"/>
          <w:color w:val="313131"/>
          <w:lang w:eastAsia="en-AU"/>
        </w:rPr>
        <w:t xml:space="preserve">- </w:t>
      </w:r>
      <w:r w:rsidR="00270FEE">
        <w:rPr>
          <w:rFonts w:cstheme="minorHAnsi"/>
          <w:color w:val="313131"/>
          <w:lang w:eastAsia="en-AU"/>
        </w:rPr>
        <w:t xml:space="preserve">if only to disabuse Commonwealth politicians they had unlimited power to (promise to) </w:t>
      </w:r>
      <w:r w:rsidR="00FD0F48">
        <w:rPr>
          <w:rFonts w:cstheme="minorHAnsi"/>
          <w:color w:val="313131"/>
          <w:lang w:eastAsia="en-AU"/>
        </w:rPr>
        <w:t xml:space="preserve">do </w:t>
      </w:r>
      <w:r w:rsidR="00270FEE">
        <w:rPr>
          <w:rFonts w:cstheme="minorHAnsi"/>
          <w:color w:val="313131"/>
          <w:lang w:eastAsia="en-AU"/>
        </w:rPr>
        <w:t>anything</w:t>
      </w:r>
      <w:r>
        <w:rPr>
          <w:rFonts w:cstheme="minorHAnsi"/>
          <w:color w:val="313131"/>
          <w:lang w:eastAsia="en-AU"/>
        </w:rPr>
        <w:t>.</w:t>
      </w:r>
    </w:p>
    <w:p w14:paraId="2749C803" w14:textId="4B260D70" w:rsidR="00A61379" w:rsidRDefault="00BD75E7" w:rsidP="000C029B">
      <w:pPr>
        <w:spacing w:after="0" w:line="240" w:lineRule="auto"/>
        <w:rPr>
          <w:rFonts w:cstheme="minorHAnsi"/>
          <w:color w:val="313131"/>
          <w:lang w:eastAsia="en-AU"/>
        </w:rPr>
      </w:pPr>
      <w:r>
        <w:rPr>
          <w:rFonts w:cstheme="minorHAnsi"/>
          <w:color w:val="313131"/>
          <w:lang w:eastAsia="en-AU"/>
        </w:rPr>
        <w:t xml:space="preserve"> </w:t>
      </w:r>
    </w:p>
    <w:p w14:paraId="5B0CDEDC" w14:textId="42A5B759" w:rsidR="00D9051E" w:rsidRDefault="00BA24B5" w:rsidP="000C029B">
      <w:pPr>
        <w:spacing w:after="0" w:line="240" w:lineRule="auto"/>
        <w:rPr>
          <w:rFonts w:cstheme="minorHAnsi"/>
          <w:color w:val="313131"/>
          <w:lang w:eastAsia="en-AU"/>
        </w:rPr>
      </w:pPr>
      <w:r>
        <w:rPr>
          <w:rFonts w:cstheme="minorHAnsi"/>
          <w:color w:val="313131"/>
          <w:lang w:eastAsia="en-AU"/>
        </w:rPr>
        <w:t>T</w:t>
      </w:r>
      <w:r w:rsidR="00D9051E" w:rsidRPr="001E2809">
        <w:rPr>
          <w:rFonts w:cstheme="minorHAnsi"/>
          <w:color w:val="313131"/>
          <w:lang w:eastAsia="en-AU"/>
        </w:rPr>
        <w:t xml:space="preserve">he explanation of ‘why’ in infrastructure assessments </w:t>
      </w:r>
      <w:r>
        <w:rPr>
          <w:rFonts w:cstheme="minorHAnsi"/>
          <w:color w:val="313131"/>
          <w:lang w:eastAsia="en-AU"/>
        </w:rPr>
        <w:t>sh</w:t>
      </w:r>
      <w:r w:rsidR="00D9051E" w:rsidRPr="001E2809">
        <w:rPr>
          <w:rFonts w:cstheme="minorHAnsi"/>
          <w:color w:val="313131"/>
          <w:lang w:eastAsia="en-AU"/>
        </w:rPr>
        <w:t xml:space="preserve">ould </w:t>
      </w:r>
      <w:r w:rsidR="00DB224F">
        <w:rPr>
          <w:rFonts w:cstheme="minorHAnsi"/>
          <w:color w:val="313131"/>
          <w:lang w:eastAsia="en-AU"/>
        </w:rPr>
        <w:t xml:space="preserve">have </w:t>
      </w:r>
      <w:r w:rsidR="00D9051E" w:rsidRPr="001E2809">
        <w:rPr>
          <w:rFonts w:cstheme="minorHAnsi"/>
          <w:color w:val="313131"/>
          <w:lang w:eastAsia="en-AU"/>
        </w:rPr>
        <w:t xml:space="preserve">become much more </w:t>
      </w:r>
      <w:r>
        <w:rPr>
          <w:rFonts w:cstheme="minorHAnsi"/>
          <w:color w:val="313131"/>
          <w:lang w:eastAsia="en-AU"/>
        </w:rPr>
        <w:t xml:space="preserve">focussed on Commonwealth purposes </w:t>
      </w:r>
      <w:r w:rsidR="00DB224F">
        <w:rPr>
          <w:rFonts w:cstheme="minorHAnsi"/>
          <w:color w:val="313131"/>
          <w:lang w:eastAsia="en-AU"/>
        </w:rPr>
        <w:t>with</w:t>
      </w:r>
      <w:r w:rsidR="00D9051E" w:rsidRPr="001E2809">
        <w:rPr>
          <w:rFonts w:cstheme="minorHAnsi"/>
          <w:color w:val="313131"/>
          <w:lang w:eastAsia="en-AU"/>
        </w:rPr>
        <w:t xml:space="preserve"> all details of proposals and assessments presented to Parliament – </w:t>
      </w:r>
      <w:r w:rsidR="004827E1" w:rsidRPr="001E2809">
        <w:rPr>
          <w:rFonts w:cstheme="minorHAnsi"/>
          <w:color w:val="313131"/>
          <w:lang w:eastAsia="en-AU"/>
        </w:rPr>
        <w:t>i.e.,</w:t>
      </w:r>
      <w:r w:rsidR="00D9051E" w:rsidRPr="001E2809">
        <w:rPr>
          <w:rFonts w:cstheme="minorHAnsi"/>
          <w:color w:val="313131"/>
          <w:lang w:eastAsia="en-AU"/>
        </w:rPr>
        <w:t xml:space="preserve"> published. </w:t>
      </w:r>
      <w:r w:rsidR="000A62F2">
        <w:rPr>
          <w:rFonts w:cstheme="minorHAnsi"/>
          <w:color w:val="313131"/>
          <w:lang w:eastAsia="en-AU"/>
        </w:rPr>
        <w:t xml:space="preserve"> </w:t>
      </w:r>
    </w:p>
    <w:p w14:paraId="6A779EF5" w14:textId="77777777" w:rsidR="00DB224F" w:rsidRPr="001E2809" w:rsidRDefault="00DB224F" w:rsidP="000C029B">
      <w:pPr>
        <w:spacing w:after="0" w:line="240" w:lineRule="auto"/>
        <w:rPr>
          <w:rFonts w:cstheme="minorHAnsi"/>
          <w:color w:val="313131"/>
          <w:lang w:eastAsia="en-AU"/>
        </w:rPr>
      </w:pPr>
    </w:p>
    <w:p w14:paraId="225E7880" w14:textId="15243D21" w:rsidR="00E50E2B" w:rsidRPr="001E2809" w:rsidRDefault="00A61379" w:rsidP="000C029B">
      <w:pPr>
        <w:spacing w:after="0" w:line="240" w:lineRule="auto"/>
        <w:rPr>
          <w:rFonts w:cstheme="minorHAnsi"/>
          <w:color w:val="313131"/>
          <w:lang w:eastAsia="en-AU"/>
        </w:rPr>
      </w:pPr>
      <w:r>
        <w:rPr>
          <w:rFonts w:cstheme="minorHAnsi"/>
          <w:color w:val="313131"/>
          <w:lang w:eastAsia="en-AU"/>
        </w:rPr>
        <w:t xml:space="preserve">In the event, Infrastructure Australia </w:t>
      </w:r>
      <w:r w:rsidR="00DB224F">
        <w:rPr>
          <w:rFonts w:cstheme="minorHAnsi"/>
          <w:color w:val="313131"/>
          <w:lang w:eastAsia="en-AU"/>
        </w:rPr>
        <w:t>a</w:t>
      </w:r>
      <w:r>
        <w:rPr>
          <w:rFonts w:cstheme="minorHAnsi"/>
          <w:color w:val="313131"/>
          <w:lang w:eastAsia="en-AU"/>
        </w:rPr>
        <w:t xml:space="preserve">ppeared to </w:t>
      </w:r>
      <w:r w:rsidR="000636F5">
        <w:rPr>
          <w:rFonts w:cstheme="minorHAnsi"/>
          <w:color w:val="313131"/>
          <w:lang w:eastAsia="en-AU"/>
        </w:rPr>
        <w:t>continue</w:t>
      </w:r>
      <w:r>
        <w:rPr>
          <w:rFonts w:cstheme="minorHAnsi"/>
          <w:color w:val="313131"/>
          <w:lang w:eastAsia="en-AU"/>
        </w:rPr>
        <w:t xml:space="preserve"> its consideration of ever more projects outside Commonwealth purposes</w:t>
      </w:r>
      <w:r w:rsidR="00E26F13">
        <w:rPr>
          <w:rFonts w:cstheme="minorHAnsi"/>
          <w:color w:val="313131"/>
          <w:lang w:eastAsia="en-AU"/>
        </w:rPr>
        <w:t>.  T</w:t>
      </w:r>
      <w:r w:rsidR="00E26F13" w:rsidRPr="001E2809">
        <w:rPr>
          <w:rFonts w:cstheme="minorHAnsi"/>
          <w:color w:val="313131"/>
          <w:lang w:eastAsia="en-AU"/>
        </w:rPr>
        <w:t>he</w:t>
      </w:r>
      <w:r w:rsidR="004204F6">
        <w:rPr>
          <w:rFonts w:cstheme="minorHAnsi"/>
          <w:color w:val="313131"/>
          <w:lang w:eastAsia="en-AU"/>
        </w:rPr>
        <w:t xml:space="preserve"> drift</w:t>
      </w:r>
      <w:r w:rsidR="00E26F13" w:rsidRPr="001E2809">
        <w:rPr>
          <w:rFonts w:cstheme="minorHAnsi"/>
          <w:color w:val="313131"/>
          <w:lang w:eastAsia="en-AU"/>
        </w:rPr>
        <w:t xml:space="preserve"> away from underlying purposes accelerated</w:t>
      </w:r>
      <w:r w:rsidR="00DB224F">
        <w:rPr>
          <w:rFonts w:cstheme="minorHAnsi"/>
          <w:color w:val="313131"/>
          <w:lang w:eastAsia="en-AU"/>
        </w:rPr>
        <w:t xml:space="preserve"> </w:t>
      </w:r>
      <w:r w:rsidR="00554FE0">
        <w:rPr>
          <w:rFonts w:cstheme="minorHAnsi"/>
          <w:color w:val="313131"/>
          <w:lang w:eastAsia="en-AU"/>
        </w:rPr>
        <w:t xml:space="preserve">to </w:t>
      </w:r>
      <w:r w:rsidR="00DB224F">
        <w:rPr>
          <w:rFonts w:cstheme="minorHAnsi"/>
          <w:color w:val="313131"/>
          <w:lang w:eastAsia="en-AU"/>
        </w:rPr>
        <w:t>includ</w:t>
      </w:r>
      <w:r w:rsidR="00554FE0">
        <w:rPr>
          <w:rFonts w:cstheme="minorHAnsi"/>
          <w:color w:val="313131"/>
          <w:lang w:eastAsia="en-AU"/>
        </w:rPr>
        <w:t>e</w:t>
      </w:r>
      <w:r w:rsidR="00DB224F">
        <w:rPr>
          <w:rFonts w:cstheme="minorHAnsi"/>
          <w:color w:val="313131"/>
          <w:lang w:eastAsia="en-AU"/>
        </w:rPr>
        <w:t xml:space="preserve"> a </w:t>
      </w:r>
      <w:r w:rsidR="00E50E2B" w:rsidRPr="001E2809">
        <w:rPr>
          <w:rFonts w:cstheme="minorHAnsi"/>
          <w:color w:val="313131"/>
          <w:lang w:eastAsia="en-AU"/>
        </w:rPr>
        <w:t>broaden</w:t>
      </w:r>
      <w:r w:rsidR="00DB224F">
        <w:rPr>
          <w:rFonts w:cstheme="minorHAnsi"/>
          <w:color w:val="313131"/>
          <w:lang w:eastAsia="en-AU"/>
        </w:rPr>
        <w:t>ing of</w:t>
      </w:r>
      <w:r w:rsidR="00E50E2B" w:rsidRPr="001E2809">
        <w:rPr>
          <w:rFonts w:cstheme="minorHAnsi"/>
          <w:color w:val="313131"/>
          <w:lang w:eastAsia="en-AU"/>
        </w:rPr>
        <w:t xml:space="preserve"> coverage into aspects of social infrastructure.  While that would have some insider support, it look</w:t>
      </w:r>
      <w:r w:rsidR="00DB224F">
        <w:rPr>
          <w:rFonts w:cstheme="minorHAnsi"/>
          <w:color w:val="313131"/>
          <w:lang w:eastAsia="en-AU"/>
        </w:rPr>
        <w:t>ed</w:t>
      </w:r>
      <w:r w:rsidR="00E50E2B" w:rsidRPr="001E2809">
        <w:rPr>
          <w:rFonts w:cstheme="minorHAnsi"/>
          <w:color w:val="313131"/>
          <w:lang w:eastAsia="en-AU"/>
        </w:rPr>
        <w:t xml:space="preserve"> like</w:t>
      </w:r>
      <w:r w:rsidR="004204F6">
        <w:rPr>
          <w:rFonts w:cstheme="minorHAnsi"/>
          <w:color w:val="313131"/>
          <w:lang w:eastAsia="en-AU"/>
        </w:rPr>
        <w:t xml:space="preserve"> empire building</w:t>
      </w:r>
      <w:r w:rsidR="00E50E2B" w:rsidRPr="001E2809">
        <w:rPr>
          <w:rFonts w:cstheme="minorHAnsi"/>
          <w:color w:val="313131"/>
          <w:lang w:eastAsia="en-AU"/>
        </w:rPr>
        <w:t>.</w:t>
      </w:r>
    </w:p>
    <w:p w14:paraId="649E2781" w14:textId="77777777" w:rsidR="00E50E2B" w:rsidRPr="001E2809" w:rsidRDefault="00E50E2B" w:rsidP="000C029B">
      <w:pPr>
        <w:spacing w:after="0" w:line="240" w:lineRule="auto"/>
        <w:rPr>
          <w:rFonts w:cstheme="minorHAnsi"/>
          <w:color w:val="313131"/>
          <w:lang w:eastAsia="en-AU"/>
        </w:rPr>
      </w:pPr>
    </w:p>
    <w:p w14:paraId="1A3F1AC8" w14:textId="24CAE613" w:rsidR="00E26F13" w:rsidRDefault="00E50E2B" w:rsidP="000C029B">
      <w:pPr>
        <w:pStyle w:val="Heading3"/>
        <w:spacing w:before="0"/>
        <w:rPr>
          <w:lang w:eastAsia="en-AU"/>
        </w:rPr>
      </w:pPr>
      <w:bookmarkStart w:id="13" w:name="_Toc111195432"/>
      <w:r>
        <w:rPr>
          <w:lang w:eastAsia="en-AU"/>
        </w:rPr>
        <w:lastRenderedPageBreak/>
        <w:t>4.5</w:t>
      </w:r>
      <w:r>
        <w:rPr>
          <w:lang w:eastAsia="en-AU"/>
        </w:rPr>
        <w:tab/>
        <w:t>Assessments?</w:t>
      </w:r>
      <w:bookmarkEnd w:id="13"/>
    </w:p>
    <w:p w14:paraId="5390EFAB" w14:textId="06D90EFA" w:rsidR="00BA24B5" w:rsidRDefault="00E26F13" w:rsidP="000C029B">
      <w:pPr>
        <w:spacing w:after="0" w:line="240" w:lineRule="auto"/>
        <w:rPr>
          <w:rFonts w:cstheme="minorHAnsi"/>
          <w:color w:val="313131"/>
          <w:lang w:eastAsia="en-AU"/>
        </w:rPr>
      </w:pPr>
      <w:r>
        <w:rPr>
          <w:rFonts w:cstheme="minorHAnsi"/>
          <w:color w:val="313131"/>
          <w:lang w:eastAsia="en-AU"/>
        </w:rPr>
        <w:t>Th</w:t>
      </w:r>
      <w:r w:rsidR="000636F5">
        <w:rPr>
          <w:rFonts w:cstheme="minorHAnsi"/>
          <w:color w:val="313131"/>
          <w:lang w:eastAsia="en-AU"/>
        </w:rPr>
        <w:t>is</w:t>
      </w:r>
      <w:r w:rsidR="00E50E2B">
        <w:rPr>
          <w:rFonts w:cstheme="minorHAnsi"/>
          <w:color w:val="313131"/>
          <w:lang w:eastAsia="en-AU"/>
        </w:rPr>
        <w:t xml:space="preserve"> </w:t>
      </w:r>
      <w:r w:rsidR="000636F5">
        <w:rPr>
          <w:rFonts w:cstheme="minorHAnsi"/>
          <w:color w:val="313131"/>
          <w:lang w:eastAsia="en-AU"/>
        </w:rPr>
        <w:t>was</w:t>
      </w:r>
      <w:r>
        <w:rPr>
          <w:rFonts w:cstheme="minorHAnsi"/>
          <w:color w:val="313131"/>
          <w:lang w:eastAsia="en-AU"/>
        </w:rPr>
        <w:t xml:space="preserve"> accompanied by </w:t>
      </w:r>
      <w:r w:rsidR="00BA24B5">
        <w:rPr>
          <w:rFonts w:cstheme="minorHAnsi"/>
          <w:color w:val="313131"/>
          <w:lang w:eastAsia="en-AU"/>
        </w:rPr>
        <w:t>an apparent relax</w:t>
      </w:r>
      <w:r w:rsidR="000636F5">
        <w:rPr>
          <w:rFonts w:cstheme="minorHAnsi"/>
          <w:color w:val="313131"/>
          <w:lang w:eastAsia="en-AU"/>
        </w:rPr>
        <w:t>ation</w:t>
      </w:r>
      <w:r w:rsidR="00BA24B5">
        <w:rPr>
          <w:rFonts w:cstheme="minorHAnsi"/>
          <w:color w:val="313131"/>
          <w:lang w:eastAsia="en-AU"/>
        </w:rPr>
        <w:t xml:space="preserve"> </w:t>
      </w:r>
      <w:r>
        <w:rPr>
          <w:rFonts w:cstheme="minorHAnsi"/>
          <w:color w:val="313131"/>
          <w:lang w:eastAsia="en-AU"/>
        </w:rPr>
        <w:t xml:space="preserve">of </w:t>
      </w:r>
      <w:r w:rsidR="00BA24B5">
        <w:rPr>
          <w:rFonts w:cstheme="minorHAnsi"/>
          <w:color w:val="313131"/>
          <w:lang w:eastAsia="en-AU"/>
        </w:rPr>
        <w:t xml:space="preserve">criteria for </w:t>
      </w:r>
      <w:r>
        <w:rPr>
          <w:rFonts w:cstheme="minorHAnsi"/>
          <w:color w:val="313131"/>
          <w:lang w:eastAsia="en-AU"/>
        </w:rPr>
        <w:t xml:space="preserve">project </w:t>
      </w:r>
      <w:r w:rsidR="00BA24B5">
        <w:rPr>
          <w:rFonts w:cstheme="minorHAnsi"/>
          <w:color w:val="313131"/>
          <w:lang w:eastAsia="en-AU"/>
        </w:rPr>
        <w:t>recommendations – from a fourfold to a twofold classification</w:t>
      </w:r>
      <w:r w:rsidR="00A61379">
        <w:rPr>
          <w:rFonts w:cstheme="minorHAnsi"/>
          <w:color w:val="313131"/>
          <w:lang w:eastAsia="en-AU"/>
        </w:rPr>
        <w:t>.</w:t>
      </w:r>
    </w:p>
    <w:p w14:paraId="5C6FA385" w14:textId="77777777" w:rsidR="00BA24B5" w:rsidRPr="001E2809" w:rsidRDefault="00BA24B5" w:rsidP="000C029B">
      <w:pPr>
        <w:spacing w:after="0" w:line="240" w:lineRule="auto"/>
        <w:rPr>
          <w:rFonts w:cstheme="minorHAnsi"/>
          <w:color w:val="313131"/>
          <w:lang w:eastAsia="en-AU"/>
        </w:rPr>
      </w:pPr>
    </w:p>
    <w:p w14:paraId="76908DDB" w14:textId="49B9AA99" w:rsidR="004204F6" w:rsidRDefault="00BA24B5" w:rsidP="000C029B">
      <w:pPr>
        <w:spacing w:after="0" w:line="240" w:lineRule="auto"/>
        <w:rPr>
          <w:rFonts w:cstheme="minorHAnsi"/>
          <w:color w:val="313131"/>
          <w:lang w:eastAsia="en-AU"/>
        </w:rPr>
      </w:pPr>
      <w:r w:rsidRPr="001E2809">
        <w:rPr>
          <w:rFonts w:cstheme="minorHAnsi"/>
          <w:color w:val="313131"/>
          <w:lang w:eastAsia="en-AU"/>
        </w:rPr>
        <w:t xml:space="preserve">On occasion since, the organisation has </w:t>
      </w:r>
      <w:r w:rsidR="000636F5">
        <w:rPr>
          <w:rFonts w:cstheme="minorHAnsi"/>
          <w:color w:val="313131"/>
          <w:lang w:eastAsia="en-AU"/>
        </w:rPr>
        <w:t xml:space="preserve">appeared to </w:t>
      </w:r>
      <w:r w:rsidRPr="001E2809">
        <w:rPr>
          <w:rFonts w:cstheme="minorHAnsi"/>
          <w:color w:val="313131"/>
          <w:lang w:eastAsia="en-AU"/>
        </w:rPr>
        <w:t xml:space="preserve">act more like a lobbyist than a gatekeeper.  </w:t>
      </w:r>
      <w:r w:rsidR="00E50E2B">
        <w:rPr>
          <w:rFonts w:cstheme="minorHAnsi"/>
          <w:color w:val="313131"/>
          <w:lang w:eastAsia="en-AU"/>
        </w:rPr>
        <w:t>For example, i</w:t>
      </w:r>
      <w:r w:rsidR="00E26F13">
        <w:rPr>
          <w:rFonts w:cstheme="minorHAnsi"/>
          <w:color w:val="313131"/>
          <w:lang w:eastAsia="en-AU"/>
        </w:rPr>
        <w:t xml:space="preserve">ts arguments </w:t>
      </w:r>
      <w:r w:rsidR="00E50E2B">
        <w:rPr>
          <w:rFonts w:cstheme="minorHAnsi"/>
          <w:color w:val="313131"/>
          <w:lang w:eastAsia="en-AU"/>
        </w:rPr>
        <w:t xml:space="preserve">there is an infrastructure </w:t>
      </w:r>
      <w:r w:rsidR="000636F5">
        <w:rPr>
          <w:rFonts w:cstheme="minorHAnsi"/>
          <w:color w:val="313131"/>
          <w:lang w:eastAsia="en-AU"/>
        </w:rPr>
        <w:t xml:space="preserve">construction </w:t>
      </w:r>
      <w:r w:rsidR="00E50E2B">
        <w:rPr>
          <w:rFonts w:cstheme="minorHAnsi"/>
          <w:color w:val="313131"/>
          <w:lang w:eastAsia="en-AU"/>
        </w:rPr>
        <w:t xml:space="preserve">deficit, for </w:t>
      </w:r>
      <w:r w:rsidR="00E26F13">
        <w:rPr>
          <w:rFonts w:cstheme="minorHAnsi"/>
          <w:color w:val="313131"/>
          <w:lang w:eastAsia="en-AU"/>
        </w:rPr>
        <w:t>direct road charging and public transport franchising</w:t>
      </w:r>
      <w:r w:rsidR="00E50E2B">
        <w:rPr>
          <w:rFonts w:cstheme="minorHAnsi"/>
          <w:color w:val="313131"/>
          <w:lang w:eastAsia="en-AU"/>
        </w:rPr>
        <w:t xml:space="preserve"> and for the implications of the pandemic</w:t>
      </w:r>
      <w:r w:rsidR="00E26F13">
        <w:rPr>
          <w:rFonts w:cstheme="minorHAnsi"/>
          <w:color w:val="313131"/>
          <w:lang w:eastAsia="en-AU"/>
        </w:rPr>
        <w:t xml:space="preserve"> were </w:t>
      </w:r>
      <w:r w:rsidR="0083781B">
        <w:rPr>
          <w:rFonts w:cstheme="minorHAnsi"/>
          <w:color w:val="313131"/>
          <w:lang w:eastAsia="en-AU"/>
        </w:rPr>
        <w:t>technically deficient</w:t>
      </w:r>
      <w:r w:rsidR="00E26F13">
        <w:rPr>
          <w:rFonts w:cstheme="minorHAnsi"/>
          <w:color w:val="313131"/>
          <w:lang w:eastAsia="en-AU"/>
        </w:rPr>
        <w:t xml:space="preserve"> and </w:t>
      </w:r>
      <w:r w:rsidR="000636F5">
        <w:rPr>
          <w:rFonts w:cstheme="minorHAnsi"/>
          <w:color w:val="313131"/>
          <w:lang w:eastAsia="en-AU"/>
        </w:rPr>
        <w:t xml:space="preserve">apparently </w:t>
      </w:r>
      <w:r w:rsidR="00E26F13">
        <w:rPr>
          <w:rFonts w:cstheme="minorHAnsi"/>
          <w:color w:val="313131"/>
          <w:lang w:eastAsia="en-AU"/>
        </w:rPr>
        <w:t>aimed at securing more funds for infrastructure.</w:t>
      </w:r>
      <w:r w:rsidR="0083781B">
        <w:rPr>
          <w:rFonts w:cstheme="minorHAnsi"/>
          <w:color w:val="313131"/>
          <w:lang w:eastAsia="en-AU"/>
        </w:rPr>
        <w:t xml:space="preserve">  </w:t>
      </w:r>
      <w:r w:rsidR="004204F6">
        <w:rPr>
          <w:rFonts w:cstheme="minorHAnsi"/>
          <w:color w:val="313131"/>
          <w:lang w:eastAsia="en-AU"/>
        </w:rPr>
        <w:t xml:space="preserve">‘Reform’ </w:t>
      </w:r>
      <w:r w:rsidR="000636F5">
        <w:rPr>
          <w:rFonts w:cstheme="minorHAnsi"/>
          <w:color w:val="313131"/>
          <w:lang w:eastAsia="en-AU"/>
        </w:rPr>
        <w:t>was</w:t>
      </w:r>
      <w:r w:rsidR="004204F6">
        <w:rPr>
          <w:rFonts w:cstheme="minorHAnsi"/>
          <w:color w:val="313131"/>
          <w:lang w:eastAsia="en-AU"/>
        </w:rPr>
        <w:t xml:space="preserve"> presented as a way for infrastructure industries to gain more funds.  </w:t>
      </w:r>
      <w:r w:rsidR="000636F5">
        <w:rPr>
          <w:rFonts w:cstheme="minorHAnsi"/>
          <w:color w:val="313131"/>
          <w:lang w:eastAsia="en-AU"/>
        </w:rPr>
        <w:t>The continued enormous road fiscal deficit – road spending vastly outstripping road related revenues by $8.9bn in 2019-20 – escaped attention.</w:t>
      </w:r>
    </w:p>
    <w:p w14:paraId="7B6C62AB" w14:textId="77777777" w:rsidR="00B16778" w:rsidRDefault="00B16778" w:rsidP="000C029B">
      <w:pPr>
        <w:spacing w:after="0" w:line="240" w:lineRule="auto"/>
        <w:rPr>
          <w:rFonts w:cstheme="minorHAnsi"/>
          <w:color w:val="313131"/>
          <w:lang w:eastAsia="en-AU"/>
        </w:rPr>
      </w:pPr>
    </w:p>
    <w:p w14:paraId="2EB91C41" w14:textId="6116253E" w:rsidR="00E50E2B" w:rsidRDefault="004204F6" w:rsidP="000C029B">
      <w:pPr>
        <w:spacing w:after="0" w:line="240" w:lineRule="auto"/>
        <w:rPr>
          <w:rFonts w:cstheme="minorHAnsi"/>
          <w:color w:val="313131"/>
          <w:lang w:eastAsia="en-AU"/>
        </w:rPr>
      </w:pPr>
      <w:r>
        <w:rPr>
          <w:rFonts w:cstheme="minorHAnsi"/>
          <w:color w:val="313131"/>
          <w:lang w:eastAsia="en-AU"/>
        </w:rPr>
        <w:t xml:space="preserve">There continues to be </w:t>
      </w:r>
      <w:r w:rsidR="0083781B">
        <w:rPr>
          <w:rFonts w:cstheme="minorHAnsi"/>
          <w:color w:val="313131"/>
          <w:lang w:eastAsia="en-AU"/>
        </w:rPr>
        <w:t>fail</w:t>
      </w:r>
      <w:r>
        <w:rPr>
          <w:rFonts w:cstheme="minorHAnsi"/>
          <w:color w:val="313131"/>
          <w:lang w:eastAsia="en-AU"/>
        </w:rPr>
        <w:t>ure</w:t>
      </w:r>
      <w:r w:rsidR="0083781B">
        <w:rPr>
          <w:rFonts w:cstheme="minorHAnsi"/>
          <w:color w:val="313131"/>
          <w:lang w:eastAsia="en-AU"/>
        </w:rPr>
        <w:t xml:space="preserve"> to apply </w:t>
      </w:r>
      <w:r w:rsidR="00E50E2B">
        <w:rPr>
          <w:rFonts w:cstheme="minorHAnsi"/>
          <w:color w:val="313131"/>
          <w:lang w:eastAsia="en-AU"/>
        </w:rPr>
        <w:t xml:space="preserve">the </w:t>
      </w:r>
      <w:r w:rsidR="0083781B">
        <w:rPr>
          <w:rFonts w:cstheme="minorHAnsi"/>
          <w:color w:val="313131"/>
          <w:lang w:eastAsia="en-AU"/>
        </w:rPr>
        <w:t>‘as if road pricing’ test</w:t>
      </w:r>
      <w:r>
        <w:rPr>
          <w:rFonts w:cstheme="minorHAnsi"/>
          <w:color w:val="313131"/>
          <w:lang w:eastAsia="en-AU"/>
        </w:rPr>
        <w:t>.  This was</w:t>
      </w:r>
      <w:r w:rsidR="0083781B">
        <w:rPr>
          <w:rFonts w:cstheme="minorHAnsi"/>
          <w:color w:val="313131"/>
          <w:lang w:eastAsia="en-AU"/>
        </w:rPr>
        <w:t xml:space="preserve"> </w:t>
      </w:r>
      <w:r w:rsidR="00E50E2B">
        <w:rPr>
          <w:rFonts w:cstheme="minorHAnsi"/>
          <w:color w:val="313131"/>
          <w:lang w:eastAsia="en-AU"/>
        </w:rPr>
        <w:t>identified in 2013</w:t>
      </w:r>
      <w:r>
        <w:rPr>
          <w:rFonts w:cstheme="minorHAnsi"/>
          <w:color w:val="313131"/>
          <w:lang w:eastAsia="en-AU"/>
        </w:rPr>
        <w:t xml:space="preserve"> as</w:t>
      </w:r>
      <w:r w:rsidR="00E50E2B">
        <w:rPr>
          <w:rFonts w:cstheme="minorHAnsi"/>
          <w:color w:val="313131"/>
          <w:lang w:eastAsia="en-AU"/>
        </w:rPr>
        <w:t xml:space="preserve"> necessary to facilitate transition to direct road charging.</w:t>
      </w:r>
      <w:r>
        <w:rPr>
          <w:rFonts w:cstheme="minorHAnsi"/>
          <w:color w:val="313131"/>
          <w:lang w:eastAsia="en-AU"/>
        </w:rPr>
        <w:t xml:space="preserve">  The result </w:t>
      </w:r>
      <w:r w:rsidR="00B16778">
        <w:rPr>
          <w:rFonts w:cstheme="minorHAnsi"/>
          <w:color w:val="313131"/>
          <w:lang w:eastAsia="en-AU"/>
        </w:rPr>
        <w:t xml:space="preserve">of the failure </w:t>
      </w:r>
      <w:r>
        <w:rPr>
          <w:rFonts w:cstheme="minorHAnsi"/>
          <w:color w:val="313131"/>
          <w:lang w:eastAsia="en-AU"/>
        </w:rPr>
        <w:t xml:space="preserve">is </w:t>
      </w:r>
      <w:r w:rsidR="00B16778">
        <w:rPr>
          <w:rFonts w:cstheme="minorHAnsi"/>
          <w:color w:val="313131"/>
          <w:lang w:eastAsia="en-AU"/>
        </w:rPr>
        <w:t xml:space="preserve">advice promoting </w:t>
      </w:r>
      <w:r>
        <w:rPr>
          <w:rFonts w:cstheme="minorHAnsi"/>
          <w:color w:val="313131"/>
          <w:lang w:eastAsia="en-AU"/>
        </w:rPr>
        <w:t xml:space="preserve">excessive and misdirected public funding of roads.  </w:t>
      </w:r>
    </w:p>
    <w:p w14:paraId="088E9C44" w14:textId="77777777" w:rsidR="00E26F13" w:rsidRDefault="00E26F13" w:rsidP="000C029B">
      <w:pPr>
        <w:spacing w:after="0" w:line="240" w:lineRule="auto"/>
        <w:rPr>
          <w:rFonts w:cstheme="minorHAnsi"/>
          <w:color w:val="313131"/>
          <w:lang w:eastAsia="en-AU"/>
        </w:rPr>
      </w:pPr>
    </w:p>
    <w:p w14:paraId="41E10599" w14:textId="24875220" w:rsidR="00BA24B5" w:rsidRPr="001E2809" w:rsidRDefault="00BA24B5" w:rsidP="000C029B">
      <w:pPr>
        <w:spacing w:after="0" w:line="240" w:lineRule="auto"/>
        <w:rPr>
          <w:rFonts w:cstheme="minorHAnsi"/>
          <w:color w:val="313131"/>
          <w:lang w:eastAsia="en-AU"/>
        </w:rPr>
      </w:pPr>
      <w:r w:rsidRPr="001E2809">
        <w:rPr>
          <w:rFonts w:cstheme="minorHAnsi"/>
          <w:color w:val="313131"/>
          <w:lang w:eastAsia="en-AU"/>
        </w:rPr>
        <w:t xml:space="preserve">Some assessments are, frankly, </w:t>
      </w:r>
      <w:r w:rsidR="009667F8">
        <w:rPr>
          <w:rFonts w:cstheme="minorHAnsi"/>
          <w:color w:val="313131"/>
          <w:lang w:eastAsia="en-AU"/>
        </w:rPr>
        <w:t>suspect</w:t>
      </w:r>
      <w:r w:rsidRPr="001E2809">
        <w:rPr>
          <w:rFonts w:cstheme="minorHAnsi"/>
          <w:color w:val="313131"/>
          <w:lang w:eastAsia="en-AU"/>
        </w:rPr>
        <w:t xml:space="preserve"> – Sydney Metro</w:t>
      </w:r>
      <w:r w:rsidR="009667F8">
        <w:rPr>
          <w:rFonts w:cstheme="minorHAnsi"/>
          <w:color w:val="313131"/>
          <w:lang w:eastAsia="en-AU"/>
        </w:rPr>
        <w:t>,</w:t>
      </w:r>
      <w:r w:rsidRPr="001E2809">
        <w:rPr>
          <w:rFonts w:cstheme="minorHAnsi"/>
          <w:color w:val="313131"/>
          <w:lang w:eastAsia="en-AU"/>
        </w:rPr>
        <w:t xml:space="preserve"> WestConnex </w:t>
      </w:r>
      <w:r w:rsidR="009667F8">
        <w:rPr>
          <w:rFonts w:cstheme="minorHAnsi"/>
          <w:color w:val="313131"/>
          <w:lang w:eastAsia="en-AU"/>
        </w:rPr>
        <w:t xml:space="preserve">and Maldon-Dombarton </w:t>
      </w:r>
      <w:r w:rsidRPr="001E2809">
        <w:rPr>
          <w:rFonts w:cstheme="minorHAnsi"/>
          <w:color w:val="313131"/>
          <w:lang w:eastAsia="en-AU"/>
        </w:rPr>
        <w:t xml:space="preserve">among them.  </w:t>
      </w:r>
      <w:r w:rsidR="009667F8">
        <w:rPr>
          <w:rFonts w:cstheme="minorHAnsi"/>
          <w:color w:val="313131"/>
          <w:lang w:eastAsia="en-AU"/>
        </w:rPr>
        <w:t>An integrity commission might take an interest in them</w:t>
      </w:r>
      <w:r w:rsidRPr="001E2809">
        <w:rPr>
          <w:rFonts w:cstheme="minorHAnsi"/>
          <w:color w:val="313131"/>
          <w:lang w:eastAsia="en-AU"/>
        </w:rPr>
        <w:t>.</w:t>
      </w:r>
      <w:r w:rsidRPr="001E2809">
        <w:rPr>
          <w:rFonts w:cstheme="minorHAnsi"/>
        </w:rPr>
        <w:t xml:space="preserve"> </w:t>
      </w:r>
    </w:p>
    <w:p w14:paraId="70A0A814" w14:textId="77777777" w:rsidR="00BA24B5" w:rsidRPr="001E2809" w:rsidRDefault="00BA24B5" w:rsidP="000C029B">
      <w:pPr>
        <w:spacing w:after="0" w:line="240" w:lineRule="auto"/>
        <w:rPr>
          <w:rFonts w:cstheme="minorHAnsi"/>
          <w:color w:val="313131"/>
          <w:lang w:eastAsia="en-AU"/>
        </w:rPr>
      </w:pPr>
    </w:p>
    <w:p w14:paraId="78181700" w14:textId="2D840325" w:rsidR="0083781B" w:rsidRDefault="00960BAC" w:rsidP="000C029B">
      <w:pPr>
        <w:spacing w:after="0" w:line="240" w:lineRule="auto"/>
        <w:rPr>
          <w:rFonts w:cstheme="minorHAnsi"/>
          <w:color w:val="313131"/>
          <w:lang w:eastAsia="en-AU"/>
        </w:rPr>
      </w:pPr>
      <w:r>
        <w:rPr>
          <w:rFonts w:cstheme="minorHAnsi"/>
          <w:color w:val="313131"/>
          <w:lang w:eastAsia="en-AU"/>
        </w:rPr>
        <w:t>Some a</w:t>
      </w:r>
      <w:r w:rsidR="000A5AA4">
        <w:rPr>
          <w:rFonts w:cstheme="minorHAnsi"/>
          <w:color w:val="313131"/>
          <w:lang w:eastAsia="en-AU"/>
        </w:rPr>
        <w:t xml:space="preserve">ssessment </w:t>
      </w:r>
      <w:r w:rsidR="00BA24B5" w:rsidRPr="001E2809">
        <w:rPr>
          <w:rFonts w:cstheme="minorHAnsi"/>
          <w:color w:val="313131"/>
          <w:lang w:eastAsia="en-AU"/>
        </w:rPr>
        <w:t xml:space="preserve">practices </w:t>
      </w:r>
      <w:r>
        <w:rPr>
          <w:rFonts w:cstheme="minorHAnsi"/>
          <w:color w:val="313131"/>
          <w:lang w:eastAsia="en-AU"/>
        </w:rPr>
        <w:t>have become</w:t>
      </w:r>
      <w:r w:rsidR="0083781B">
        <w:rPr>
          <w:rFonts w:cstheme="minorHAnsi"/>
          <w:color w:val="313131"/>
          <w:lang w:eastAsia="en-AU"/>
        </w:rPr>
        <w:t xml:space="preserve"> </w:t>
      </w:r>
      <w:r w:rsidR="00BA24B5" w:rsidRPr="001E2809">
        <w:rPr>
          <w:rFonts w:cstheme="minorHAnsi"/>
          <w:color w:val="313131"/>
          <w:lang w:eastAsia="en-AU"/>
        </w:rPr>
        <w:t xml:space="preserve">outmoded </w:t>
      </w:r>
      <w:r>
        <w:rPr>
          <w:rFonts w:cstheme="minorHAnsi"/>
          <w:color w:val="313131"/>
          <w:lang w:eastAsia="en-AU"/>
        </w:rPr>
        <w:t>and are, perhaps,</w:t>
      </w:r>
      <w:r w:rsidR="009667F8">
        <w:rPr>
          <w:rFonts w:cstheme="minorHAnsi"/>
          <w:color w:val="313131"/>
          <w:lang w:eastAsia="en-AU"/>
        </w:rPr>
        <w:t xml:space="preserve"> </w:t>
      </w:r>
      <w:r>
        <w:rPr>
          <w:rFonts w:cstheme="minorHAnsi"/>
          <w:color w:val="313131"/>
          <w:lang w:eastAsia="en-AU"/>
        </w:rPr>
        <w:t xml:space="preserve">now </w:t>
      </w:r>
      <w:r w:rsidR="009667F8">
        <w:rPr>
          <w:rFonts w:cstheme="minorHAnsi"/>
          <w:color w:val="313131"/>
          <w:lang w:eastAsia="en-AU"/>
        </w:rPr>
        <w:t>deleterious</w:t>
      </w:r>
      <w:r w:rsidR="00BA24B5" w:rsidRPr="001E2809">
        <w:rPr>
          <w:rFonts w:cstheme="minorHAnsi"/>
          <w:color w:val="313131"/>
          <w:lang w:eastAsia="en-AU"/>
        </w:rPr>
        <w:t xml:space="preserve">.  </w:t>
      </w:r>
      <w:r w:rsidR="000636F5">
        <w:rPr>
          <w:rFonts w:cstheme="minorHAnsi"/>
          <w:color w:val="313131"/>
          <w:lang w:eastAsia="en-AU"/>
        </w:rPr>
        <w:t>Problems include</w:t>
      </w:r>
      <w:r w:rsidR="0083781B">
        <w:rPr>
          <w:rFonts w:cstheme="minorHAnsi"/>
          <w:color w:val="313131"/>
          <w:lang w:eastAsia="en-AU"/>
        </w:rPr>
        <w:t>:</w:t>
      </w:r>
      <w:r w:rsidR="00BA24B5" w:rsidRPr="001E2809">
        <w:rPr>
          <w:rFonts w:cstheme="minorHAnsi"/>
          <w:color w:val="313131"/>
          <w:lang w:eastAsia="en-AU"/>
        </w:rPr>
        <w:t xml:space="preserve"> </w:t>
      </w:r>
    </w:p>
    <w:p w14:paraId="71FF5907" w14:textId="77777777" w:rsidR="000A5AA4" w:rsidRDefault="000A5AA4" w:rsidP="000C029B">
      <w:pPr>
        <w:pStyle w:val="ListParagraph"/>
        <w:numPr>
          <w:ilvl w:val="0"/>
          <w:numId w:val="18"/>
        </w:numPr>
        <w:spacing w:after="0" w:line="240" w:lineRule="auto"/>
        <w:ind w:left="360"/>
        <w:rPr>
          <w:rFonts w:cstheme="minorHAnsi"/>
          <w:color w:val="313131"/>
          <w:lang w:eastAsia="en-AU"/>
        </w:rPr>
      </w:pPr>
      <w:r>
        <w:rPr>
          <w:rFonts w:cstheme="minorHAnsi"/>
          <w:color w:val="313131"/>
          <w:lang w:eastAsia="en-AU"/>
        </w:rPr>
        <w:t>absence of reference to Commonwealth purposes;</w:t>
      </w:r>
    </w:p>
    <w:p w14:paraId="27C95B61" w14:textId="3B8BC4FA" w:rsidR="0083781B" w:rsidRPr="000A5AA4" w:rsidRDefault="000A5AA4"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l</w:t>
      </w:r>
      <w:r w:rsidR="0083781B" w:rsidRPr="000A5AA4">
        <w:rPr>
          <w:rFonts w:cstheme="minorHAnsi"/>
          <w:color w:val="313131"/>
          <w:lang w:eastAsia="en-AU"/>
        </w:rPr>
        <w:t xml:space="preserve">imiting </w:t>
      </w:r>
      <w:r w:rsidRPr="000A5AA4">
        <w:rPr>
          <w:rFonts w:cstheme="minorHAnsi"/>
          <w:color w:val="313131"/>
          <w:lang w:eastAsia="en-AU"/>
        </w:rPr>
        <w:t xml:space="preserve">comments to </w:t>
      </w:r>
      <w:r w:rsidR="009667F8">
        <w:rPr>
          <w:rFonts w:cstheme="minorHAnsi"/>
          <w:color w:val="313131"/>
          <w:lang w:eastAsia="en-AU"/>
        </w:rPr>
        <w:t xml:space="preserve">presented </w:t>
      </w:r>
      <w:r w:rsidRPr="000A5AA4">
        <w:rPr>
          <w:rFonts w:cstheme="minorHAnsi"/>
          <w:color w:val="313131"/>
          <w:lang w:eastAsia="en-AU"/>
        </w:rPr>
        <w:t xml:space="preserve">proposals, </w:t>
      </w:r>
      <w:r w:rsidR="009667F8">
        <w:rPr>
          <w:rFonts w:cstheme="minorHAnsi"/>
          <w:color w:val="313131"/>
          <w:lang w:eastAsia="en-AU"/>
        </w:rPr>
        <w:t>while</w:t>
      </w:r>
      <w:r w:rsidRPr="000A5AA4">
        <w:rPr>
          <w:rFonts w:cstheme="minorHAnsi"/>
          <w:color w:val="313131"/>
          <w:lang w:eastAsia="en-AU"/>
        </w:rPr>
        <w:t xml:space="preserve"> ignoring projects linked to proposals;</w:t>
      </w:r>
    </w:p>
    <w:p w14:paraId="1EEBC532" w14:textId="0669ACAF" w:rsidR="0083781B" w:rsidRPr="000A5AA4" w:rsidRDefault="00BA24B5"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reliance on proponents for all information</w:t>
      </w:r>
      <w:r w:rsidR="0083781B" w:rsidRPr="000A5AA4">
        <w:rPr>
          <w:rFonts w:cstheme="minorHAnsi"/>
          <w:color w:val="313131"/>
          <w:lang w:eastAsia="en-AU"/>
        </w:rPr>
        <w:t xml:space="preserve"> and ignoring public domain information that refutes proponent claims or casts grave doubts on the merit of proposals;</w:t>
      </w:r>
    </w:p>
    <w:p w14:paraId="6B0B9AB1" w14:textId="77777777" w:rsidR="0083781B" w:rsidRPr="000A5AA4" w:rsidRDefault="00BA24B5"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recitation of proponent claims even when implausible</w:t>
      </w:r>
      <w:r w:rsidR="0083781B" w:rsidRPr="000A5AA4">
        <w:rPr>
          <w:rFonts w:cstheme="minorHAnsi"/>
          <w:color w:val="313131"/>
          <w:lang w:eastAsia="en-AU"/>
        </w:rPr>
        <w:t>;</w:t>
      </w:r>
    </w:p>
    <w:p w14:paraId="301DE868" w14:textId="1FF3BE5B" w:rsidR="0083781B" w:rsidRDefault="0083781B"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non-release of proponent claims;</w:t>
      </w:r>
      <w:r w:rsidR="00BA24B5" w:rsidRPr="000A5AA4">
        <w:rPr>
          <w:rFonts w:cstheme="minorHAnsi"/>
          <w:color w:val="313131"/>
          <w:lang w:eastAsia="en-AU"/>
        </w:rPr>
        <w:t xml:space="preserve"> </w:t>
      </w:r>
    </w:p>
    <w:p w14:paraId="64DA5DE2" w14:textId="7DBB4B45" w:rsidR="0005462E" w:rsidRPr="000A5AA4" w:rsidRDefault="0005462E" w:rsidP="000C029B">
      <w:pPr>
        <w:pStyle w:val="ListParagraph"/>
        <w:numPr>
          <w:ilvl w:val="0"/>
          <w:numId w:val="18"/>
        </w:numPr>
        <w:spacing w:after="0" w:line="240" w:lineRule="auto"/>
        <w:ind w:left="360"/>
        <w:rPr>
          <w:rFonts w:cstheme="minorHAnsi"/>
          <w:color w:val="313131"/>
          <w:lang w:eastAsia="en-AU"/>
        </w:rPr>
      </w:pPr>
      <w:r>
        <w:rPr>
          <w:rFonts w:cstheme="minorHAnsi"/>
          <w:color w:val="313131"/>
          <w:lang w:eastAsia="en-AU"/>
        </w:rPr>
        <w:t xml:space="preserve">more generally, the idea of working with proponents but not the public; </w:t>
      </w:r>
    </w:p>
    <w:p w14:paraId="55DF0CCF" w14:textId="77777777" w:rsidR="0083781B" w:rsidRPr="000A5AA4" w:rsidRDefault="00BA24B5"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behind-closed-doors assessments</w:t>
      </w:r>
      <w:r w:rsidR="0083781B" w:rsidRPr="000A5AA4">
        <w:rPr>
          <w:rFonts w:cstheme="minorHAnsi"/>
          <w:color w:val="313131"/>
          <w:lang w:eastAsia="en-AU"/>
        </w:rPr>
        <w:t>;</w:t>
      </w:r>
    </w:p>
    <w:p w14:paraId="498AA46F" w14:textId="77777777" w:rsidR="000A5AA4" w:rsidRPr="000A5AA4" w:rsidRDefault="00BA24B5"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publication of only summary assessments</w:t>
      </w:r>
      <w:r w:rsidR="000A5AA4" w:rsidRPr="000A5AA4">
        <w:rPr>
          <w:rFonts w:cstheme="minorHAnsi"/>
          <w:color w:val="313131"/>
          <w:lang w:eastAsia="en-AU"/>
        </w:rPr>
        <w:t>;</w:t>
      </w:r>
    </w:p>
    <w:p w14:paraId="7ABCB9F7" w14:textId="1CE5E450" w:rsidR="0083781B" w:rsidRPr="000A5AA4" w:rsidRDefault="000A5AA4" w:rsidP="000C029B">
      <w:pPr>
        <w:pStyle w:val="ListParagraph"/>
        <w:numPr>
          <w:ilvl w:val="0"/>
          <w:numId w:val="18"/>
        </w:numPr>
        <w:spacing w:after="0" w:line="240" w:lineRule="auto"/>
        <w:ind w:left="360"/>
        <w:rPr>
          <w:rFonts w:cstheme="minorHAnsi"/>
          <w:color w:val="313131"/>
          <w:lang w:eastAsia="en-AU"/>
        </w:rPr>
      </w:pPr>
      <w:r w:rsidRPr="000A5AA4">
        <w:rPr>
          <w:rFonts w:cstheme="minorHAnsi"/>
          <w:color w:val="313131"/>
          <w:lang w:eastAsia="en-AU"/>
        </w:rPr>
        <w:t>not updating assessments</w:t>
      </w:r>
      <w:r>
        <w:rPr>
          <w:rFonts w:cstheme="minorHAnsi"/>
          <w:color w:val="313131"/>
          <w:lang w:eastAsia="en-AU"/>
        </w:rPr>
        <w:t xml:space="preserve"> after</w:t>
      </w:r>
      <w:r w:rsidRPr="000A5AA4">
        <w:rPr>
          <w:rFonts w:cstheme="minorHAnsi"/>
          <w:color w:val="313131"/>
          <w:lang w:eastAsia="en-AU"/>
        </w:rPr>
        <w:t>, or making any comment on</w:t>
      </w:r>
      <w:r>
        <w:rPr>
          <w:rFonts w:cstheme="minorHAnsi"/>
          <w:color w:val="313131"/>
          <w:lang w:eastAsia="en-AU"/>
        </w:rPr>
        <w:t>,</w:t>
      </w:r>
      <w:r w:rsidRPr="000A5AA4">
        <w:rPr>
          <w:rFonts w:cstheme="minorHAnsi"/>
          <w:color w:val="313131"/>
          <w:lang w:eastAsia="en-AU"/>
        </w:rPr>
        <w:t xml:space="preserve"> critical events that invalidate findings</w:t>
      </w:r>
      <w:r w:rsidR="009667F8">
        <w:rPr>
          <w:rFonts w:cstheme="minorHAnsi"/>
          <w:color w:val="313131"/>
          <w:lang w:eastAsia="en-AU"/>
        </w:rPr>
        <w:t xml:space="preserve">, </w:t>
      </w:r>
      <w:r w:rsidRPr="000A5AA4">
        <w:rPr>
          <w:rFonts w:cstheme="minorHAnsi"/>
          <w:color w:val="313131"/>
          <w:lang w:eastAsia="en-AU"/>
        </w:rPr>
        <w:t xml:space="preserve">for example redefinition of projects </w:t>
      </w:r>
      <w:r w:rsidR="009667F8">
        <w:rPr>
          <w:rFonts w:cstheme="minorHAnsi"/>
          <w:color w:val="313131"/>
          <w:lang w:eastAsia="en-AU"/>
        </w:rPr>
        <w:t>to</w:t>
      </w:r>
      <w:r w:rsidRPr="000A5AA4">
        <w:rPr>
          <w:rFonts w:cstheme="minorHAnsi"/>
          <w:color w:val="313131"/>
          <w:lang w:eastAsia="en-AU"/>
        </w:rPr>
        <w:t xml:space="preserve"> exclude benefits identified in assessments, or major (multi-billion-dollar) cost estimate </w:t>
      </w:r>
      <w:proofErr w:type="gramStart"/>
      <w:r w:rsidRPr="000A5AA4">
        <w:rPr>
          <w:rFonts w:cstheme="minorHAnsi"/>
          <w:color w:val="313131"/>
          <w:lang w:eastAsia="en-AU"/>
        </w:rPr>
        <w:t xml:space="preserve">blowouts </w:t>
      </w:r>
      <w:r w:rsidR="00BA24B5" w:rsidRPr="000A5AA4">
        <w:rPr>
          <w:rFonts w:cstheme="minorHAnsi"/>
          <w:color w:val="313131"/>
          <w:lang w:eastAsia="en-AU"/>
        </w:rPr>
        <w:t>.</w:t>
      </w:r>
      <w:proofErr w:type="gramEnd"/>
    </w:p>
    <w:p w14:paraId="308468E5" w14:textId="77777777" w:rsidR="00BA24B5" w:rsidRPr="001E2809" w:rsidRDefault="00BA24B5" w:rsidP="000C029B">
      <w:pPr>
        <w:spacing w:after="0" w:line="240" w:lineRule="auto"/>
        <w:rPr>
          <w:rFonts w:cstheme="minorHAnsi"/>
          <w:color w:val="313131"/>
          <w:lang w:eastAsia="en-AU"/>
        </w:rPr>
      </w:pPr>
    </w:p>
    <w:p w14:paraId="048A63CA" w14:textId="098E2716" w:rsidR="00E50E2B" w:rsidRPr="00E50E2B" w:rsidRDefault="00E50E2B" w:rsidP="000C029B">
      <w:pPr>
        <w:pStyle w:val="Heading2"/>
        <w:spacing w:before="0" w:beforeAutospacing="0" w:after="0" w:afterAutospacing="0"/>
      </w:pPr>
      <w:bookmarkStart w:id="14" w:name="_Toc111195433"/>
      <w:r w:rsidRPr="00E50E2B">
        <w:t>5.</w:t>
      </w:r>
      <w:r>
        <w:tab/>
      </w:r>
      <w:r w:rsidRPr="00E50E2B">
        <w:t>Conclusion</w:t>
      </w:r>
      <w:bookmarkEnd w:id="14"/>
    </w:p>
    <w:p w14:paraId="17571CDC" w14:textId="77777777" w:rsidR="00047147" w:rsidRDefault="00047147" w:rsidP="000C029B">
      <w:pPr>
        <w:pStyle w:val="Heading3"/>
        <w:spacing w:before="0"/>
        <w:rPr>
          <w:lang w:eastAsia="en-AU"/>
        </w:rPr>
      </w:pPr>
      <w:bookmarkStart w:id="15" w:name="_Toc111195434"/>
      <w:r>
        <w:rPr>
          <w:lang w:eastAsia="en-AU"/>
        </w:rPr>
        <w:t>5.1</w:t>
      </w:r>
      <w:r>
        <w:rPr>
          <w:lang w:eastAsia="en-AU"/>
        </w:rPr>
        <w:tab/>
        <w:t>Infrastructure Australia</w:t>
      </w:r>
      <w:bookmarkEnd w:id="15"/>
    </w:p>
    <w:p w14:paraId="6BC8339B" w14:textId="77777777" w:rsidR="003A3362" w:rsidRDefault="003A3362" w:rsidP="003A3362">
      <w:pPr>
        <w:spacing w:after="0" w:line="240" w:lineRule="auto"/>
        <w:rPr>
          <w:rFonts w:cstheme="minorHAnsi"/>
          <w:color w:val="313131"/>
          <w:lang w:eastAsia="en-AU"/>
        </w:rPr>
      </w:pPr>
      <w:r>
        <w:rPr>
          <w:rFonts w:cstheme="minorHAnsi"/>
          <w:color w:val="313131"/>
          <w:lang w:eastAsia="en-AU"/>
        </w:rPr>
        <w:t>Infrastructure Australia should be abolished and necessary functions transferred to Departments and the Productivity Commission.</w:t>
      </w:r>
    </w:p>
    <w:p w14:paraId="4E614284" w14:textId="77777777" w:rsidR="003A3362" w:rsidRDefault="003A3362" w:rsidP="000C029B">
      <w:pPr>
        <w:spacing w:after="0" w:line="240" w:lineRule="auto"/>
        <w:rPr>
          <w:rFonts w:cstheme="minorHAnsi"/>
          <w:color w:val="313131"/>
          <w:lang w:eastAsia="en-AU"/>
        </w:rPr>
      </w:pPr>
    </w:p>
    <w:p w14:paraId="2034E5DD" w14:textId="7A70A46F" w:rsidR="003A3362" w:rsidRDefault="00E50E2B" w:rsidP="000C029B">
      <w:pPr>
        <w:spacing w:after="0" w:line="240" w:lineRule="auto"/>
        <w:rPr>
          <w:rFonts w:cstheme="minorHAnsi"/>
          <w:color w:val="313131"/>
          <w:lang w:eastAsia="en-AU"/>
        </w:rPr>
      </w:pPr>
      <w:r>
        <w:rPr>
          <w:rFonts w:cstheme="minorHAnsi"/>
          <w:color w:val="313131"/>
          <w:lang w:eastAsia="en-AU"/>
        </w:rPr>
        <w:t xml:space="preserve">The circumstances </w:t>
      </w:r>
      <w:r w:rsidR="00410CCC">
        <w:rPr>
          <w:rFonts w:cstheme="minorHAnsi"/>
          <w:color w:val="313131"/>
          <w:lang w:eastAsia="en-AU"/>
        </w:rPr>
        <w:t>justifying establishment of Infrastructure Australia in 2008 no longer exist.</w:t>
      </w:r>
      <w:r w:rsidR="0005462E">
        <w:rPr>
          <w:rFonts w:cstheme="minorHAnsi"/>
          <w:color w:val="313131"/>
          <w:lang w:eastAsia="en-AU"/>
        </w:rPr>
        <w:t xml:space="preserve">  </w:t>
      </w:r>
    </w:p>
    <w:p w14:paraId="795C8549" w14:textId="77777777" w:rsidR="003A3362" w:rsidRDefault="003A3362" w:rsidP="000C029B">
      <w:pPr>
        <w:spacing w:after="0" w:line="240" w:lineRule="auto"/>
        <w:rPr>
          <w:rFonts w:cstheme="minorHAnsi"/>
          <w:color w:val="313131"/>
          <w:lang w:eastAsia="en-AU"/>
        </w:rPr>
      </w:pPr>
    </w:p>
    <w:p w14:paraId="7B10DFC2" w14:textId="28630250" w:rsidR="00410CCC" w:rsidRDefault="0005462E" w:rsidP="000C029B">
      <w:pPr>
        <w:spacing w:after="0" w:line="240" w:lineRule="auto"/>
        <w:rPr>
          <w:rFonts w:cstheme="minorHAnsi"/>
          <w:color w:val="313131"/>
          <w:lang w:eastAsia="en-AU"/>
        </w:rPr>
      </w:pPr>
      <w:r>
        <w:rPr>
          <w:rFonts w:cstheme="minorHAnsi"/>
          <w:color w:val="313131"/>
          <w:lang w:eastAsia="en-AU"/>
        </w:rPr>
        <w:t xml:space="preserve">Any public policy reason for it working with or encouraging proponents or industry to improve submissions </w:t>
      </w:r>
      <w:r w:rsidR="003A3362">
        <w:rPr>
          <w:rFonts w:cstheme="minorHAnsi"/>
          <w:color w:val="313131"/>
          <w:lang w:eastAsia="en-AU"/>
        </w:rPr>
        <w:t xml:space="preserve">for Commonwealth funding </w:t>
      </w:r>
      <w:r>
        <w:rPr>
          <w:rFonts w:cstheme="minorHAnsi"/>
          <w:color w:val="313131"/>
          <w:lang w:eastAsia="en-AU"/>
        </w:rPr>
        <w:t>should have long ceased.</w:t>
      </w:r>
    </w:p>
    <w:p w14:paraId="2ABBEB77" w14:textId="77777777" w:rsidR="00410CCC" w:rsidRDefault="00410CCC" w:rsidP="000C029B">
      <w:pPr>
        <w:spacing w:after="0" w:line="240" w:lineRule="auto"/>
        <w:rPr>
          <w:rFonts w:cstheme="minorHAnsi"/>
          <w:color w:val="313131"/>
          <w:lang w:eastAsia="en-AU"/>
        </w:rPr>
      </w:pPr>
    </w:p>
    <w:p w14:paraId="4B8C60B2" w14:textId="69615CFF" w:rsidR="00410CCC" w:rsidRDefault="00410CCC" w:rsidP="000C029B">
      <w:pPr>
        <w:spacing w:after="0" w:line="240" w:lineRule="auto"/>
        <w:rPr>
          <w:rFonts w:cstheme="minorHAnsi"/>
          <w:color w:val="313131"/>
          <w:lang w:eastAsia="en-AU"/>
        </w:rPr>
      </w:pPr>
      <w:r>
        <w:rPr>
          <w:rFonts w:cstheme="minorHAnsi"/>
          <w:color w:val="313131"/>
          <w:lang w:eastAsia="en-AU"/>
        </w:rPr>
        <w:t>Its corporate form</w:t>
      </w:r>
      <w:r w:rsidR="00047147">
        <w:rPr>
          <w:rFonts w:cstheme="minorHAnsi"/>
          <w:color w:val="313131"/>
          <w:lang w:eastAsia="en-AU"/>
        </w:rPr>
        <w:t>, adopted in 2013-14,</w:t>
      </w:r>
      <w:r>
        <w:rPr>
          <w:rFonts w:cstheme="minorHAnsi"/>
          <w:color w:val="313131"/>
          <w:lang w:eastAsia="en-AU"/>
        </w:rPr>
        <w:t xml:space="preserve"> is inappropriate for a public sector advisory body.</w:t>
      </w:r>
    </w:p>
    <w:p w14:paraId="6C9C3BD5" w14:textId="77777777" w:rsidR="00410CCC" w:rsidRDefault="00410CCC" w:rsidP="000C029B">
      <w:pPr>
        <w:spacing w:after="0" w:line="240" w:lineRule="auto"/>
        <w:rPr>
          <w:rFonts w:cstheme="minorHAnsi"/>
          <w:color w:val="313131"/>
          <w:lang w:eastAsia="en-AU"/>
        </w:rPr>
      </w:pPr>
    </w:p>
    <w:p w14:paraId="510A5D44" w14:textId="751EFC19" w:rsidR="006B4D4E" w:rsidRDefault="00410CCC" w:rsidP="000C029B">
      <w:pPr>
        <w:spacing w:after="0" w:line="240" w:lineRule="auto"/>
        <w:rPr>
          <w:rFonts w:cstheme="minorHAnsi"/>
          <w:color w:val="313131"/>
          <w:lang w:eastAsia="en-AU"/>
        </w:rPr>
      </w:pPr>
      <w:r>
        <w:rPr>
          <w:rFonts w:cstheme="minorHAnsi"/>
          <w:color w:val="313131"/>
          <w:lang w:eastAsia="en-AU"/>
        </w:rPr>
        <w:t>Infrastructure Australia’s p</w:t>
      </w:r>
      <w:r w:rsidR="00BA24B5" w:rsidRPr="001E2809">
        <w:rPr>
          <w:rFonts w:cstheme="minorHAnsi"/>
          <w:color w:val="313131"/>
          <w:lang w:eastAsia="en-AU"/>
        </w:rPr>
        <w:t xml:space="preserve">ublished advice implicitly </w:t>
      </w:r>
      <w:r>
        <w:rPr>
          <w:rFonts w:cstheme="minorHAnsi"/>
          <w:color w:val="313131"/>
          <w:lang w:eastAsia="en-AU"/>
        </w:rPr>
        <w:t xml:space="preserve">– and </w:t>
      </w:r>
      <w:r w:rsidR="000636F5">
        <w:rPr>
          <w:rFonts w:cstheme="minorHAnsi"/>
          <w:color w:val="313131"/>
          <w:lang w:eastAsia="en-AU"/>
        </w:rPr>
        <w:t xml:space="preserve">since 2014 </w:t>
      </w:r>
      <w:r>
        <w:rPr>
          <w:rFonts w:cstheme="minorHAnsi"/>
          <w:color w:val="313131"/>
          <w:lang w:eastAsia="en-AU"/>
        </w:rPr>
        <w:t xml:space="preserve">wrongly - </w:t>
      </w:r>
      <w:r w:rsidR="00BA24B5" w:rsidRPr="001E2809">
        <w:rPr>
          <w:rFonts w:cstheme="minorHAnsi"/>
          <w:color w:val="313131"/>
          <w:lang w:eastAsia="en-AU"/>
        </w:rPr>
        <w:t xml:space="preserve">encourages use of </w:t>
      </w:r>
      <w:r>
        <w:rPr>
          <w:rFonts w:cstheme="minorHAnsi"/>
          <w:color w:val="313131"/>
          <w:lang w:eastAsia="en-AU"/>
        </w:rPr>
        <w:t>‘</w:t>
      </w:r>
      <w:r w:rsidR="00BA24B5" w:rsidRPr="001E2809">
        <w:rPr>
          <w:rFonts w:cstheme="minorHAnsi"/>
          <w:color w:val="313131"/>
          <w:lang w:eastAsia="en-AU"/>
        </w:rPr>
        <w:t>Jack Sparrow’s compass</w:t>
      </w:r>
      <w:r>
        <w:rPr>
          <w:rFonts w:cstheme="minorHAnsi"/>
          <w:color w:val="313131"/>
          <w:lang w:eastAsia="en-AU"/>
        </w:rPr>
        <w:t>’</w:t>
      </w:r>
      <w:r w:rsidR="009667F8">
        <w:rPr>
          <w:rFonts w:cstheme="minorHAnsi"/>
          <w:color w:val="313131"/>
          <w:lang w:eastAsia="en-AU"/>
        </w:rPr>
        <w:t xml:space="preserve"> where</w:t>
      </w:r>
      <w:r w:rsidR="00BA24B5" w:rsidRPr="001E2809">
        <w:rPr>
          <w:rFonts w:cstheme="minorHAnsi"/>
          <w:color w:val="313131"/>
          <w:lang w:eastAsia="en-AU"/>
        </w:rPr>
        <w:t xml:space="preserve"> the Government can spend however it likes.  </w:t>
      </w:r>
    </w:p>
    <w:p w14:paraId="0A7D3984" w14:textId="77777777" w:rsidR="006B4D4E" w:rsidRDefault="006B4D4E" w:rsidP="000C029B">
      <w:pPr>
        <w:spacing w:after="0" w:line="240" w:lineRule="auto"/>
        <w:rPr>
          <w:rFonts w:cstheme="minorHAnsi"/>
          <w:color w:val="313131"/>
          <w:lang w:eastAsia="en-AU"/>
        </w:rPr>
      </w:pPr>
    </w:p>
    <w:p w14:paraId="54B60681" w14:textId="1B210D87" w:rsidR="000C029B" w:rsidRDefault="00BA24B5" w:rsidP="000C029B">
      <w:pPr>
        <w:spacing w:after="0" w:line="240" w:lineRule="auto"/>
        <w:rPr>
          <w:rFonts w:cstheme="minorHAnsi"/>
          <w:color w:val="313131"/>
          <w:lang w:eastAsia="en-AU"/>
        </w:rPr>
      </w:pPr>
      <w:r w:rsidRPr="001E2809">
        <w:rPr>
          <w:rFonts w:cstheme="minorHAnsi"/>
          <w:color w:val="313131"/>
          <w:lang w:eastAsia="en-AU"/>
        </w:rPr>
        <w:t xml:space="preserve">With such views of </w:t>
      </w:r>
      <w:r w:rsidR="000636F5">
        <w:rPr>
          <w:rFonts w:cstheme="minorHAnsi"/>
          <w:color w:val="313131"/>
          <w:lang w:eastAsia="en-AU"/>
        </w:rPr>
        <w:t>a</w:t>
      </w:r>
      <w:r w:rsidRPr="001E2809">
        <w:rPr>
          <w:rFonts w:cstheme="minorHAnsi"/>
          <w:color w:val="313131"/>
          <w:lang w:eastAsia="en-AU"/>
        </w:rPr>
        <w:t xml:space="preserve"> national adviser, politicians </w:t>
      </w:r>
      <w:r w:rsidR="006B4D4E">
        <w:rPr>
          <w:rFonts w:cstheme="minorHAnsi"/>
          <w:color w:val="313131"/>
          <w:lang w:eastAsia="en-AU"/>
        </w:rPr>
        <w:t xml:space="preserve">may </w:t>
      </w:r>
      <w:r w:rsidRPr="001E2809">
        <w:rPr>
          <w:rFonts w:cstheme="minorHAnsi"/>
          <w:color w:val="313131"/>
          <w:lang w:eastAsia="en-AU"/>
        </w:rPr>
        <w:t xml:space="preserve">feel increasingly </w:t>
      </w:r>
      <w:r w:rsidR="009667F8">
        <w:rPr>
          <w:rFonts w:cstheme="minorHAnsi"/>
          <w:color w:val="313131"/>
          <w:lang w:eastAsia="en-AU"/>
        </w:rPr>
        <w:t>emboldened</w:t>
      </w:r>
      <w:r w:rsidRPr="001E2809">
        <w:rPr>
          <w:rFonts w:cstheme="minorHAnsi"/>
          <w:color w:val="313131"/>
          <w:lang w:eastAsia="en-AU"/>
        </w:rPr>
        <w:t xml:space="preserve"> to promise and deliver any infrastructure, disregarding – often wilfully - legality.  </w:t>
      </w:r>
    </w:p>
    <w:p w14:paraId="0353098B" w14:textId="77777777" w:rsidR="00047147" w:rsidRDefault="00047147" w:rsidP="000C029B">
      <w:pPr>
        <w:spacing w:after="0" w:line="240" w:lineRule="auto"/>
        <w:rPr>
          <w:rFonts w:cstheme="minorHAnsi"/>
          <w:color w:val="313131"/>
          <w:lang w:eastAsia="en-AU"/>
        </w:rPr>
      </w:pPr>
    </w:p>
    <w:p w14:paraId="16D91EEC" w14:textId="39804900" w:rsidR="00960BAC" w:rsidRDefault="00047147" w:rsidP="000C029B">
      <w:pPr>
        <w:spacing w:after="0" w:line="240" w:lineRule="auto"/>
        <w:rPr>
          <w:rFonts w:cstheme="minorHAnsi"/>
          <w:color w:val="313131"/>
          <w:lang w:eastAsia="en-AU"/>
        </w:rPr>
      </w:pPr>
      <w:r>
        <w:rPr>
          <w:rFonts w:cstheme="minorHAnsi"/>
          <w:color w:val="313131"/>
          <w:lang w:eastAsia="en-AU"/>
        </w:rPr>
        <w:t>Among the risks</w:t>
      </w:r>
      <w:r w:rsidR="003A3362">
        <w:rPr>
          <w:rFonts w:cstheme="minorHAnsi"/>
          <w:color w:val="313131"/>
          <w:lang w:eastAsia="en-AU"/>
        </w:rPr>
        <w:t>:</w:t>
      </w:r>
      <w:r>
        <w:rPr>
          <w:rFonts w:cstheme="minorHAnsi"/>
          <w:color w:val="313131"/>
          <w:lang w:eastAsia="en-AU"/>
        </w:rPr>
        <w:t xml:space="preserve"> Governments, particularly the Commonwealth, </w:t>
      </w:r>
      <w:r w:rsidR="003A3362">
        <w:rPr>
          <w:rFonts w:cstheme="minorHAnsi"/>
          <w:color w:val="313131"/>
          <w:lang w:eastAsia="en-AU"/>
        </w:rPr>
        <w:t xml:space="preserve">will breach integrity principles and laws and </w:t>
      </w:r>
      <w:r>
        <w:rPr>
          <w:rFonts w:cstheme="minorHAnsi"/>
          <w:color w:val="313131"/>
          <w:lang w:eastAsia="en-AU"/>
        </w:rPr>
        <w:t>fall foul of integrity commission</w:t>
      </w:r>
      <w:r w:rsidR="00B16778">
        <w:rPr>
          <w:rFonts w:cstheme="minorHAnsi"/>
          <w:color w:val="313131"/>
          <w:lang w:eastAsia="en-AU"/>
        </w:rPr>
        <w:t>s</w:t>
      </w:r>
      <w:r>
        <w:rPr>
          <w:rFonts w:cstheme="minorHAnsi"/>
          <w:color w:val="313131"/>
          <w:lang w:eastAsia="en-AU"/>
        </w:rPr>
        <w:t xml:space="preserve">.  </w:t>
      </w:r>
    </w:p>
    <w:p w14:paraId="6328163F" w14:textId="77777777" w:rsidR="003A3362" w:rsidRDefault="003A3362" w:rsidP="000C029B">
      <w:pPr>
        <w:spacing w:after="0" w:line="240" w:lineRule="auto"/>
        <w:rPr>
          <w:rFonts w:cstheme="minorHAnsi"/>
          <w:color w:val="313131"/>
          <w:lang w:eastAsia="en-AU"/>
        </w:rPr>
      </w:pPr>
    </w:p>
    <w:p w14:paraId="02EC8DDC" w14:textId="3FFF72A1" w:rsidR="00A61379" w:rsidRDefault="00047147" w:rsidP="000C029B">
      <w:pPr>
        <w:spacing w:after="0" w:line="240" w:lineRule="auto"/>
        <w:rPr>
          <w:rFonts w:cstheme="minorHAnsi"/>
          <w:color w:val="313131"/>
          <w:lang w:eastAsia="en-AU"/>
        </w:rPr>
      </w:pPr>
      <w:r>
        <w:rPr>
          <w:rFonts w:cstheme="minorHAnsi"/>
          <w:color w:val="313131"/>
          <w:lang w:eastAsia="en-AU"/>
        </w:rPr>
        <w:t xml:space="preserve">Twomey commented the Commonwealth </w:t>
      </w:r>
      <w:r w:rsidR="006B4D4E">
        <w:rPr>
          <w:rFonts w:cstheme="minorHAnsi"/>
          <w:color w:val="313131"/>
          <w:lang w:eastAsia="en-AU"/>
        </w:rPr>
        <w:t xml:space="preserve">Government is taking </w:t>
      </w:r>
      <w:r>
        <w:rPr>
          <w:rFonts w:cstheme="minorHAnsi"/>
          <w:color w:val="313131"/>
          <w:lang w:eastAsia="en-AU"/>
        </w:rPr>
        <w:t xml:space="preserve">constitutional risk </w:t>
      </w:r>
      <w:r w:rsidR="00DD189E">
        <w:rPr>
          <w:rFonts w:cstheme="minorHAnsi"/>
          <w:color w:val="313131"/>
          <w:lang w:eastAsia="en-AU"/>
        </w:rPr>
        <w:t>–</w:t>
      </w:r>
      <w:r>
        <w:rPr>
          <w:rFonts w:cstheme="minorHAnsi"/>
          <w:color w:val="313131"/>
          <w:lang w:eastAsia="en-AU"/>
        </w:rPr>
        <w:t xml:space="preserve"> </w:t>
      </w:r>
      <w:r w:rsidR="00DD189E">
        <w:rPr>
          <w:rFonts w:cstheme="minorHAnsi"/>
          <w:color w:val="313131"/>
          <w:lang w:eastAsia="en-AU"/>
        </w:rPr>
        <w:t>engaging in suspect spending practices in the belief legal challenges are unlikely because few have incentive</w:t>
      </w:r>
      <w:r w:rsidR="006B4D4E">
        <w:rPr>
          <w:rFonts w:cstheme="minorHAnsi"/>
          <w:color w:val="313131"/>
          <w:lang w:eastAsia="en-AU"/>
        </w:rPr>
        <w:t>s</w:t>
      </w:r>
      <w:r w:rsidR="00DD189E">
        <w:rPr>
          <w:rFonts w:cstheme="minorHAnsi"/>
          <w:color w:val="313131"/>
          <w:lang w:eastAsia="en-AU"/>
        </w:rPr>
        <w:t xml:space="preserve"> or resources to challenge.  The likelihood </w:t>
      </w:r>
      <w:r w:rsidR="006B4D4E">
        <w:rPr>
          <w:rFonts w:cstheme="minorHAnsi"/>
          <w:color w:val="313131"/>
          <w:lang w:eastAsia="en-AU"/>
        </w:rPr>
        <w:t xml:space="preserve">of challenge </w:t>
      </w:r>
      <w:r w:rsidR="00DD189E">
        <w:rPr>
          <w:rFonts w:cstheme="minorHAnsi"/>
          <w:color w:val="313131"/>
          <w:lang w:eastAsia="en-AU"/>
        </w:rPr>
        <w:t xml:space="preserve">will </w:t>
      </w:r>
      <w:r w:rsidR="00960BAC">
        <w:rPr>
          <w:rFonts w:cstheme="minorHAnsi"/>
          <w:color w:val="313131"/>
          <w:lang w:eastAsia="en-AU"/>
        </w:rPr>
        <w:t>greatly increase</w:t>
      </w:r>
      <w:r w:rsidR="00DD189E">
        <w:rPr>
          <w:rFonts w:cstheme="minorHAnsi"/>
          <w:color w:val="313131"/>
          <w:lang w:eastAsia="en-AU"/>
        </w:rPr>
        <w:t xml:space="preserve"> if a </w:t>
      </w:r>
      <w:r w:rsidR="006B4D4E">
        <w:rPr>
          <w:rFonts w:cstheme="minorHAnsi"/>
          <w:color w:val="313131"/>
          <w:lang w:eastAsia="en-AU"/>
        </w:rPr>
        <w:t xml:space="preserve">proper </w:t>
      </w:r>
      <w:r w:rsidR="00DD189E">
        <w:rPr>
          <w:rFonts w:cstheme="minorHAnsi"/>
          <w:color w:val="313131"/>
          <w:lang w:eastAsia="en-AU"/>
        </w:rPr>
        <w:t>Commonwealth integrity commission is established.</w:t>
      </w:r>
      <w:r w:rsidR="00B16778">
        <w:rPr>
          <w:rStyle w:val="FootnoteReference"/>
          <w:rFonts w:cstheme="minorHAnsi"/>
          <w:color w:val="313131"/>
          <w:lang w:eastAsia="en-AU"/>
        </w:rPr>
        <w:footnoteReference w:id="7"/>
      </w:r>
      <w:r w:rsidR="00DD189E">
        <w:rPr>
          <w:rFonts w:cstheme="minorHAnsi"/>
          <w:color w:val="313131"/>
          <w:lang w:eastAsia="en-AU"/>
        </w:rPr>
        <w:t xml:space="preserve"> </w:t>
      </w:r>
    </w:p>
    <w:p w14:paraId="36996B66" w14:textId="77777777" w:rsidR="000D4AD6" w:rsidRDefault="000D4AD6" w:rsidP="000C029B">
      <w:pPr>
        <w:spacing w:after="0" w:line="240" w:lineRule="auto"/>
        <w:rPr>
          <w:rFonts w:cstheme="minorHAnsi"/>
          <w:color w:val="313131"/>
          <w:lang w:eastAsia="en-AU"/>
        </w:rPr>
      </w:pPr>
    </w:p>
    <w:p w14:paraId="4FDCB25E" w14:textId="06EBFC84" w:rsidR="00DD189E" w:rsidRDefault="00DD189E" w:rsidP="000C029B">
      <w:pPr>
        <w:pStyle w:val="Heading3"/>
        <w:spacing w:before="0"/>
        <w:rPr>
          <w:lang w:eastAsia="en-AU"/>
        </w:rPr>
      </w:pPr>
      <w:bookmarkStart w:id="16" w:name="_Toc111195435"/>
      <w:r>
        <w:rPr>
          <w:lang w:eastAsia="en-AU"/>
        </w:rPr>
        <w:t>5.2</w:t>
      </w:r>
      <w:r>
        <w:rPr>
          <w:lang w:eastAsia="en-AU"/>
        </w:rPr>
        <w:tab/>
      </w:r>
      <w:r w:rsidR="00137F50">
        <w:rPr>
          <w:lang w:eastAsia="en-AU"/>
        </w:rPr>
        <w:t>Commonwealth purposes - Departments</w:t>
      </w:r>
      <w:bookmarkEnd w:id="16"/>
    </w:p>
    <w:p w14:paraId="4614D759" w14:textId="77777777" w:rsidR="00745BFF" w:rsidRDefault="00410CCC" w:rsidP="000C029B">
      <w:pPr>
        <w:spacing w:after="0" w:line="240" w:lineRule="auto"/>
        <w:rPr>
          <w:rFonts w:cstheme="minorHAnsi"/>
          <w:color w:val="313131"/>
          <w:lang w:eastAsia="en-AU"/>
        </w:rPr>
      </w:pPr>
      <w:r>
        <w:rPr>
          <w:rFonts w:cstheme="minorHAnsi"/>
          <w:color w:val="313131"/>
          <w:lang w:eastAsia="en-AU"/>
        </w:rPr>
        <w:t>Since mid</w:t>
      </w:r>
      <w:r w:rsidR="00745BFF">
        <w:rPr>
          <w:rFonts w:cstheme="minorHAnsi"/>
          <w:color w:val="313131"/>
          <w:lang w:eastAsia="en-AU"/>
        </w:rPr>
        <w:t>-</w:t>
      </w:r>
      <w:r>
        <w:rPr>
          <w:rFonts w:cstheme="minorHAnsi"/>
          <w:color w:val="313131"/>
          <w:lang w:eastAsia="en-AU"/>
        </w:rPr>
        <w:t xml:space="preserve">2014, Departments have been </w:t>
      </w:r>
      <w:proofErr w:type="gramStart"/>
      <w:r>
        <w:rPr>
          <w:rFonts w:cstheme="minorHAnsi"/>
          <w:color w:val="313131"/>
          <w:lang w:eastAsia="en-AU"/>
        </w:rPr>
        <w:t>in a position</w:t>
      </w:r>
      <w:proofErr w:type="gramEnd"/>
      <w:r>
        <w:rPr>
          <w:rFonts w:cstheme="minorHAnsi"/>
          <w:color w:val="313131"/>
          <w:lang w:eastAsia="en-AU"/>
        </w:rPr>
        <w:t xml:space="preserve"> to overcome the previous institutional handicap </w:t>
      </w:r>
      <w:r w:rsidR="00137F50">
        <w:rPr>
          <w:rFonts w:cstheme="minorHAnsi"/>
          <w:color w:val="313131"/>
          <w:lang w:eastAsia="en-AU"/>
        </w:rPr>
        <w:t xml:space="preserve">preventing </w:t>
      </w:r>
      <w:r>
        <w:rPr>
          <w:rFonts w:cstheme="minorHAnsi"/>
          <w:color w:val="313131"/>
          <w:lang w:eastAsia="en-AU"/>
        </w:rPr>
        <w:t xml:space="preserve">their </w:t>
      </w:r>
      <w:r w:rsidR="00137F50">
        <w:rPr>
          <w:rFonts w:cstheme="minorHAnsi"/>
          <w:color w:val="313131"/>
          <w:lang w:eastAsia="en-AU"/>
        </w:rPr>
        <w:t xml:space="preserve">providing adequate </w:t>
      </w:r>
      <w:r>
        <w:rPr>
          <w:rFonts w:cstheme="minorHAnsi"/>
          <w:color w:val="313131"/>
          <w:lang w:eastAsia="en-AU"/>
        </w:rPr>
        <w:t>infrastructure advice on Commonwealth purposes.</w:t>
      </w:r>
      <w:r w:rsidR="005D0B8C">
        <w:rPr>
          <w:rFonts w:cstheme="minorHAnsi"/>
          <w:color w:val="313131"/>
          <w:lang w:eastAsia="en-AU"/>
        </w:rPr>
        <w:t xml:space="preserve"> </w:t>
      </w:r>
    </w:p>
    <w:p w14:paraId="2A7255C7" w14:textId="77777777" w:rsidR="00745BFF" w:rsidRDefault="00745BFF" w:rsidP="000C029B">
      <w:pPr>
        <w:spacing w:after="0" w:line="240" w:lineRule="auto"/>
        <w:rPr>
          <w:rFonts w:cstheme="minorHAnsi"/>
          <w:color w:val="313131"/>
          <w:lang w:eastAsia="en-AU"/>
        </w:rPr>
      </w:pPr>
    </w:p>
    <w:p w14:paraId="12A517D9" w14:textId="1F4C0551" w:rsidR="00137F50" w:rsidRDefault="00410CCC" w:rsidP="000C029B">
      <w:pPr>
        <w:spacing w:after="0" w:line="240" w:lineRule="auto"/>
        <w:rPr>
          <w:rFonts w:cstheme="minorHAnsi"/>
          <w:color w:val="313131"/>
          <w:lang w:eastAsia="en-AU"/>
        </w:rPr>
      </w:pPr>
      <w:r>
        <w:rPr>
          <w:rFonts w:cstheme="minorHAnsi"/>
          <w:color w:val="313131"/>
          <w:lang w:eastAsia="en-AU"/>
        </w:rPr>
        <w:t xml:space="preserve">Whether Departments are presently competent or culturally adapted to such tasks </w:t>
      </w:r>
      <w:r w:rsidR="00DD189E">
        <w:rPr>
          <w:rFonts w:cstheme="minorHAnsi"/>
          <w:color w:val="313131"/>
          <w:lang w:eastAsia="en-AU"/>
        </w:rPr>
        <w:t xml:space="preserve">should not be relevant to considering </w:t>
      </w:r>
      <w:r w:rsidR="00137F50">
        <w:rPr>
          <w:rFonts w:cstheme="minorHAnsi"/>
          <w:color w:val="313131"/>
          <w:lang w:eastAsia="en-AU"/>
        </w:rPr>
        <w:t>where functions should lie</w:t>
      </w:r>
      <w:r>
        <w:rPr>
          <w:rFonts w:cstheme="minorHAnsi"/>
          <w:color w:val="313131"/>
          <w:lang w:eastAsia="en-AU"/>
        </w:rPr>
        <w:t xml:space="preserve">.  </w:t>
      </w:r>
      <w:r w:rsidR="00137F50">
        <w:rPr>
          <w:rFonts w:cstheme="minorHAnsi"/>
          <w:color w:val="313131"/>
          <w:lang w:eastAsia="en-AU"/>
        </w:rPr>
        <w:t>C</w:t>
      </w:r>
      <w:r w:rsidR="00DD189E">
        <w:rPr>
          <w:rFonts w:cstheme="minorHAnsi"/>
          <w:color w:val="313131"/>
          <w:lang w:eastAsia="en-AU"/>
        </w:rPr>
        <w:t>ompetence o</w:t>
      </w:r>
      <w:r w:rsidR="00137F50">
        <w:rPr>
          <w:rFonts w:cstheme="minorHAnsi"/>
          <w:color w:val="313131"/>
          <w:lang w:eastAsia="en-AU"/>
        </w:rPr>
        <w:t>r</w:t>
      </w:r>
      <w:r w:rsidR="00DD189E">
        <w:rPr>
          <w:rFonts w:cstheme="minorHAnsi"/>
          <w:color w:val="313131"/>
          <w:lang w:eastAsia="en-AU"/>
        </w:rPr>
        <w:t xml:space="preserve"> cultural deficiencies</w:t>
      </w:r>
      <w:r w:rsidR="00137F50">
        <w:rPr>
          <w:rFonts w:cstheme="minorHAnsi"/>
          <w:color w:val="313131"/>
          <w:lang w:eastAsia="en-AU"/>
        </w:rPr>
        <w:t xml:space="preserve"> </w:t>
      </w:r>
      <w:r w:rsidR="005D0B8C">
        <w:rPr>
          <w:rFonts w:cstheme="minorHAnsi"/>
          <w:color w:val="313131"/>
          <w:lang w:eastAsia="en-AU"/>
        </w:rPr>
        <w:t>should be</w:t>
      </w:r>
      <w:r w:rsidR="00137F50">
        <w:rPr>
          <w:rFonts w:cstheme="minorHAnsi"/>
          <w:color w:val="313131"/>
          <w:lang w:eastAsia="en-AU"/>
        </w:rPr>
        <w:t xml:space="preserve"> address</w:t>
      </w:r>
      <w:r w:rsidR="005D0B8C">
        <w:rPr>
          <w:rFonts w:cstheme="minorHAnsi"/>
          <w:color w:val="313131"/>
          <w:lang w:eastAsia="en-AU"/>
        </w:rPr>
        <w:t>ed</w:t>
      </w:r>
      <w:r w:rsidR="00137F50">
        <w:rPr>
          <w:rFonts w:cstheme="minorHAnsi"/>
          <w:color w:val="313131"/>
          <w:lang w:eastAsia="en-AU"/>
        </w:rPr>
        <w:t xml:space="preserve"> by Departmental leaders.  </w:t>
      </w:r>
    </w:p>
    <w:p w14:paraId="5432064A" w14:textId="124B83AD" w:rsidR="00502213" w:rsidRDefault="00502213" w:rsidP="000C029B">
      <w:pPr>
        <w:spacing w:after="0" w:line="240" w:lineRule="auto"/>
        <w:rPr>
          <w:rFonts w:cstheme="minorHAnsi"/>
          <w:color w:val="313131"/>
          <w:lang w:eastAsia="en-AU"/>
        </w:rPr>
      </w:pPr>
    </w:p>
    <w:p w14:paraId="76073A3E" w14:textId="612F3795" w:rsidR="00137F50" w:rsidRDefault="00137F50" w:rsidP="000C029B">
      <w:pPr>
        <w:pStyle w:val="Heading3"/>
        <w:spacing w:before="0"/>
        <w:rPr>
          <w:lang w:eastAsia="en-AU"/>
        </w:rPr>
      </w:pPr>
      <w:bookmarkStart w:id="17" w:name="_Toc111195436"/>
      <w:r>
        <w:rPr>
          <w:lang w:eastAsia="en-AU"/>
        </w:rPr>
        <w:t>5.3</w:t>
      </w:r>
      <w:r>
        <w:rPr>
          <w:lang w:eastAsia="en-AU"/>
        </w:rPr>
        <w:tab/>
        <w:t>Other purposes – statutory authority</w:t>
      </w:r>
      <w:bookmarkEnd w:id="17"/>
    </w:p>
    <w:p w14:paraId="1A570526" w14:textId="24315DDB" w:rsidR="00502213" w:rsidRDefault="00137F50" w:rsidP="000C029B">
      <w:pPr>
        <w:spacing w:after="0" w:line="240" w:lineRule="auto"/>
        <w:rPr>
          <w:rFonts w:cstheme="minorHAnsi"/>
          <w:color w:val="313131"/>
          <w:lang w:eastAsia="en-AU"/>
        </w:rPr>
      </w:pPr>
      <w:r>
        <w:rPr>
          <w:rFonts w:cstheme="minorHAnsi"/>
          <w:color w:val="313131"/>
          <w:lang w:eastAsia="en-AU"/>
        </w:rPr>
        <w:t xml:space="preserve">Advice on </w:t>
      </w:r>
      <w:r w:rsidR="00502213">
        <w:rPr>
          <w:rFonts w:cstheme="minorHAnsi"/>
          <w:color w:val="313131"/>
          <w:lang w:eastAsia="en-AU"/>
        </w:rPr>
        <w:t xml:space="preserve">matters other than Commonwealth purposes needs to be provided to the Parliament independently of the Government.  </w:t>
      </w:r>
      <w:r w:rsidR="006B4D4E">
        <w:rPr>
          <w:rFonts w:cstheme="minorHAnsi"/>
          <w:color w:val="313131"/>
          <w:lang w:eastAsia="en-AU"/>
        </w:rPr>
        <w:t>That can only be done by a statutory authority.</w:t>
      </w:r>
      <w:r w:rsidR="006B4D4E">
        <w:rPr>
          <w:rFonts w:cstheme="minorHAnsi"/>
          <w:color w:val="313131"/>
          <w:lang w:eastAsia="en-AU"/>
        </w:rPr>
        <w:t xml:space="preserve">  </w:t>
      </w:r>
      <w:r w:rsidR="00502213">
        <w:rPr>
          <w:rFonts w:cstheme="minorHAnsi"/>
          <w:color w:val="313131"/>
          <w:lang w:eastAsia="en-AU"/>
        </w:rPr>
        <w:t xml:space="preserve">The Government’s views on those matters will be made known to Parliament in any event.  </w:t>
      </w:r>
    </w:p>
    <w:p w14:paraId="552CA9CA" w14:textId="77777777" w:rsidR="00502213" w:rsidRDefault="00502213" w:rsidP="000C029B">
      <w:pPr>
        <w:spacing w:after="0" w:line="240" w:lineRule="auto"/>
        <w:rPr>
          <w:rFonts w:cstheme="minorHAnsi"/>
          <w:color w:val="313131"/>
          <w:lang w:eastAsia="en-AU"/>
        </w:rPr>
      </w:pPr>
    </w:p>
    <w:p w14:paraId="49212C53" w14:textId="0ACDC306" w:rsidR="00CD4412" w:rsidRDefault="00502213" w:rsidP="000C029B">
      <w:pPr>
        <w:spacing w:after="0" w:line="240" w:lineRule="auto"/>
        <w:rPr>
          <w:rFonts w:cstheme="minorHAnsi"/>
          <w:color w:val="313131"/>
          <w:lang w:eastAsia="en-AU"/>
        </w:rPr>
      </w:pPr>
      <w:r>
        <w:rPr>
          <w:rFonts w:cstheme="minorHAnsi"/>
          <w:color w:val="313131"/>
          <w:lang w:eastAsia="en-AU"/>
        </w:rPr>
        <w:t>Th</w:t>
      </w:r>
      <w:r w:rsidR="00137F50">
        <w:rPr>
          <w:rFonts w:cstheme="minorHAnsi"/>
          <w:color w:val="313131"/>
          <w:lang w:eastAsia="en-AU"/>
        </w:rPr>
        <w:t>e statutory authority should provide advice based on public process</w:t>
      </w:r>
      <w:r w:rsidR="00CD4412">
        <w:rPr>
          <w:rFonts w:cstheme="minorHAnsi"/>
          <w:color w:val="313131"/>
          <w:lang w:eastAsia="en-AU"/>
        </w:rPr>
        <w:t>es for each proposal</w:t>
      </w:r>
      <w:r w:rsidR="00137F50">
        <w:rPr>
          <w:rFonts w:cstheme="minorHAnsi"/>
          <w:color w:val="313131"/>
          <w:lang w:eastAsia="en-AU"/>
        </w:rPr>
        <w:t xml:space="preserve">: publication of </w:t>
      </w:r>
      <w:r w:rsidR="00CD4412">
        <w:rPr>
          <w:rFonts w:cstheme="minorHAnsi"/>
          <w:color w:val="313131"/>
          <w:lang w:eastAsia="en-AU"/>
        </w:rPr>
        <w:t xml:space="preserve">the proposal; public hearings; draft report; consideration of submissions on the draft report; final report.  There should be a single point personal accountability for such advice – a Commissioner in charge of the public process. </w:t>
      </w:r>
    </w:p>
    <w:p w14:paraId="757DDA55" w14:textId="782DF645" w:rsidR="00CD4412" w:rsidRDefault="00CD4412" w:rsidP="000C029B">
      <w:pPr>
        <w:spacing w:after="0" w:line="240" w:lineRule="auto"/>
        <w:rPr>
          <w:rFonts w:cstheme="minorHAnsi"/>
          <w:color w:val="313131"/>
          <w:lang w:eastAsia="en-AU"/>
        </w:rPr>
      </w:pPr>
    </w:p>
    <w:p w14:paraId="694A507B" w14:textId="1021F195" w:rsidR="0009731A" w:rsidRDefault="00CD4412" w:rsidP="000C029B">
      <w:pPr>
        <w:spacing w:after="0" w:line="240" w:lineRule="auto"/>
        <w:rPr>
          <w:rFonts w:cstheme="minorHAnsi"/>
          <w:color w:val="313131"/>
          <w:lang w:eastAsia="en-AU"/>
        </w:rPr>
      </w:pPr>
      <w:r w:rsidRPr="001E2809">
        <w:rPr>
          <w:rFonts w:cstheme="minorHAnsi"/>
          <w:color w:val="313131"/>
          <w:lang w:eastAsia="en-AU"/>
        </w:rPr>
        <w:t>That is so much like Productivity Commission practices</w:t>
      </w:r>
      <w:r>
        <w:rPr>
          <w:rFonts w:cstheme="minorHAnsi"/>
          <w:color w:val="313131"/>
          <w:lang w:eastAsia="en-AU"/>
        </w:rPr>
        <w:t>,</w:t>
      </w:r>
      <w:r w:rsidRPr="001E2809">
        <w:rPr>
          <w:rFonts w:cstheme="minorHAnsi"/>
          <w:color w:val="313131"/>
          <w:lang w:eastAsia="en-AU"/>
        </w:rPr>
        <w:t xml:space="preserve"> if there is such a role the Commission should undertake it.  </w:t>
      </w:r>
      <w:r>
        <w:rPr>
          <w:rFonts w:cstheme="minorHAnsi"/>
          <w:color w:val="313131"/>
          <w:lang w:eastAsia="en-AU"/>
        </w:rPr>
        <w:t>There are further reasons for the Commission</w:t>
      </w:r>
      <w:r w:rsidR="007E2A46">
        <w:rPr>
          <w:rFonts w:cstheme="minorHAnsi"/>
          <w:color w:val="313131"/>
          <w:lang w:eastAsia="en-AU"/>
        </w:rPr>
        <w:t xml:space="preserve">, </w:t>
      </w:r>
      <w:r w:rsidR="0009731A">
        <w:rPr>
          <w:rFonts w:cstheme="minorHAnsi"/>
          <w:color w:val="313131"/>
          <w:lang w:eastAsia="en-AU"/>
        </w:rPr>
        <w:t>rather than a statutory authority in a line portfolio</w:t>
      </w:r>
      <w:r w:rsidR="007E2A46">
        <w:rPr>
          <w:rFonts w:cstheme="minorHAnsi"/>
          <w:color w:val="313131"/>
          <w:lang w:eastAsia="en-AU"/>
        </w:rPr>
        <w:t>,</w:t>
      </w:r>
      <w:r>
        <w:rPr>
          <w:rFonts w:cstheme="minorHAnsi"/>
          <w:color w:val="313131"/>
          <w:lang w:eastAsia="en-AU"/>
        </w:rPr>
        <w:t xml:space="preserve"> to perform this function</w:t>
      </w:r>
      <w:r w:rsidR="0009731A">
        <w:rPr>
          <w:rFonts w:cstheme="minorHAnsi"/>
          <w:color w:val="313131"/>
          <w:lang w:eastAsia="en-AU"/>
        </w:rPr>
        <w:t>:</w:t>
      </w:r>
    </w:p>
    <w:p w14:paraId="3F148E2F" w14:textId="5B0B6509" w:rsidR="0009731A" w:rsidRPr="0009731A" w:rsidRDefault="007E2A46" w:rsidP="00D51674">
      <w:pPr>
        <w:pStyle w:val="ListParagraph"/>
        <w:numPr>
          <w:ilvl w:val="0"/>
          <w:numId w:val="21"/>
        </w:numPr>
        <w:spacing w:after="0" w:line="240" w:lineRule="auto"/>
        <w:ind w:left="360"/>
        <w:rPr>
          <w:rFonts w:cstheme="minorHAnsi"/>
          <w:color w:val="313131"/>
          <w:lang w:eastAsia="en-AU"/>
        </w:rPr>
      </w:pPr>
      <w:r w:rsidRPr="0009731A">
        <w:rPr>
          <w:rFonts w:cstheme="minorHAnsi"/>
          <w:color w:val="313131"/>
          <w:lang w:eastAsia="en-AU"/>
        </w:rPr>
        <w:t>there is likely to (continue to) be a</w:t>
      </w:r>
      <w:r w:rsidR="00CD4412" w:rsidRPr="0009731A">
        <w:rPr>
          <w:rFonts w:cstheme="minorHAnsi"/>
          <w:color w:val="313131"/>
          <w:lang w:eastAsia="en-AU"/>
        </w:rPr>
        <w:t xml:space="preserve">ntipathy between Departments and </w:t>
      </w:r>
      <w:r w:rsidRPr="0009731A">
        <w:rPr>
          <w:rFonts w:cstheme="minorHAnsi"/>
          <w:color w:val="313131"/>
          <w:lang w:eastAsia="en-AU"/>
        </w:rPr>
        <w:t>any</w:t>
      </w:r>
      <w:r w:rsidR="00CD4412" w:rsidRPr="0009731A">
        <w:rPr>
          <w:rFonts w:cstheme="minorHAnsi"/>
          <w:color w:val="313131"/>
          <w:lang w:eastAsia="en-AU"/>
        </w:rPr>
        <w:t xml:space="preserve"> statutory authority</w:t>
      </w:r>
      <w:r w:rsidRPr="0009731A">
        <w:rPr>
          <w:rFonts w:cstheme="minorHAnsi"/>
          <w:color w:val="313131"/>
          <w:lang w:eastAsia="en-AU"/>
        </w:rPr>
        <w:t xml:space="preserve"> advising on related subject matter</w:t>
      </w:r>
      <w:r w:rsidR="0009731A" w:rsidRPr="0009731A">
        <w:rPr>
          <w:rFonts w:cstheme="minorHAnsi"/>
          <w:color w:val="313131"/>
          <w:lang w:eastAsia="en-AU"/>
        </w:rPr>
        <w:t>s</w:t>
      </w:r>
      <w:r w:rsidRPr="0009731A">
        <w:rPr>
          <w:rFonts w:cstheme="minorHAnsi"/>
          <w:color w:val="313131"/>
          <w:lang w:eastAsia="en-AU"/>
        </w:rPr>
        <w:t xml:space="preserve">.  That can only be </w:t>
      </w:r>
      <w:r w:rsidR="0009731A" w:rsidRPr="0009731A">
        <w:rPr>
          <w:rFonts w:cstheme="minorHAnsi"/>
          <w:color w:val="313131"/>
          <w:lang w:eastAsia="en-AU"/>
        </w:rPr>
        <w:t>properly</w:t>
      </w:r>
      <w:r w:rsidRPr="0009731A">
        <w:rPr>
          <w:rFonts w:cstheme="minorHAnsi"/>
          <w:color w:val="313131"/>
          <w:lang w:eastAsia="en-AU"/>
        </w:rPr>
        <w:t xml:space="preserve"> resolved by the statutory authority being outside infrastructure line portfolios</w:t>
      </w:r>
      <w:r w:rsidR="0009731A" w:rsidRPr="0009731A">
        <w:rPr>
          <w:rFonts w:cstheme="minorHAnsi"/>
          <w:color w:val="313131"/>
          <w:lang w:eastAsia="en-AU"/>
        </w:rPr>
        <w:t>;</w:t>
      </w:r>
      <w:r w:rsidRPr="0009731A">
        <w:rPr>
          <w:rFonts w:cstheme="minorHAnsi"/>
          <w:color w:val="313131"/>
          <w:lang w:eastAsia="en-AU"/>
        </w:rPr>
        <w:t xml:space="preserve">  </w:t>
      </w:r>
    </w:p>
    <w:p w14:paraId="5E6C273C" w14:textId="5DEB7265" w:rsidR="007E2A46" w:rsidRPr="0009731A" w:rsidRDefault="0009731A" w:rsidP="00D51674">
      <w:pPr>
        <w:pStyle w:val="ListParagraph"/>
        <w:numPr>
          <w:ilvl w:val="0"/>
          <w:numId w:val="20"/>
        </w:numPr>
        <w:spacing w:after="0" w:line="240" w:lineRule="auto"/>
        <w:ind w:left="360"/>
        <w:rPr>
          <w:rFonts w:cstheme="minorHAnsi"/>
          <w:color w:val="313131"/>
          <w:lang w:eastAsia="en-AU"/>
        </w:rPr>
      </w:pPr>
      <w:r w:rsidRPr="0009731A">
        <w:rPr>
          <w:rFonts w:cstheme="minorHAnsi"/>
          <w:color w:val="313131"/>
          <w:lang w:eastAsia="en-AU"/>
        </w:rPr>
        <w:t xml:space="preserve">the infrastructure </w:t>
      </w:r>
      <w:r w:rsidR="006B4D4E">
        <w:rPr>
          <w:rFonts w:cstheme="minorHAnsi"/>
          <w:color w:val="313131"/>
          <w:lang w:eastAsia="en-AU"/>
        </w:rPr>
        <w:t xml:space="preserve">issues </w:t>
      </w:r>
      <w:r w:rsidRPr="0009731A">
        <w:rPr>
          <w:rFonts w:cstheme="minorHAnsi"/>
          <w:color w:val="313131"/>
          <w:lang w:eastAsia="en-AU"/>
        </w:rPr>
        <w:t xml:space="preserve">in question </w:t>
      </w:r>
      <w:r w:rsidR="006B4D4E">
        <w:rPr>
          <w:rFonts w:cstheme="minorHAnsi"/>
          <w:color w:val="313131"/>
          <w:lang w:eastAsia="en-AU"/>
        </w:rPr>
        <w:t>are</w:t>
      </w:r>
      <w:r w:rsidRPr="0009731A">
        <w:rPr>
          <w:rFonts w:cstheme="minorHAnsi"/>
          <w:color w:val="313131"/>
          <w:lang w:eastAsia="en-AU"/>
        </w:rPr>
        <w:t xml:space="preserve"> under several </w:t>
      </w:r>
      <w:r w:rsidR="006B4D4E">
        <w:rPr>
          <w:rFonts w:cstheme="minorHAnsi"/>
          <w:color w:val="313131"/>
          <w:lang w:eastAsia="en-AU"/>
        </w:rPr>
        <w:t xml:space="preserve">line </w:t>
      </w:r>
      <w:r w:rsidRPr="0009731A">
        <w:rPr>
          <w:rFonts w:cstheme="minorHAnsi"/>
          <w:color w:val="313131"/>
          <w:lang w:eastAsia="en-AU"/>
        </w:rPr>
        <w:t>portfolios;</w:t>
      </w:r>
    </w:p>
    <w:p w14:paraId="683552C4" w14:textId="6E98C62E" w:rsidR="00BA2DFD" w:rsidRDefault="007E2A46" w:rsidP="00D51674">
      <w:pPr>
        <w:pStyle w:val="ListParagraph"/>
        <w:numPr>
          <w:ilvl w:val="0"/>
          <w:numId w:val="20"/>
        </w:numPr>
        <w:spacing w:after="0" w:line="240" w:lineRule="auto"/>
        <w:ind w:left="360"/>
        <w:rPr>
          <w:rFonts w:cstheme="minorHAnsi"/>
          <w:color w:val="313131"/>
          <w:lang w:eastAsia="en-AU"/>
        </w:rPr>
      </w:pPr>
      <w:r w:rsidRPr="0009731A">
        <w:rPr>
          <w:rFonts w:cstheme="minorHAnsi"/>
          <w:color w:val="313131"/>
          <w:lang w:eastAsia="en-AU"/>
        </w:rPr>
        <w:t xml:space="preserve">the </w:t>
      </w:r>
      <w:r w:rsidR="00BA2DFD" w:rsidRPr="0009731A">
        <w:rPr>
          <w:rFonts w:cstheme="minorHAnsi"/>
          <w:color w:val="313131"/>
          <w:lang w:eastAsia="en-AU"/>
        </w:rPr>
        <w:t xml:space="preserve">central element of the </w:t>
      </w:r>
      <w:r w:rsidRPr="0009731A">
        <w:rPr>
          <w:rFonts w:cstheme="minorHAnsi"/>
          <w:color w:val="313131"/>
          <w:lang w:eastAsia="en-AU"/>
        </w:rPr>
        <w:t xml:space="preserve">function </w:t>
      </w:r>
      <w:r w:rsidR="00BA2DFD" w:rsidRPr="0009731A">
        <w:rPr>
          <w:rFonts w:cstheme="minorHAnsi"/>
          <w:color w:val="313131"/>
          <w:lang w:eastAsia="en-AU"/>
        </w:rPr>
        <w:t>is</w:t>
      </w:r>
      <w:r w:rsidRPr="0009731A">
        <w:rPr>
          <w:rFonts w:cstheme="minorHAnsi"/>
          <w:color w:val="313131"/>
          <w:lang w:eastAsia="en-AU"/>
        </w:rPr>
        <w:t xml:space="preserve"> Commonwealth-State relations</w:t>
      </w:r>
      <w:r w:rsidR="00CD4412" w:rsidRPr="0009731A">
        <w:rPr>
          <w:rFonts w:cstheme="minorHAnsi"/>
          <w:color w:val="313131"/>
          <w:lang w:eastAsia="en-AU"/>
        </w:rPr>
        <w:t>.</w:t>
      </w:r>
      <w:r w:rsidR="00BA2DFD" w:rsidRPr="0009731A">
        <w:rPr>
          <w:rFonts w:cstheme="minorHAnsi"/>
          <w:color w:val="313131"/>
          <w:lang w:eastAsia="en-AU"/>
        </w:rPr>
        <w:t xml:space="preserve">  Submission of State proposals to Commonwealth agencies are invariably ‘approved</w:t>
      </w:r>
      <w:r w:rsidR="007E6795">
        <w:rPr>
          <w:rFonts w:cstheme="minorHAnsi"/>
          <w:color w:val="313131"/>
          <w:lang w:eastAsia="en-AU"/>
        </w:rPr>
        <w:t>’</w:t>
      </w:r>
      <w:r w:rsidR="00BA2DFD" w:rsidRPr="0009731A">
        <w:rPr>
          <w:rFonts w:cstheme="minorHAnsi"/>
          <w:color w:val="313131"/>
          <w:lang w:eastAsia="en-AU"/>
        </w:rPr>
        <w:t xml:space="preserve"> by State central agencies.  </w:t>
      </w:r>
      <w:r w:rsidR="007E6795">
        <w:rPr>
          <w:rFonts w:cstheme="minorHAnsi"/>
          <w:color w:val="313131"/>
          <w:lang w:eastAsia="en-AU"/>
        </w:rPr>
        <w:t xml:space="preserve">If there is to be a </w:t>
      </w:r>
      <w:r w:rsidR="00BA2DFD" w:rsidRPr="0009731A">
        <w:rPr>
          <w:rFonts w:cstheme="minorHAnsi"/>
          <w:color w:val="313131"/>
          <w:lang w:eastAsia="en-AU"/>
        </w:rPr>
        <w:t>counter i</w:t>
      </w:r>
      <w:r w:rsidR="007E6795">
        <w:rPr>
          <w:rFonts w:cstheme="minorHAnsi"/>
          <w:color w:val="313131"/>
          <w:lang w:eastAsia="en-AU"/>
        </w:rPr>
        <w:t xml:space="preserve">ts indicated location should </w:t>
      </w:r>
      <w:r w:rsidR="00BA2DFD" w:rsidRPr="0009731A">
        <w:rPr>
          <w:rFonts w:cstheme="minorHAnsi"/>
          <w:color w:val="313131"/>
          <w:lang w:eastAsia="en-AU"/>
        </w:rPr>
        <w:t>a Commonwealth central agency.</w:t>
      </w:r>
    </w:p>
    <w:p w14:paraId="5DF3C4E5" w14:textId="77777777" w:rsidR="00745BFF" w:rsidRPr="0009731A" w:rsidRDefault="00745BFF" w:rsidP="00745BFF">
      <w:pPr>
        <w:pStyle w:val="ListParagraph"/>
        <w:spacing w:after="0" w:line="240" w:lineRule="auto"/>
        <w:ind w:left="283"/>
        <w:rPr>
          <w:rFonts w:cstheme="minorHAnsi"/>
          <w:color w:val="313131"/>
          <w:lang w:eastAsia="en-AU"/>
        </w:rPr>
      </w:pPr>
    </w:p>
    <w:p w14:paraId="7A58DF7A" w14:textId="05A6C3AF" w:rsidR="007E2A46" w:rsidRDefault="000C029B" w:rsidP="000C029B">
      <w:pPr>
        <w:pStyle w:val="Heading2"/>
        <w:spacing w:before="0" w:beforeAutospacing="0" w:after="0" w:afterAutospacing="0"/>
      </w:pPr>
      <w:bookmarkStart w:id="18" w:name="_Toc111195437"/>
      <w:r w:rsidRPr="000C029B">
        <w:rPr>
          <w:b w:val="0"/>
          <w:bCs w:val="0"/>
        </w:rPr>
        <w:t>6.</w:t>
      </w:r>
      <w:r>
        <w:tab/>
      </w:r>
      <w:r w:rsidR="00BA2DFD">
        <w:t>Further comments</w:t>
      </w:r>
      <w:bookmarkEnd w:id="18"/>
    </w:p>
    <w:p w14:paraId="3EC8484A" w14:textId="3111AA05" w:rsidR="00BA2DFD" w:rsidRDefault="00BA2DFD" w:rsidP="000C029B">
      <w:pPr>
        <w:spacing w:after="0" w:line="240" w:lineRule="auto"/>
        <w:rPr>
          <w:rFonts w:cstheme="minorHAnsi"/>
          <w:color w:val="313131"/>
          <w:lang w:eastAsia="en-AU"/>
        </w:rPr>
      </w:pPr>
      <w:r>
        <w:rPr>
          <w:rFonts w:cstheme="minorHAnsi"/>
          <w:color w:val="313131"/>
          <w:lang w:eastAsia="en-AU"/>
        </w:rPr>
        <w:t>The above challenges assumptions made in statements about this review.</w:t>
      </w:r>
    </w:p>
    <w:p w14:paraId="0DB45451" w14:textId="5A135A60" w:rsidR="00DE657D" w:rsidRDefault="00DE657D" w:rsidP="000C029B">
      <w:pPr>
        <w:spacing w:after="0" w:line="240" w:lineRule="auto"/>
        <w:rPr>
          <w:rFonts w:cstheme="minorHAnsi"/>
          <w:color w:val="313131"/>
          <w:lang w:eastAsia="en-AU"/>
        </w:rPr>
      </w:pPr>
    </w:p>
    <w:p w14:paraId="2B876C60" w14:textId="35A88CEB" w:rsidR="00D51674" w:rsidRDefault="00A7457F" w:rsidP="000C029B">
      <w:pPr>
        <w:pStyle w:val="Heading3"/>
        <w:spacing w:before="0"/>
        <w:rPr>
          <w:lang w:eastAsia="en-AU"/>
        </w:rPr>
      </w:pPr>
      <w:bookmarkStart w:id="19" w:name="_Toc111195438"/>
      <w:r>
        <w:rPr>
          <w:lang w:eastAsia="en-AU"/>
        </w:rPr>
        <w:t>6.1</w:t>
      </w:r>
      <w:r>
        <w:rPr>
          <w:lang w:eastAsia="en-AU"/>
        </w:rPr>
        <w:tab/>
      </w:r>
      <w:r w:rsidR="00D51674">
        <w:rPr>
          <w:lang w:eastAsia="en-AU"/>
        </w:rPr>
        <w:t>Continuation of Infrastructure Australia</w:t>
      </w:r>
      <w:r w:rsidR="00691585">
        <w:rPr>
          <w:lang w:eastAsia="en-AU"/>
        </w:rPr>
        <w:t>?</w:t>
      </w:r>
      <w:bookmarkEnd w:id="19"/>
    </w:p>
    <w:p w14:paraId="7E7E8E0B" w14:textId="083DB789" w:rsidR="00D51674" w:rsidRDefault="00D51674" w:rsidP="00D51674">
      <w:pPr>
        <w:rPr>
          <w:lang w:eastAsia="en-AU"/>
        </w:rPr>
      </w:pPr>
      <w:r>
        <w:rPr>
          <w:lang w:eastAsia="en-AU"/>
        </w:rPr>
        <w:t>A proper review should not presume continuation of a government organisation</w:t>
      </w:r>
      <w:r w:rsidR="002F0DA5">
        <w:rPr>
          <w:lang w:eastAsia="en-AU"/>
        </w:rPr>
        <w:t xml:space="preserve">.  It should not perceive </w:t>
      </w:r>
      <w:r>
        <w:rPr>
          <w:lang w:eastAsia="en-AU"/>
        </w:rPr>
        <w:t xml:space="preserve">its task is to identify functions for </w:t>
      </w:r>
      <w:r w:rsidR="002F0DA5">
        <w:rPr>
          <w:lang w:eastAsia="en-AU"/>
        </w:rPr>
        <w:t>an</w:t>
      </w:r>
      <w:r>
        <w:rPr>
          <w:lang w:eastAsia="en-AU"/>
        </w:rPr>
        <w:t xml:space="preserve"> organisation to undertake</w:t>
      </w:r>
      <w:r w:rsidR="002F0DA5">
        <w:rPr>
          <w:lang w:eastAsia="en-AU"/>
        </w:rPr>
        <w:t xml:space="preserve">.  </w:t>
      </w:r>
    </w:p>
    <w:p w14:paraId="3AA5FA6C" w14:textId="44E093D7" w:rsidR="00D51674" w:rsidRDefault="00D51674" w:rsidP="00D51674">
      <w:pPr>
        <w:rPr>
          <w:lang w:eastAsia="en-AU"/>
        </w:rPr>
      </w:pPr>
      <w:r>
        <w:rPr>
          <w:lang w:eastAsia="en-AU"/>
        </w:rPr>
        <w:lastRenderedPageBreak/>
        <w:t>Rather, functions useful to effectiveness and efficiency of the system of government should be first identified.  Once identified, they can be allocated among present or</w:t>
      </w:r>
      <w:r w:rsidR="00960BAC">
        <w:rPr>
          <w:lang w:eastAsia="en-AU"/>
        </w:rPr>
        <w:t>ganisations or be used for new organisational powers and designs</w:t>
      </w:r>
      <w:r>
        <w:rPr>
          <w:lang w:eastAsia="en-AU"/>
        </w:rPr>
        <w:t>.</w:t>
      </w:r>
    </w:p>
    <w:p w14:paraId="383A0150" w14:textId="77777777" w:rsidR="00960BAC" w:rsidRDefault="00D51674" w:rsidP="00960BAC">
      <w:pPr>
        <w:spacing w:after="0"/>
        <w:rPr>
          <w:lang w:eastAsia="en-AU"/>
        </w:rPr>
      </w:pPr>
      <w:r>
        <w:rPr>
          <w:lang w:eastAsia="en-AU"/>
        </w:rPr>
        <w:t>In the present case, aims of functions should be advice to the Commonwealth on (economic) infrastructure</w:t>
      </w:r>
      <w:r w:rsidR="00960BAC">
        <w:rPr>
          <w:lang w:eastAsia="en-AU"/>
        </w:rPr>
        <w:t>:</w:t>
      </w:r>
    </w:p>
    <w:p w14:paraId="0B7A1F8A" w14:textId="77777777" w:rsidR="00960BAC" w:rsidRDefault="00960BAC" w:rsidP="00960BAC">
      <w:pPr>
        <w:pStyle w:val="ListParagraph"/>
        <w:numPr>
          <w:ilvl w:val="0"/>
          <w:numId w:val="23"/>
        </w:numPr>
        <w:spacing w:after="0"/>
        <w:ind w:left="360"/>
        <w:rPr>
          <w:lang w:eastAsia="en-AU"/>
        </w:rPr>
      </w:pPr>
      <w:r>
        <w:rPr>
          <w:lang w:eastAsia="en-AU"/>
        </w:rPr>
        <w:t>to promote national economic and social development;</w:t>
      </w:r>
    </w:p>
    <w:p w14:paraId="00F8F0AF" w14:textId="2E477026" w:rsidR="00D51674" w:rsidRDefault="002F0DA5" w:rsidP="00960BAC">
      <w:pPr>
        <w:pStyle w:val="ListParagraph"/>
        <w:numPr>
          <w:ilvl w:val="0"/>
          <w:numId w:val="23"/>
        </w:numPr>
        <w:spacing w:after="0"/>
        <w:ind w:left="360"/>
        <w:rPr>
          <w:lang w:eastAsia="en-AU"/>
        </w:rPr>
      </w:pPr>
      <w:r>
        <w:rPr>
          <w:lang w:eastAsia="en-AU"/>
        </w:rPr>
        <w:t>consistent with</w:t>
      </w:r>
      <w:r w:rsidR="00D51674">
        <w:rPr>
          <w:lang w:eastAsia="en-AU"/>
        </w:rPr>
        <w:t xml:space="preserve"> the system of government including</w:t>
      </w:r>
      <w:r>
        <w:rPr>
          <w:lang w:eastAsia="en-AU"/>
        </w:rPr>
        <w:t>:</w:t>
      </w:r>
      <w:r w:rsidR="00D51674">
        <w:rPr>
          <w:lang w:eastAsia="en-AU"/>
        </w:rPr>
        <w:t xml:space="preserve"> Government </w:t>
      </w:r>
      <w:r>
        <w:rPr>
          <w:lang w:eastAsia="en-AU"/>
        </w:rPr>
        <w:t>powers</w:t>
      </w:r>
      <w:r w:rsidR="00D51674">
        <w:rPr>
          <w:lang w:eastAsia="en-AU"/>
        </w:rPr>
        <w:t xml:space="preserve"> and accountability to Parliament</w:t>
      </w:r>
      <w:r>
        <w:rPr>
          <w:lang w:eastAsia="en-AU"/>
        </w:rPr>
        <w:t>;</w:t>
      </w:r>
      <w:r w:rsidR="00D51674">
        <w:rPr>
          <w:lang w:eastAsia="en-AU"/>
        </w:rPr>
        <w:t xml:space="preserve"> Parliament</w:t>
      </w:r>
      <w:r>
        <w:rPr>
          <w:lang w:eastAsia="en-AU"/>
        </w:rPr>
        <w:t>’s</w:t>
      </w:r>
      <w:r w:rsidR="00D51674">
        <w:rPr>
          <w:lang w:eastAsia="en-AU"/>
        </w:rPr>
        <w:t xml:space="preserve"> responsibilities</w:t>
      </w:r>
      <w:r>
        <w:rPr>
          <w:lang w:eastAsia="en-AU"/>
        </w:rPr>
        <w:t>;</w:t>
      </w:r>
      <w:r w:rsidR="00D51674">
        <w:rPr>
          <w:lang w:eastAsia="en-AU"/>
        </w:rPr>
        <w:t xml:space="preserve"> Federal distribution of powers</w:t>
      </w:r>
      <w:r>
        <w:rPr>
          <w:lang w:eastAsia="en-AU"/>
        </w:rPr>
        <w:t>;</w:t>
      </w:r>
      <w:r w:rsidR="00D51674">
        <w:rPr>
          <w:lang w:eastAsia="en-AU"/>
        </w:rPr>
        <w:t xml:space="preserve"> and, above all, democratic accountability. </w:t>
      </w:r>
    </w:p>
    <w:p w14:paraId="2E6D760D" w14:textId="77777777" w:rsidR="00960BAC" w:rsidRDefault="00960BAC" w:rsidP="00960BAC">
      <w:pPr>
        <w:pStyle w:val="ListParagraph"/>
        <w:spacing w:after="0"/>
        <w:ind w:left="360"/>
        <w:rPr>
          <w:lang w:eastAsia="en-AU"/>
        </w:rPr>
      </w:pPr>
    </w:p>
    <w:p w14:paraId="34690190" w14:textId="1E32E951" w:rsidR="005D0B8C" w:rsidRDefault="00D51674" w:rsidP="000C029B">
      <w:pPr>
        <w:pStyle w:val="Heading3"/>
        <w:spacing w:before="0"/>
        <w:rPr>
          <w:lang w:eastAsia="en-AU"/>
        </w:rPr>
      </w:pPr>
      <w:bookmarkStart w:id="20" w:name="_Toc111195439"/>
      <w:r>
        <w:rPr>
          <w:lang w:eastAsia="en-AU"/>
        </w:rPr>
        <w:t>6.2</w:t>
      </w:r>
      <w:r>
        <w:rPr>
          <w:lang w:eastAsia="en-AU"/>
        </w:rPr>
        <w:tab/>
      </w:r>
      <w:r w:rsidR="005D0B8C">
        <w:rPr>
          <w:lang w:eastAsia="en-AU"/>
        </w:rPr>
        <w:t>State organisations</w:t>
      </w:r>
      <w:r w:rsidR="00691585">
        <w:rPr>
          <w:lang w:eastAsia="en-AU"/>
        </w:rPr>
        <w:t>?</w:t>
      </w:r>
      <w:bookmarkEnd w:id="20"/>
    </w:p>
    <w:p w14:paraId="7ECCA09D" w14:textId="77777777" w:rsidR="00D51674" w:rsidRDefault="00DE657D" w:rsidP="000C029B">
      <w:pPr>
        <w:spacing w:after="0" w:line="240" w:lineRule="auto"/>
        <w:rPr>
          <w:rFonts w:cstheme="minorHAnsi"/>
          <w:color w:val="313131"/>
          <w:lang w:eastAsia="en-AU"/>
        </w:rPr>
      </w:pPr>
      <w:r>
        <w:rPr>
          <w:rFonts w:cstheme="minorHAnsi"/>
          <w:color w:val="313131"/>
          <w:lang w:eastAsia="en-AU"/>
        </w:rPr>
        <w:t xml:space="preserve">There are State organisations with names </w:t>
      </w:r>
      <w:r w:rsidR="006B4D4E">
        <w:rPr>
          <w:rFonts w:cstheme="minorHAnsi"/>
          <w:color w:val="313131"/>
          <w:lang w:eastAsia="en-AU"/>
        </w:rPr>
        <w:t>mirroring</w:t>
      </w:r>
      <w:r>
        <w:rPr>
          <w:rFonts w:cstheme="minorHAnsi"/>
          <w:color w:val="313131"/>
          <w:lang w:eastAsia="en-AU"/>
        </w:rPr>
        <w:t xml:space="preserve"> Infrastructure Australia.  </w:t>
      </w:r>
      <w:r w:rsidR="006B4D4E">
        <w:rPr>
          <w:rFonts w:cstheme="minorHAnsi"/>
          <w:color w:val="313131"/>
          <w:lang w:eastAsia="en-AU"/>
        </w:rPr>
        <w:t>However, t</w:t>
      </w:r>
      <w:r>
        <w:rPr>
          <w:rFonts w:cstheme="minorHAnsi"/>
          <w:color w:val="313131"/>
          <w:lang w:eastAsia="en-AU"/>
        </w:rPr>
        <w:t xml:space="preserve">heir objects and functions differ among themselves and from Infrastructure Australia.  </w:t>
      </w:r>
    </w:p>
    <w:p w14:paraId="167FC31D" w14:textId="77777777" w:rsidR="00691585" w:rsidRDefault="00691585" w:rsidP="000C029B">
      <w:pPr>
        <w:spacing w:after="0" w:line="240" w:lineRule="auto"/>
        <w:rPr>
          <w:rFonts w:cstheme="minorHAnsi"/>
          <w:color w:val="313131"/>
          <w:lang w:eastAsia="en-AU"/>
        </w:rPr>
      </w:pPr>
    </w:p>
    <w:p w14:paraId="337F027F" w14:textId="47EE27F5" w:rsidR="00DE657D" w:rsidRDefault="00DE657D" w:rsidP="000C029B">
      <w:pPr>
        <w:spacing w:after="0" w:line="240" w:lineRule="auto"/>
        <w:rPr>
          <w:rFonts w:cstheme="minorHAnsi"/>
          <w:color w:val="313131"/>
          <w:lang w:eastAsia="en-AU"/>
        </w:rPr>
      </w:pPr>
      <w:r>
        <w:rPr>
          <w:rFonts w:cstheme="minorHAnsi"/>
          <w:color w:val="313131"/>
          <w:lang w:eastAsia="en-AU"/>
        </w:rPr>
        <w:t>As such, indeed in principle, the</w:t>
      </w:r>
      <w:r w:rsidR="005D0B8C">
        <w:rPr>
          <w:rFonts w:cstheme="minorHAnsi"/>
          <w:color w:val="313131"/>
          <w:lang w:eastAsia="en-AU"/>
        </w:rPr>
        <w:t xml:space="preserve">ir existence </w:t>
      </w:r>
      <w:r w:rsidR="0009731A">
        <w:rPr>
          <w:rFonts w:cstheme="minorHAnsi"/>
          <w:color w:val="313131"/>
          <w:lang w:eastAsia="en-AU"/>
        </w:rPr>
        <w:t>is</w:t>
      </w:r>
      <w:r w:rsidR="005D0B8C">
        <w:rPr>
          <w:rFonts w:cstheme="minorHAnsi"/>
          <w:color w:val="313131"/>
          <w:lang w:eastAsia="en-AU"/>
        </w:rPr>
        <w:t xml:space="preserve"> not </w:t>
      </w:r>
      <w:r>
        <w:rPr>
          <w:rFonts w:cstheme="minorHAnsi"/>
          <w:color w:val="313131"/>
          <w:lang w:eastAsia="en-AU"/>
        </w:rPr>
        <w:t>reason for a</w:t>
      </w:r>
      <w:r w:rsidR="005D0B8C">
        <w:rPr>
          <w:rFonts w:cstheme="minorHAnsi"/>
          <w:color w:val="313131"/>
          <w:lang w:eastAsia="en-AU"/>
        </w:rPr>
        <w:t>n attempt to create</w:t>
      </w:r>
      <w:r>
        <w:rPr>
          <w:rFonts w:cstheme="minorHAnsi"/>
          <w:color w:val="313131"/>
          <w:lang w:eastAsia="en-AU"/>
        </w:rPr>
        <w:t xml:space="preserve"> </w:t>
      </w:r>
      <w:r w:rsidR="005D0B8C">
        <w:rPr>
          <w:rFonts w:cstheme="minorHAnsi"/>
          <w:color w:val="313131"/>
          <w:lang w:eastAsia="en-AU"/>
        </w:rPr>
        <w:t xml:space="preserve">a </w:t>
      </w:r>
      <w:r>
        <w:rPr>
          <w:rFonts w:cstheme="minorHAnsi"/>
          <w:color w:val="313131"/>
          <w:lang w:eastAsia="en-AU"/>
        </w:rPr>
        <w:t>Commo</w:t>
      </w:r>
      <w:r w:rsidR="005D0B8C">
        <w:rPr>
          <w:rFonts w:cstheme="minorHAnsi"/>
          <w:color w:val="313131"/>
          <w:lang w:eastAsia="en-AU"/>
        </w:rPr>
        <w:t>n</w:t>
      </w:r>
      <w:r>
        <w:rPr>
          <w:rFonts w:cstheme="minorHAnsi"/>
          <w:color w:val="313131"/>
          <w:lang w:eastAsia="en-AU"/>
        </w:rPr>
        <w:t xml:space="preserve">wealth </w:t>
      </w:r>
      <w:r w:rsidR="005D0B8C">
        <w:rPr>
          <w:rFonts w:cstheme="minorHAnsi"/>
          <w:color w:val="313131"/>
          <w:lang w:eastAsia="en-AU"/>
        </w:rPr>
        <w:t xml:space="preserve">counter-party </w:t>
      </w:r>
      <w:r>
        <w:rPr>
          <w:rFonts w:cstheme="minorHAnsi"/>
          <w:color w:val="313131"/>
          <w:lang w:eastAsia="en-AU"/>
        </w:rPr>
        <w:t>organisation</w:t>
      </w:r>
      <w:r w:rsidR="005D0B8C">
        <w:rPr>
          <w:rFonts w:cstheme="minorHAnsi"/>
          <w:color w:val="313131"/>
          <w:lang w:eastAsia="en-AU"/>
        </w:rPr>
        <w:t>.</w:t>
      </w:r>
    </w:p>
    <w:p w14:paraId="62BB67F1" w14:textId="4A8F6456" w:rsidR="001C622B" w:rsidRDefault="001C622B" w:rsidP="000C029B">
      <w:pPr>
        <w:spacing w:after="0" w:line="240" w:lineRule="auto"/>
        <w:rPr>
          <w:rFonts w:cstheme="minorHAnsi"/>
          <w:color w:val="313131"/>
          <w:lang w:eastAsia="en-AU"/>
        </w:rPr>
      </w:pPr>
    </w:p>
    <w:p w14:paraId="29AA882E" w14:textId="222D8904" w:rsidR="005D0B8C" w:rsidRDefault="00A7457F" w:rsidP="000C029B">
      <w:pPr>
        <w:pStyle w:val="Heading3"/>
        <w:spacing w:before="0"/>
        <w:rPr>
          <w:lang w:eastAsia="en-AU"/>
        </w:rPr>
      </w:pPr>
      <w:bookmarkStart w:id="21" w:name="_Toc111195440"/>
      <w:r>
        <w:rPr>
          <w:lang w:eastAsia="en-AU"/>
        </w:rPr>
        <w:t>6.</w:t>
      </w:r>
      <w:r w:rsidR="00D51674">
        <w:rPr>
          <w:lang w:eastAsia="en-AU"/>
        </w:rPr>
        <w:t>3</w:t>
      </w:r>
      <w:r>
        <w:rPr>
          <w:lang w:eastAsia="en-AU"/>
        </w:rPr>
        <w:tab/>
      </w:r>
      <w:r w:rsidR="005D0B8C">
        <w:rPr>
          <w:lang w:eastAsia="en-AU"/>
        </w:rPr>
        <w:t>Infrastructure Australia board</w:t>
      </w:r>
      <w:r w:rsidR="00691585">
        <w:rPr>
          <w:lang w:eastAsia="en-AU"/>
        </w:rPr>
        <w:t>?</w:t>
      </w:r>
      <w:bookmarkEnd w:id="21"/>
    </w:p>
    <w:p w14:paraId="7A0924A2" w14:textId="2C955FD3" w:rsidR="001C622B" w:rsidRDefault="001C622B" w:rsidP="000C029B">
      <w:pPr>
        <w:spacing w:after="0" w:line="240" w:lineRule="auto"/>
        <w:rPr>
          <w:rFonts w:cstheme="minorHAnsi"/>
          <w:color w:val="313131"/>
          <w:lang w:eastAsia="en-AU"/>
        </w:rPr>
      </w:pPr>
      <w:r>
        <w:rPr>
          <w:rFonts w:cstheme="minorHAnsi"/>
          <w:color w:val="313131"/>
          <w:lang w:eastAsia="en-AU"/>
        </w:rPr>
        <w:t xml:space="preserve">The primary issue regarding the </w:t>
      </w:r>
      <w:r w:rsidR="005D0B8C">
        <w:rPr>
          <w:rFonts w:cstheme="minorHAnsi"/>
          <w:color w:val="313131"/>
          <w:lang w:eastAsia="en-AU"/>
        </w:rPr>
        <w:t xml:space="preserve">Infrastructure Australia </w:t>
      </w:r>
      <w:r>
        <w:rPr>
          <w:rFonts w:cstheme="minorHAnsi"/>
          <w:color w:val="313131"/>
          <w:lang w:eastAsia="en-AU"/>
        </w:rPr>
        <w:t>board is not its supposed</w:t>
      </w:r>
      <w:r w:rsidR="00DE657D">
        <w:rPr>
          <w:rFonts w:cstheme="minorHAnsi"/>
          <w:color w:val="313131"/>
          <w:lang w:eastAsia="en-AU"/>
        </w:rPr>
        <w:t>ly</w:t>
      </w:r>
      <w:r>
        <w:rPr>
          <w:rFonts w:cstheme="minorHAnsi"/>
          <w:color w:val="313131"/>
          <w:lang w:eastAsia="en-AU"/>
        </w:rPr>
        <w:t xml:space="preserve"> </w:t>
      </w:r>
      <w:r w:rsidR="00DE657D">
        <w:rPr>
          <w:rFonts w:cstheme="minorHAnsi"/>
          <w:color w:val="313131"/>
          <w:lang w:eastAsia="en-AU"/>
        </w:rPr>
        <w:t>partisan appointees</w:t>
      </w:r>
      <w:r w:rsidR="005D0B8C">
        <w:rPr>
          <w:rFonts w:cstheme="minorHAnsi"/>
          <w:color w:val="313131"/>
          <w:lang w:eastAsia="en-AU"/>
        </w:rPr>
        <w:t xml:space="preserve">.  Rather, it is </w:t>
      </w:r>
      <w:r w:rsidR="00DE657D">
        <w:rPr>
          <w:rFonts w:cstheme="minorHAnsi"/>
          <w:color w:val="313131"/>
          <w:lang w:eastAsia="en-AU"/>
        </w:rPr>
        <w:t>its inappropriateness – as a governing board - for an organisation whose task is to advise government.</w:t>
      </w:r>
    </w:p>
    <w:p w14:paraId="607EA767" w14:textId="77777777" w:rsidR="00BA2DFD" w:rsidRDefault="00BA2DFD" w:rsidP="000C029B">
      <w:pPr>
        <w:spacing w:after="0" w:line="240" w:lineRule="auto"/>
        <w:rPr>
          <w:rFonts w:cstheme="minorHAnsi"/>
          <w:color w:val="313131"/>
          <w:lang w:eastAsia="en-AU"/>
        </w:rPr>
      </w:pPr>
    </w:p>
    <w:p w14:paraId="0CF82BBB" w14:textId="614E9257" w:rsidR="005D0B8C" w:rsidRPr="00A7457F" w:rsidRDefault="00A7457F" w:rsidP="000C029B">
      <w:pPr>
        <w:pStyle w:val="Heading3"/>
        <w:spacing w:before="0"/>
      </w:pPr>
      <w:bookmarkStart w:id="22" w:name="_Toc111195441"/>
      <w:r w:rsidRPr="00A7457F">
        <w:rPr>
          <w:rStyle w:val="Heading3Char"/>
          <w:b/>
          <w:i/>
        </w:rPr>
        <w:t>6.</w:t>
      </w:r>
      <w:r w:rsidR="00D51674">
        <w:rPr>
          <w:rStyle w:val="Heading3Char"/>
          <w:b/>
          <w:i/>
        </w:rPr>
        <w:t>4</w:t>
      </w:r>
      <w:r w:rsidRPr="00A7457F">
        <w:rPr>
          <w:rStyle w:val="Heading3Char"/>
          <w:b/>
          <w:i/>
        </w:rPr>
        <w:tab/>
      </w:r>
      <w:r w:rsidR="005D0B8C" w:rsidRPr="00A7457F">
        <w:t>Drift and lack of direction</w:t>
      </w:r>
      <w:bookmarkEnd w:id="22"/>
    </w:p>
    <w:p w14:paraId="7B1B2262" w14:textId="5FB2F9B3" w:rsidR="00A60BCF" w:rsidRDefault="00BA2DFD" w:rsidP="000C029B">
      <w:pPr>
        <w:spacing w:after="0" w:line="240" w:lineRule="auto"/>
        <w:rPr>
          <w:rFonts w:cstheme="minorHAnsi"/>
          <w:color w:val="313131"/>
          <w:lang w:eastAsia="en-AU"/>
        </w:rPr>
      </w:pPr>
      <w:r>
        <w:rPr>
          <w:rFonts w:cstheme="minorHAnsi"/>
          <w:color w:val="313131"/>
          <w:lang w:eastAsia="en-AU"/>
        </w:rPr>
        <w:t xml:space="preserve">The </w:t>
      </w:r>
      <w:r w:rsidR="009C3C58">
        <w:rPr>
          <w:rFonts w:cstheme="minorHAnsi"/>
          <w:color w:val="313131"/>
          <w:lang w:eastAsia="en-AU"/>
        </w:rPr>
        <w:t xml:space="preserve">continued </w:t>
      </w:r>
      <w:r>
        <w:rPr>
          <w:rFonts w:cstheme="minorHAnsi"/>
          <w:color w:val="313131"/>
          <w:lang w:eastAsia="en-AU"/>
        </w:rPr>
        <w:t xml:space="preserve">drift in infrastructure advice </w:t>
      </w:r>
      <w:r w:rsidR="00A60BCF">
        <w:rPr>
          <w:rFonts w:cstheme="minorHAnsi"/>
          <w:color w:val="313131"/>
          <w:lang w:eastAsia="en-AU"/>
        </w:rPr>
        <w:t xml:space="preserve">and lack of appropriate direction </w:t>
      </w:r>
      <w:r>
        <w:rPr>
          <w:rFonts w:cstheme="minorHAnsi"/>
          <w:color w:val="313131"/>
          <w:lang w:eastAsia="en-AU"/>
        </w:rPr>
        <w:t xml:space="preserve">is </w:t>
      </w:r>
      <w:r w:rsidR="00A60BCF">
        <w:rPr>
          <w:rFonts w:cstheme="minorHAnsi"/>
          <w:color w:val="313131"/>
          <w:lang w:eastAsia="en-AU"/>
        </w:rPr>
        <w:t xml:space="preserve">the result of ignoring </w:t>
      </w:r>
      <w:r w:rsidR="004315C2">
        <w:rPr>
          <w:rFonts w:cstheme="minorHAnsi"/>
          <w:color w:val="313131"/>
          <w:lang w:eastAsia="en-AU"/>
        </w:rPr>
        <w:t>(</w:t>
      </w:r>
      <w:r w:rsidR="00A60BCF">
        <w:rPr>
          <w:rFonts w:cstheme="minorHAnsi"/>
          <w:color w:val="313131"/>
          <w:lang w:eastAsia="en-AU"/>
        </w:rPr>
        <w:t xml:space="preserve">implications </w:t>
      </w:r>
      <w:r w:rsidR="00DE657D">
        <w:rPr>
          <w:rFonts w:cstheme="minorHAnsi"/>
          <w:color w:val="313131"/>
          <w:lang w:eastAsia="en-AU"/>
        </w:rPr>
        <w:t>of High Court rulings</w:t>
      </w:r>
      <w:r w:rsidR="009C3C58">
        <w:rPr>
          <w:rFonts w:cstheme="minorHAnsi"/>
          <w:color w:val="313131"/>
          <w:lang w:eastAsia="en-AU"/>
        </w:rPr>
        <w:t xml:space="preserve"> about</w:t>
      </w:r>
      <w:r w:rsidR="004315C2">
        <w:rPr>
          <w:rFonts w:cstheme="minorHAnsi"/>
          <w:color w:val="313131"/>
          <w:lang w:eastAsia="en-AU"/>
        </w:rPr>
        <w:t>)</w:t>
      </w:r>
      <w:r w:rsidR="009C3C58">
        <w:rPr>
          <w:rFonts w:cstheme="minorHAnsi"/>
          <w:color w:val="313131"/>
          <w:lang w:eastAsia="en-AU"/>
        </w:rPr>
        <w:t xml:space="preserve"> purposes and processes of Federation</w:t>
      </w:r>
      <w:r w:rsidR="00A60BCF">
        <w:rPr>
          <w:rFonts w:cstheme="minorHAnsi"/>
          <w:color w:val="313131"/>
          <w:lang w:eastAsia="en-AU"/>
        </w:rPr>
        <w:t>.</w:t>
      </w:r>
    </w:p>
    <w:p w14:paraId="1C712E9F" w14:textId="77777777" w:rsidR="00A60BCF" w:rsidRDefault="00A60BCF" w:rsidP="000C029B">
      <w:pPr>
        <w:spacing w:after="0" w:line="240" w:lineRule="auto"/>
        <w:rPr>
          <w:rFonts w:cstheme="minorHAnsi"/>
          <w:color w:val="313131"/>
          <w:lang w:eastAsia="en-AU"/>
        </w:rPr>
      </w:pPr>
    </w:p>
    <w:p w14:paraId="3920A1A8" w14:textId="01C0AA66" w:rsidR="00A60BCF" w:rsidRDefault="00BF517E" w:rsidP="000C029B">
      <w:pPr>
        <w:spacing w:after="0" w:line="240" w:lineRule="auto"/>
        <w:rPr>
          <w:rFonts w:cstheme="minorHAnsi"/>
          <w:color w:val="313131"/>
          <w:lang w:eastAsia="en-AU"/>
        </w:rPr>
      </w:pPr>
      <w:proofErr w:type="gramStart"/>
      <w:r>
        <w:rPr>
          <w:rFonts w:cstheme="minorHAnsi"/>
          <w:color w:val="313131"/>
          <w:lang w:eastAsia="en-AU"/>
        </w:rPr>
        <w:t>In particular</w:t>
      </w:r>
      <w:r w:rsidR="00DE657D">
        <w:rPr>
          <w:rFonts w:cstheme="minorHAnsi"/>
          <w:color w:val="313131"/>
          <w:lang w:eastAsia="en-AU"/>
        </w:rPr>
        <w:t>,</w:t>
      </w:r>
      <w:r w:rsidR="00A60BCF">
        <w:rPr>
          <w:rFonts w:cstheme="minorHAnsi"/>
          <w:color w:val="313131"/>
          <w:lang w:eastAsia="en-AU"/>
        </w:rPr>
        <w:t xml:space="preserve"> </w:t>
      </w:r>
      <w:r>
        <w:rPr>
          <w:rFonts w:cstheme="minorHAnsi"/>
          <w:color w:val="313131"/>
          <w:lang w:eastAsia="en-AU"/>
        </w:rPr>
        <w:t>drift</w:t>
      </w:r>
      <w:proofErr w:type="gramEnd"/>
      <w:r>
        <w:rPr>
          <w:rFonts w:cstheme="minorHAnsi"/>
          <w:color w:val="313131"/>
          <w:lang w:eastAsia="en-AU"/>
        </w:rPr>
        <w:t xml:space="preserve"> and lack of direction </w:t>
      </w:r>
      <w:r w:rsidR="001C622B">
        <w:rPr>
          <w:rFonts w:cstheme="minorHAnsi"/>
          <w:color w:val="313131"/>
          <w:lang w:eastAsia="en-AU"/>
        </w:rPr>
        <w:t xml:space="preserve">will </w:t>
      </w:r>
      <w:r w:rsidR="005D0B8C">
        <w:rPr>
          <w:rFonts w:cstheme="minorHAnsi"/>
          <w:color w:val="313131"/>
          <w:lang w:eastAsia="en-AU"/>
        </w:rPr>
        <w:t>continue</w:t>
      </w:r>
      <w:r w:rsidR="001C622B">
        <w:rPr>
          <w:rFonts w:cstheme="minorHAnsi"/>
          <w:color w:val="313131"/>
          <w:lang w:eastAsia="en-AU"/>
        </w:rPr>
        <w:t xml:space="preserve"> while-ever there remains </w:t>
      </w:r>
      <w:r w:rsidR="006D4C22">
        <w:rPr>
          <w:rFonts w:cstheme="minorHAnsi"/>
          <w:color w:val="313131"/>
          <w:lang w:eastAsia="en-AU"/>
        </w:rPr>
        <w:t>the</w:t>
      </w:r>
      <w:r>
        <w:rPr>
          <w:rFonts w:cstheme="minorHAnsi"/>
          <w:color w:val="313131"/>
          <w:lang w:eastAsia="en-AU"/>
        </w:rPr>
        <w:t xml:space="preserve"> </w:t>
      </w:r>
      <w:r w:rsidR="00DE657D">
        <w:rPr>
          <w:rFonts w:cstheme="minorHAnsi"/>
          <w:color w:val="313131"/>
          <w:lang w:eastAsia="en-AU"/>
        </w:rPr>
        <w:t>(</w:t>
      </w:r>
      <w:r w:rsidR="006D4C22">
        <w:rPr>
          <w:rFonts w:cstheme="minorHAnsi"/>
          <w:color w:val="313131"/>
          <w:lang w:eastAsia="en-AU"/>
        </w:rPr>
        <w:t>since 2014 wrong)</w:t>
      </w:r>
      <w:r w:rsidR="00DE657D">
        <w:rPr>
          <w:rFonts w:cstheme="minorHAnsi"/>
          <w:color w:val="313131"/>
          <w:lang w:eastAsia="en-AU"/>
        </w:rPr>
        <w:t xml:space="preserve"> </w:t>
      </w:r>
      <w:r>
        <w:rPr>
          <w:rFonts w:cstheme="minorHAnsi"/>
          <w:color w:val="313131"/>
          <w:lang w:eastAsia="en-AU"/>
        </w:rPr>
        <w:t>view</w:t>
      </w:r>
      <w:r w:rsidR="00A60BCF">
        <w:rPr>
          <w:rFonts w:cstheme="minorHAnsi"/>
          <w:color w:val="313131"/>
          <w:lang w:eastAsia="en-AU"/>
        </w:rPr>
        <w:t xml:space="preserve"> ‘national significan</w:t>
      </w:r>
      <w:r>
        <w:rPr>
          <w:rFonts w:cstheme="minorHAnsi"/>
          <w:color w:val="313131"/>
          <w:lang w:eastAsia="en-AU"/>
        </w:rPr>
        <w:t xml:space="preserve">ce’ is </w:t>
      </w:r>
      <w:r w:rsidR="001C622B">
        <w:rPr>
          <w:rFonts w:cstheme="minorHAnsi"/>
          <w:color w:val="313131"/>
          <w:lang w:eastAsia="en-AU"/>
        </w:rPr>
        <w:t>the</w:t>
      </w:r>
      <w:r>
        <w:rPr>
          <w:rFonts w:cstheme="minorHAnsi"/>
          <w:color w:val="313131"/>
          <w:lang w:eastAsia="en-AU"/>
        </w:rPr>
        <w:t xml:space="preserve"> criterion for </w:t>
      </w:r>
      <w:r w:rsidR="00A60BCF">
        <w:rPr>
          <w:rFonts w:cstheme="minorHAnsi"/>
          <w:color w:val="313131"/>
          <w:lang w:eastAsia="en-AU"/>
        </w:rPr>
        <w:t>Commonwealth Government</w:t>
      </w:r>
      <w:r>
        <w:rPr>
          <w:rFonts w:cstheme="minorHAnsi"/>
          <w:color w:val="313131"/>
          <w:lang w:eastAsia="en-AU"/>
        </w:rPr>
        <w:t xml:space="preserve"> interest</w:t>
      </w:r>
      <w:r w:rsidR="00A60BCF">
        <w:rPr>
          <w:rFonts w:cstheme="minorHAnsi"/>
          <w:color w:val="313131"/>
          <w:lang w:eastAsia="en-AU"/>
        </w:rPr>
        <w:t>.</w:t>
      </w:r>
      <w:r>
        <w:rPr>
          <w:rFonts w:cstheme="minorHAnsi"/>
          <w:color w:val="313131"/>
          <w:lang w:eastAsia="en-AU"/>
        </w:rPr>
        <w:t xml:space="preserve">  As the Government determines what is nationally significant, that criterion is circular and it is inevitable its use will result in drift, </w:t>
      </w:r>
      <w:proofErr w:type="gramStart"/>
      <w:r>
        <w:rPr>
          <w:rFonts w:cstheme="minorHAnsi"/>
          <w:color w:val="313131"/>
          <w:lang w:eastAsia="en-AU"/>
        </w:rPr>
        <w:t>flux</w:t>
      </w:r>
      <w:proofErr w:type="gramEnd"/>
      <w:r>
        <w:rPr>
          <w:rFonts w:cstheme="minorHAnsi"/>
          <w:color w:val="313131"/>
          <w:lang w:eastAsia="en-AU"/>
        </w:rPr>
        <w:t xml:space="preserve"> and policy instability.</w:t>
      </w:r>
    </w:p>
    <w:p w14:paraId="2E4C68F3" w14:textId="77777777" w:rsidR="00A60BCF" w:rsidRDefault="00A60BCF" w:rsidP="000C029B">
      <w:pPr>
        <w:spacing w:after="0" w:line="240" w:lineRule="auto"/>
        <w:rPr>
          <w:rFonts w:cstheme="minorHAnsi"/>
          <w:color w:val="313131"/>
          <w:lang w:eastAsia="en-AU"/>
        </w:rPr>
      </w:pPr>
    </w:p>
    <w:p w14:paraId="508E6362" w14:textId="7039836B" w:rsidR="00EB2227" w:rsidRDefault="001C622B" w:rsidP="00EF406A">
      <w:pPr>
        <w:spacing w:after="0" w:line="240" w:lineRule="auto"/>
        <w:rPr>
          <w:rFonts w:cstheme="minorHAnsi"/>
          <w:color w:val="313131"/>
          <w:lang w:eastAsia="en-AU"/>
        </w:rPr>
      </w:pPr>
      <w:r>
        <w:rPr>
          <w:rFonts w:cstheme="minorHAnsi"/>
          <w:color w:val="313131"/>
          <w:lang w:eastAsia="en-AU"/>
        </w:rPr>
        <w:t xml:space="preserve">Bases other than ‘national significance’ or size </w:t>
      </w:r>
      <w:r w:rsidR="00DE657D">
        <w:rPr>
          <w:rFonts w:cstheme="minorHAnsi"/>
          <w:color w:val="313131"/>
          <w:lang w:eastAsia="en-AU"/>
        </w:rPr>
        <w:t>are</w:t>
      </w:r>
      <w:r>
        <w:rPr>
          <w:rFonts w:cstheme="minorHAnsi"/>
          <w:color w:val="313131"/>
          <w:lang w:eastAsia="en-AU"/>
        </w:rPr>
        <w:t xml:space="preserve"> needed for a proper Commonwealth and national approach to infrastructure.</w:t>
      </w:r>
      <w:r w:rsidR="005D0B8C">
        <w:rPr>
          <w:rFonts w:cstheme="minorHAnsi"/>
          <w:color w:val="313131"/>
          <w:lang w:eastAsia="en-AU"/>
        </w:rPr>
        <w:t xml:space="preserve">  </w:t>
      </w:r>
      <w:r>
        <w:rPr>
          <w:rFonts w:cstheme="minorHAnsi"/>
          <w:color w:val="313131"/>
          <w:lang w:eastAsia="en-AU"/>
        </w:rPr>
        <w:t>The Williams (No.2) case provides some guidance.</w:t>
      </w:r>
    </w:p>
    <w:p w14:paraId="0904BD78" w14:textId="75F7BED4" w:rsidR="00EB2227" w:rsidRDefault="00EB2227" w:rsidP="000C029B">
      <w:pPr>
        <w:spacing w:after="0" w:line="240" w:lineRule="auto"/>
        <w:rPr>
          <w:rFonts w:cstheme="minorHAnsi"/>
          <w:color w:val="313131"/>
          <w:lang w:eastAsia="en-AU"/>
        </w:rPr>
      </w:pPr>
    </w:p>
    <w:p w14:paraId="3C60CF6A" w14:textId="5306C8E3" w:rsidR="007E6795" w:rsidRDefault="007E6795" w:rsidP="007E6795">
      <w:pPr>
        <w:pStyle w:val="Heading3"/>
        <w:rPr>
          <w:lang w:eastAsia="en-AU"/>
        </w:rPr>
      </w:pPr>
      <w:bookmarkStart w:id="23" w:name="_Toc111195442"/>
      <w:r>
        <w:rPr>
          <w:lang w:eastAsia="en-AU"/>
        </w:rPr>
        <w:t>6.5</w:t>
      </w:r>
      <w:r>
        <w:rPr>
          <w:lang w:eastAsia="en-AU"/>
        </w:rPr>
        <w:tab/>
        <w:t>Guiding questions</w:t>
      </w:r>
      <w:bookmarkEnd w:id="23"/>
    </w:p>
    <w:p w14:paraId="0AF29C58" w14:textId="2180ADEB" w:rsidR="004315C2" w:rsidRDefault="00764F54" w:rsidP="007E6795">
      <w:pPr>
        <w:rPr>
          <w:lang w:eastAsia="en-AU"/>
        </w:rPr>
      </w:pPr>
      <w:r>
        <w:rPr>
          <w:lang w:eastAsia="en-AU"/>
        </w:rPr>
        <w:t xml:space="preserve">The guiding questions drift.  They assert several different versions of the purpose of Infrastructure Australia.  </w:t>
      </w:r>
      <w:r w:rsidR="004315C2">
        <w:rPr>
          <w:lang w:eastAsia="en-AU"/>
        </w:rPr>
        <w:t>E</w:t>
      </w:r>
      <w:r>
        <w:rPr>
          <w:lang w:eastAsia="en-AU"/>
        </w:rPr>
        <w:t xml:space="preserve">xplicit assertions have purposes relating to </w:t>
      </w:r>
      <w:r w:rsidR="00AC4F5D">
        <w:rPr>
          <w:lang w:eastAsia="en-AU"/>
        </w:rPr>
        <w:t>t</w:t>
      </w:r>
      <w:r>
        <w:rPr>
          <w:lang w:eastAsia="en-AU"/>
        </w:rPr>
        <w:t>he Government and the Commonwealth.</w:t>
      </w:r>
      <w:r w:rsidR="004315C2">
        <w:rPr>
          <w:lang w:eastAsia="en-AU"/>
        </w:rPr>
        <w:t xml:space="preserve"> </w:t>
      </w:r>
    </w:p>
    <w:p w14:paraId="1DFAC62F" w14:textId="663BE135" w:rsidR="004315C2" w:rsidRDefault="00764F54" w:rsidP="007E6795">
      <w:pPr>
        <w:rPr>
          <w:lang w:eastAsia="en-AU"/>
        </w:rPr>
      </w:pPr>
      <w:r>
        <w:rPr>
          <w:lang w:eastAsia="en-AU"/>
        </w:rPr>
        <w:t>However, many questions implicitly assert there is or should be some desirable role, or result, of</w:t>
      </w:r>
      <w:r w:rsidR="00E0698F">
        <w:rPr>
          <w:lang w:eastAsia="en-AU"/>
        </w:rPr>
        <w:t xml:space="preserve"> ‘product’ </w:t>
      </w:r>
      <w:r>
        <w:rPr>
          <w:lang w:eastAsia="en-AU"/>
        </w:rPr>
        <w:t>assisting others, including potential beneficiaries of government decisions on its advice.</w:t>
      </w:r>
      <w:r w:rsidR="004315C2">
        <w:rPr>
          <w:lang w:eastAsia="en-AU"/>
        </w:rPr>
        <w:t xml:space="preserve">  That suggests possible conceptions that location of functions of advising government about provision of public monies to other parties should be partly based on perceptions of organisations’ popularity outside Parliament including among potential beneficiaries.</w:t>
      </w:r>
      <w:r w:rsidR="00AC4F5D">
        <w:rPr>
          <w:lang w:eastAsia="en-AU"/>
        </w:rPr>
        <w:t xml:space="preserve">  The present type of review should not be </w:t>
      </w:r>
      <w:r w:rsidR="00F049FB">
        <w:rPr>
          <w:lang w:eastAsia="en-AU"/>
        </w:rPr>
        <w:t>(</w:t>
      </w:r>
      <w:r w:rsidR="00AC4F5D">
        <w:rPr>
          <w:lang w:eastAsia="en-AU"/>
        </w:rPr>
        <w:t>influenced by</w:t>
      </w:r>
      <w:r w:rsidR="00F049FB">
        <w:rPr>
          <w:lang w:eastAsia="en-AU"/>
        </w:rPr>
        <w:t>)</w:t>
      </w:r>
      <w:r w:rsidR="00AC4F5D">
        <w:rPr>
          <w:lang w:eastAsia="en-AU"/>
        </w:rPr>
        <w:t xml:space="preserve"> a popularity contest.</w:t>
      </w:r>
    </w:p>
    <w:p w14:paraId="68ED022A" w14:textId="7CAE1B89" w:rsidR="00DC2007" w:rsidRDefault="00E0698F" w:rsidP="007E6795">
      <w:pPr>
        <w:rPr>
          <w:lang w:eastAsia="en-AU"/>
        </w:rPr>
      </w:pPr>
      <w:r>
        <w:rPr>
          <w:lang w:eastAsia="en-AU"/>
        </w:rPr>
        <w:t>T</w:t>
      </w:r>
      <w:r w:rsidR="00DC2007">
        <w:rPr>
          <w:lang w:eastAsia="en-AU"/>
        </w:rPr>
        <w:t>he context and placement of t</w:t>
      </w:r>
      <w:r>
        <w:rPr>
          <w:lang w:eastAsia="en-AU"/>
        </w:rPr>
        <w:t>erminology such a</w:t>
      </w:r>
      <w:r w:rsidR="00DC2007">
        <w:rPr>
          <w:lang w:eastAsia="en-AU"/>
        </w:rPr>
        <w:t>s</w:t>
      </w:r>
      <w:r>
        <w:rPr>
          <w:lang w:eastAsia="en-AU"/>
        </w:rPr>
        <w:t xml:space="preserve"> ‘nationally significant</w:t>
      </w:r>
      <w:proofErr w:type="gramStart"/>
      <w:r>
        <w:rPr>
          <w:lang w:eastAsia="en-AU"/>
        </w:rPr>
        <w:t>’,</w:t>
      </w:r>
      <w:proofErr w:type="gramEnd"/>
      <w:r>
        <w:rPr>
          <w:lang w:eastAsia="en-AU"/>
        </w:rPr>
        <w:t xml:space="preserve"> ‘independent’, ‘infrastructure body’, ‘product’,</w:t>
      </w:r>
      <w:r w:rsidR="00DC2007">
        <w:rPr>
          <w:lang w:eastAsia="en-AU"/>
        </w:rPr>
        <w:t xml:space="preserve"> ‘integrity’</w:t>
      </w:r>
      <w:r w:rsidR="004315C2">
        <w:rPr>
          <w:lang w:eastAsia="en-AU"/>
        </w:rPr>
        <w:t xml:space="preserve">, </w:t>
      </w:r>
      <w:r w:rsidR="00DC2007">
        <w:rPr>
          <w:lang w:eastAsia="en-AU"/>
        </w:rPr>
        <w:t xml:space="preserve">‘Cities’ </w:t>
      </w:r>
      <w:r w:rsidR="004315C2">
        <w:rPr>
          <w:lang w:eastAsia="en-AU"/>
        </w:rPr>
        <w:t xml:space="preserve">and ‘business approach’ </w:t>
      </w:r>
      <w:r w:rsidR="00AC4F5D">
        <w:rPr>
          <w:lang w:eastAsia="en-AU"/>
        </w:rPr>
        <w:t xml:space="preserve">may </w:t>
      </w:r>
      <w:r w:rsidR="00DC2007">
        <w:rPr>
          <w:lang w:eastAsia="en-AU"/>
        </w:rPr>
        <w:t>also indicate</w:t>
      </w:r>
      <w:r w:rsidR="00AC4F5D">
        <w:rPr>
          <w:lang w:eastAsia="en-AU"/>
        </w:rPr>
        <w:t xml:space="preserve"> adherence</w:t>
      </w:r>
      <w:r w:rsidR="00DC2007">
        <w:rPr>
          <w:lang w:eastAsia="en-AU"/>
        </w:rPr>
        <w:t xml:space="preserve"> </w:t>
      </w:r>
      <w:r w:rsidR="00AC4F5D">
        <w:rPr>
          <w:lang w:eastAsia="en-AU"/>
        </w:rPr>
        <w:t xml:space="preserve">to </w:t>
      </w:r>
      <w:r w:rsidR="0088348E">
        <w:rPr>
          <w:lang w:eastAsia="en-AU"/>
        </w:rPr>
        <w:t>outdated views</w:t>
      </w:r>
      <w:r w:rsidR="00DC2007">
        <w:rPr>
          <w:lang w:eastAsia="en-AU"/>
        </w:rPr>
        <w:t xml:space="preserve"> that significantly contribute to problems identified in this submission, including Federal integrity.</w:t>
      </w:r>
    </w:p>
    <w:sectPr w:rsidR="00DC20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BBC6" w14:textId="77777777" w:rsidR="00B7030F" w:rsidRDefault="00B7030F" w:rsidP="0053298D">
      <w:pPr>
        <w:spacing w:after="0" w:line="240" w:lineRule="auto"/>
      </w:pPr>
      <w:r>
        <w:separator/>
      </w:r>
    </w:p>
  </w:endnote>
  <w:endnote w:type="continuationSeparator" w:id="0">
    <w:p w14:paraId="10B553D0" w14:textId="77777777" w:rsidR="00B7030F" w:rsidRDefault="00B7030F" w:rsidP="0053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BCA3" w14:textId="77777777" w:rsidR="001C20AD" w:rsidRDefault="001C2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34624"/>
      <w:docPartObj>
        <w:docPartGallery w:val="Page Numbers (Bottom of Page)"/>
        <w:docPartUnique/>
      </w:docPartObj>
    </w:sdtPr>
    <w:sdtEndPr>
      <w:rPr>
        <w:noProof/>
      </w:rPr>
    </w:sdtEndPr>
    <w:sdtContent>
      <w:p w14:paraId="7E61E363" w14:textId="56C41607" w:rsidR="001C20AD" w:rsidRDefault="001C2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86BAE" w14:textId="77777777" w:rsidR="001C20AD" w:rsidRDefault="001C2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F9C6" w14:textId="77777777" w:rsidR="001C20AD" w:rsidRDefault="001C2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7E44" w14:textId="77777777" w:rsidR="00B7030F" w:rsidRDefault="00B7030F" w:rsidP="0053298D">
      <w:pPr>
        <w:spacing w:after="0" w:line="240" w:lineRule="auto"/>
      </w:pPr>
      <w:r>
        <w:separator/>
      </w:r>
    </w:p>
  </w:footnote>
  <w:footnote w:type="continuationSeparator" w:id="0">
    <w:p w14:paraId="27654E16" w14:textId="77777777" w:rsidR="00B7030F" w:rsidRDefault="00B7030F" w:rsidP="0053298D">
      <w:pPr>
        <w:spacing w:after="0" w:line="240" w:lineRule="auto"/>
      </w:pPr>
      <w:r>
        <w:continuationSeparator/>
      </w:r>
    </w:p>
  </w:footnote>
  <w:footnote w:id="1">
    <w:p w14:paraId="3F43F6C7" w14:textId="2B7F451B" w:rsidR="0053298D" w:rsidRPr="00381D79" w:rsidRDefault="0053298D">
      <w:pPr>
        <w:pStyle w:val="FootnoteText"/>
        <w:rPr>
          <w:sz w:val="16"/>
          <w:szCs w:val="16"/>
        </w:rPr>
      </w:pPr>
      <w:r w:rsidRPr="00381D79">
        <w:rPr>
          <w:rStyle w:val="FootnoteReference"/>
          <w:sz w:val="16"/>
          <w:szCs w:val="16"/>
        </w:rPr>
        <w:footnoteRef/>
      </w:r>
      <w:r w:rsidRPr="00381D79">
        <w:rPr>
          <w:sz w:val="16"/>
          <w:szCs w:val="16"/>
        </w:rPr>
        <w:t xml:space="preserve"> Except for the Parliamentary Departments.</w:t>
      </w:r>
    </w:p>
    <w:p w14:paraId="4C8AF1DA" w14:textId="77777777" w:rsidR="00381D79" w:rsidRPr="00381D79" w:rsidRDefault="00381D79">
      <w:pPr>
        <w:pStyle w:val="FootnoteText"/>
        <w:rPr>
          <w:sz w:val="16"/>
          <w:szCs w:val="16"/>
        </w:rPr>
      </w:pPr>
    </w:p>
  </w:footnote>
  <w:footnote w:id="2">
    <w:p w14:paraId="2E943BF5" w14:textId="4675EEC0" w:rsidR="00D51D81" w:rsidRDefault="00D51D81">
      <w:pPr>
        <w:pStyle w:val="FootnoteText"/>
      </w:pPr>
      <w:r w:rsidRPr="00381D79">
        <w:rPr>
          <w:rStyle w:val="FootnoteReference"/>
          <w:sz w:val="16"/>
          <w:szCs w:val="16"/>
        </w:rPr>
        <w:footnoteRef/>
      </w:r>
      <w:r w:rsidRPr="00381D79">
        <w:rPr>
          <w:sz w:val="16"/>
          <w:szCs w:val="16"/>
        </w:rPr>
        <w:t xml:space="preserve"> As the Government is formed from confidence of the majority in the House of Representatives, it is assumed Government wishes for conditions will be accepted by the House.</w:t>
      </w:r>
    </w:p>
  </w:footnote>
  <w:footnote w:id="3">
    <w:p w14:paraId="71A26B53" w14:textId="43855385" w:rsidR="00B11661" w:rsidRPr="00B11661" w:rsidRDefault="00B11661">
      <w:pPr>
        <w:pStyle w:val="FootnoteText"/>
        <w:rPr>
          <w:sz w:val="16"/>
          <w:szCs w:val="16"/>
        </w:rPr>
      </w:pPr>
      <w:r w:rsidRPr="00B11661">
        <w:rPr>
          <w:rStyle w:val="FootnoteReference"/>
          <w:sz w:val="16"/>
          <w:szCs w:val="16"/>
        </w:rPr>
        <w:footnoteRef/>
      </w:r>
      <w:r w:rsidRPr="00B11661">
        <w:rPr>
          <w:sz w:val="16"/>
          <w:szCs w:val="16"/>
        </w:rPr>
        <w:t xml:space="preserve"> Independent in the public policy sense of not being under Government control.  However, it could not be financially independent while it received its income as a result of an Appropriation.</w:t>
      </w:r>
    </w:p>
  </w:footnote>
  <w:footnote w:id="4">
    <w:p w14:paraId="11AD018D" w14:textId="108D29ED" w:rsidR="00491E6C" w:rsidRPr="00491E6C" w:rsidRDefault="00491E6C">
      <w:pPr>
        <w:pStyle w:val="FootnoteText"/>
        <w:rPr>
          <w:sz w:val="16"/>
          <w:szCs w:val="16"/>
        </w:rPr>
      </w:pPr>
      <w:r w:rsidRPr="00491E6C">
        <w:rPr>
          <w:rStyle w:val="FootnoteReference"/>
          <w:sz w:val="16"/>
          <w:szCs w:val="16"/>
        </w:rPr>
        <w:footnoteRef/>
      </w:r>
      <w:r w:rsidRPr="00491E6C">
        <w:rPr>
          <w:sz w:val="16"/>
          <w:szCs w:val="16"/>
        </w:rPr>
        <w:t xml:space="preserve"> A</w:t>
      </w:r>
      <w:r w:rsidRPr="00491E6C">
        <w:rPr>
          <w:rFonts w:cstheme="minorHAnsi"/>
          <w:color w:val="313131"/>
          <w:sz w:val="16"/>
          <w:szCs w:val="16"/>
          <w:lang w:eastAsia="en-AU"/>
        </w:rPr>
        <w:t xml:space="preserve">part from telecommunications </w:t>
      </w:r>
      <w:r>
        <w:rPr>
          <w:rFonts w:cstheme="minorHAnsi"/>
          <w:color w:val="313131"/>
          <w:sz w:val="16"/>
          <w:szCs w:val="16"/>
          <w:lang w:eastAsia="en-AU"/>
        </w:rPr>
        <w:t xml:space="preserve">and aspects of aviation and shipping </w:t>
      </w:r>
      <w:r w:rsidRPr="00491E6C">
        <w:rPr>
          <w:rFonts w:cstheme="minorHAnsi"/>
          <w:color w:val="313131"/>
          <w:sz w:val="16"/>
          <w:szCs w:val="16"/>
          <w:lang w:eastAsia="en-AU"/>
        </w:rPr>
        <w:t xml:space="preserve">which </w:t>
      </w:r>
      <w:r>
        <w:rPr>
          <w:rFonts w:cstheme="minorHAnsi"/>
          <w:color w:val="313131"/>
          <w:sz w:val="16"/>
          <w:szCs w:val="16"/>
          <w:lang w:eastAsia="en-AU"/>
        </w:rPr>
        <w:t>are</w:t>
      </w:r>
      <w:r w:rsidRPr="00491E6C">
        <w:rPr>
          <w:rFonts w:cstheme="minorHAnsi"/>
          <w:color w:val="313131"/>
          <w:sz w:val="16"/>
          <w:szCs w:val="16"/>
          <w:lang w:eastAsia="en-AU"/>
        </w:rPr>
        <w:t xml:space="preserve"> Commonwealth purpose</w:t>
      </w:r>
      <w:r>
        <w:rPr>
          <w:rFonts w:cstheme="minorHAnsi"/>
          <w:color w:val="313131"/>
          <w:sz w:val="16"/>
          <w:szCs w:val="16"/>
          <w:lang w:eastAsia="en-AU"/>
        </w:rPr>
        <w:t>s</w:t>
      </w:r>
      <w:r w:rsidRPr="00491E6C">
        <w:rPr>
          <w:rFonts w:cstheme="minorHAnsi"/>
          <w:color w:val="313131"/>
          <w:sz w:val="16"/>
          <w:szCs w:val="16"/>
          <w:lang w:eastAsia="en-AU"/>
        </w:rPr>
        <w:t>.</w:t>
      </w:r>
    </w:p>
  </w:footnote>
  <w:footnote w:id="5">
    <w:p w14:paraId="4BA03DEE" w14:textId="10550F26" w:rsidR="002A0C6A" w:rsidRDefault="002A0C6A">
      <w:pPr>
        <w:pStyle w:val="FootnoteText"/>
        <w:rPr>
          <w:sz w:val="16"/>
          <w:szCs w:val="16"/>
        </w:rPr>
      </w:pPr>
      <w:r w:rsidRPr="002A0C6A">
        <w:rPr>
          <w:rStyle w:val="FootnoteReference"/>
          <w:sz w:val="16"/>
          <w:szCs w:val="16"/>
        </w:rPr>
        <w:footnoteRef/>
      </w:r>
      <w:r w:rsidRPr="002A0C6A">
        <w:rPr>
          <w:sz w:val="16"/>
          <w:szCs w:val="16"/>
        </w:rPr>
        <w:t xml:space="preserve"> Corporate independence relates to financial matters, not public policy.  Hence the doctrines apply to Government Business/Trading Enterprises, rather than advisory organisations.</w:t>
      </w:r>
    </w:p>
    <w:p w14:paraId="2A32E5FE" w14:textId="77777777" w:rsidR="004664C4" w:rsidRPr="002A0C6A" w:rsidRDefault="004664C4">
      <w:pPr>
        <w:pStyle w:val="FootnoteText"/>
        <w:rPr>
          <w:sz w:val="16"/>
          <w:szCs w:val="16"/>
        </w:rPr>
      </w:pPr>
    </w:p>
  </w:footnote>
  <w:footnote w:id="6">
    <w:p w14:paraId="063C8F45" w14:textId="6CC69FE9" w:rsidR="004664C4" w:rsidRPr="004664C4" w:rsidRDefault="004664C4">
      <w:pPr>
        <w:pStyle w:val="FootnoteText"/>
        <w:rPr>
          <w:sz w:val="16"/>
          <w:szCs w:val="16"/>
        </w:rPr>
      </w:pPr>
      <w:r w:rsidRPr="004664C4">
        <w:rPr>
          <w:rStyle w:val="FootnoteReference"/>
          <w:sz w:val="16"/>
          <w:szCs w:val="16"/>
        </w:rPr>
        <w:footnoteRef/>
      </w:r>
      <w:r w:rsidRPr="004664C4">
        <w:rPr>
          <w:sz w:val="16"/>
          <w:szCs w:val="16"/>
        </w:rPr>
        <w:t xml:space="preserve"> A</w:t>
      </w:r>
      <w:r w:rsidRPr="004664C4">
        <w:rPr>
          <w:rFonts w:cstheme="minorHAnsi"/>
          <w:color w:val="313131"/>
          <w:sz w:val="16"/>
          <w:szCs w:val="16"/>
          <w:lang w:eastAsia="en-AU"/>
        </w:rPr>
        <w:t xml:space="preserve">side from </w:t>
      </w:r>
      <w:r>
        <w:rPr>
          <w:rFonts w:cstheme="minorHAnsi"/>
          <w:color w:val="313131"/>
          <w:sz w:val="16"/>
          <w:szCs w:val="16"/>
          <w:lang w:eastAsia="en-AU"/>
        </w:rPr>
        <w:t xml:space="preserve">limited </w:t>
      </w:r>
      <w:r w:rsidRPr="004664C4">
        <w:rPr>
          <w:rFonts w:cstheme="minorHAnsi"/>
          <w:color w:val="313131"/>
          <w:sz w:val="16"/>
          <w:szCs w:val="16"/>
          <w:lang w:eastAsia="en-AU"/>
        </w:rPr>
        <w:t>railway construction</w:t>
      </w:r>
      <w:r w:rsidRPr="004664C4">
        <w:rPr>
          <w:rFonts w:cstheme="minorHAnsi"/>
          <w:color w:val="313131"/>
          <w:sz w:val="16"/>
          <w:szCs w:val="16"/>
          <w:lang w:eastAsia="en-AU"/>
        </w:rPr>
        <w:t xml:space="preserve"> </w:t>
      </w:r>
      <w:proofErr w:type="gramStart"/>
      <w:r>
        <w:rPr>
          <w:rFonts w:cstheme="minorHAnsi"/>
          <w:color w:val="313131"/>
          <w:sz w:val="16"/>
          <w:szCs w:val="16"/>
          <w:lang w:eastAsia="en-AU"/>
        </w:rPr>
        <w:t>e.g.</w:t>
      </w:r>
      <w:proofErr w:type="gramEnd"/>
      <w:r>
        <w:rPr>
          <w:rFonts w:cstheme="minorHAnsi"/>
          <w:color w:val="313131"/>
          <w:sz w:val="16"/>
          <w:szCs w:val="16"/>
          <w:lang w:eastAsia="en-AU"/>
        </w:rPr>
        <w:t xml:space="preserve"> </w:t>
      </w:r>
      <w:r w:rsidRPr="004664C4">
        <w:rPr>
          <w:rFonts w:cstheme="minorHAnsi"/>
          <w:color w:val="313131"/>
          <w:sz w:val="16"/>
          <w:szCs w:val="16"/>
          <w:lang w:eastAsia="en-AU"/>
        </w:rPr>
        <w:t>with State consent.</w:t>
      </w:r>
    </w:p>
  </w:footnote>
  <w:footnote w:id="7">
    <w:p w14:paraId="5B9515D2" w14:textId="1D5AD2A2" w:rsidR="00B16778" w:rsidRPr="00B16778" w:rsidRDefault="00B16778" w:rsidP="00B16778">
      <w:pPr>
        <w:spacing w:after="0"/>
        <w:rPr>
          <w:rFonts w:cstheme="minorHAnsi"/>
          <w:color w:val="313131"/>
          <w:sz w:val="16"/>
          <w:szCs w:val="16"/>
          <w:lang w:eastAsia="en-AU"/>
        </w:rPr>
      </w:pPr>
      <w:r w:rsidRPr="00B16778">
        <w:rPr>
          <w:rStyle w:val="FootnoteReference"/>
          <w:rFonts w:cstheme="minorHAnsi"/>
          <w:sz w:val="16"/>
          <w:szCs w:val="16"/>
        </w:rPr>
        <w:footnoteRef/>
      </w:r>
      <w:r w:rsidRPr="00B16778">
        <w:rPr>
          <w:rFonts w:cstheme="minorHAnsi"/>
          <w:sz w:val="16"/>
          <w:szCs w:val="16"/>
        </w:rPr>
        <w:t xml:space="preserve"> </w:t>
      </w:r>
      <w:r>
        <w:rPr>
          <w:rFonts w:cstheme="minorHAnsi"/>
          <w:sz w:val="16"/>
          <w:szCs w:val="16"/>
        </w:rPr>
        <w:t xml:space="preserve">At: </w:t>
      </w:r>
      <w:hyperlink r:id="rId1" w:history="1">
        <w:r w:rsidR="00A7457F" w:rsidRPr="005A3DA6">
          <w:rPr>
            <w:rStyle w:val="Hyperlink"/>
            <w:rFonts w:cstheme="minorHAnsi"/>
            <w:sz w:val="16"/>
            <w:szCs w:val="16"/>
          </w:rPr>
          <w:t>https://www.cjccl.ca/wp-content/uploads/2021/05/10-Twomey.pdf</w:t>
        </w:r>
      </w:hyperlink>
      <w:r w:rsidRPr="00B16778">
        <w:rPr>
          <w:rFonts w:cstheme="minorHAnsi"/>
          <w:color w:val="313131"/>
          <w:sz w:val="16"/>
          <w:szCs w:val="16"/>
          <w:lang w:eastAsia="en-AU"/>
        </w:rPr>
        <w:t xml:space="preserve"> </w:t>
      </w:r>
    </w:p>
    <w:p w14:paraId="602F6F2B" w14:textId="0173081D" w:rsidR="00B16778" w:rsidRDefault="00B167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DC72" w14:textId="77777777" w:rsidR="001C20AD" w:rsidRDefault="001C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587" w14:textId="77777777" w:rsidR="001C20AD" w:rsidRDefault="001C2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A447" w14:textId="77777777" w:rsidR="001C20AD" w:rsidRDefault="001C2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0E0"/>
    <w:multiLevelType w:val="hybridMultilevel"/>
    <w:tmpl w:val="C872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F0C96"/>
    <w:multiLevelType w:val="multilevel"/>
    <w:tmpl w:val="131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5646"/>
    <w:multiLevelType w:val="multilevel"/>
    <w:tmpl w:val="185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B5980"/>
    <w:multiLevelType w:val="hybridMultilevel"/>
    <w:tmpl w:val="53B009E8"/>
    <w:lvl w:ilvl="0" w:tplc="AC282D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AA107B"/>
    <w:multiLevelType w:val="hybridMultilevel"/>
    <w:tmpl w:val="8E525FFE"/>
    <w:lvl w:ilvl="0" w:tplc="5BE6E0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04217"/>
    <w:multiLevelType w:val="multilevel"/>
    <w:tmpl w:val="67E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66561"/>
    <w:multiLevelType w:val="hybridMultilevel"/>
    <w:tmpl w:val="1A8494EE"/>
    <w:lvl w:ilvl="0" w:tplc="4E628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37E25"/>
    <w:multiLevelType w:val="hybridMultilevel"/>
    <w:tmpl w:val="46FC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2488A"/>
    <w:multiLevelType w:val="hybridMultilevel"/>
    <w:tmpl w:val="624EA782"/>
    <w:lvl w:ilvl="0" w:tplc="46163346">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D523A6"/>
    <w:multiLevelType w:val="multilevel"/>
    <w:tmpl w:val="87E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C52F5"/>
    <w:multiLevelType w:val="hybridMultilevel"/>
    <w:tmpl w:val="28243C08"/>
    <w:lvl w:ilvl="0" w:tplc="5596DF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FC4538"/>
    <w:multiLevelType w:val="hybridMultilevel"/>
    <w:tmpl w:val="1E7E517E"/>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396A9C"/>
    <w:multiLevelType w:val="multilevel"/>
    <w:tmpl w:val="6A3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E0B14"/>
    <w:multiLevelType w:val="hybridMultilevel"/>
    <w:tmpl w:val="3ECC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35E0E"/>
    <w:multiLevelType w:val="hybridMultilevel"/>
    <w:tmpl w:val="237A6646"/>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5B13C8"/>
    <w:multiLevelType w:val="hybridMultilevel"/>
    <w:tmpl w:val="076C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46EAA"/>
    <w:multiLevelType w:val="multilevel"/>
    <w:tmpl w:val="8200D12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7C6320"/>
    <w:multiLevelType w:val="multilevel"/>
    <w:tmpl w:val="1272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716C96"/>
    <w:multiLevelType w:val="hybridMultilevel"/>
    <w:tmpl w:val="EFFA04AE"/>
    <w:lvl w:ilvl="0" w:tplc="F082483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E43DD1"/>
    <w:multiLevelType w:val="hybridMultilevel"/>
    <w:tmpl w:val="2822FAFC"/>
    <w:lvl w:ilvl="0" w:tplc="36A26F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B3A5F"/>
    <w:multiLevelType w:val="hybridMultilevel"/>
    <w:tmpl w:val="04F22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80B3114"/>
    <w:multiLevelType w:val="hybridMultilevel"/>
    <w:tmpl w:val="2D78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0121A4"/>
    <w:multiLevelType w:val="multilevel"/>
    <w:tmpl w:val="7C66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395057">
    <w:abstractNumId w:val="2"/>
  </w:num>
  <w:num w:numId="2" w16cid:durableId="1412432645">
    <w:abstractNumId w:val="5"/>
  </w:num>
  <w:num w:numId="3" w16cid:durableId="389697691">
    <w:abstractNumId w:val="1"/>
  </w:num>
  <w:num w:numId="4" w16cid:durableId="246303220">
    <w:abstractNumId w:val="12"/>
  </w:num>
  <w:num w:numId="5" w16cid:durableId="1398169584">
    <w:abstractNumId w:val="17"/>
  </w:num>
  <w:num w:numId="6" w16cid:durableId="997877375">
    <w:abstractNumId w:val="9"/>
  </w:num>
  <w:num w:numId="7" w16cid:durableId="1831826011">
    <w:abstractNumId w:val="22"/>
  </w:num>
  <w:num w:numId="8" w16cid:durableId="1704397675">
    <w:abstractNumId w:val="10"/>
  </w:num>
  <w:num w:numId="9" w16cid:durableId="1647783509">
    <w:abstractNumId w:val="4"/>
  </w:num>
  <w:num w:numId="10" w16cid:durableId="643047372">
    <w:abstractNumId w:val="16"/>
  </w:num>
  <w:num w:numId="11" w16cid:durableId="246351705">
    <w:abstractNumId w:val="19"/>
  </w:num>
  <w:num w:numId="12" w16cid:durableId="2098793140">
    <w:abstractNumId w:val="3"/>
  </w:num>
  <w:num w:numId="13" w16cid:durableId="2138181763">
    <w:abstractNumId w:val="8"/>
  </w:num>
  <w:num w:numId="14" w16cid:durableId="1035041089">
    <w:abstractNumId w:val="0"/>
  </w:num>
  <w:num w:numId="15" w16cid:durableId="1184589190">
    <w:abstractNumId w:val="11"/>
  </w:num>
  <w:num w:numId="16" w16cid:durableId="339432193">
    <w:abstractNumId w:val="14"/>
  </w:num>
  <w:num w:numId="17" w16cid:durableId="1841651965">
    <w:abstractNumId w:val="6"/>
  </w:num>
  <w:num w:numId="18" w16cid:durableId="620497945">
    <w:abstractNumId w:val="13"/>
  </w:num>
  <w:num w:numId="19" w16cid:durableId="1490247131">
    <w:abstractNumId w:val="21"/>
  </w:num>
  <w:num w:numId="20" w16cid:durableId="1682124133">
    <w:abstractNumId w:val="15"/>
  </w:num>
  <w:num w:numId="21" w16cid:durableId="1308052776">
    <w:abstractNumId w:val="20"/>
  </w:num>
  <w:num w:numId="22" w16cid:durableId="1169564656">
    <w:abstractNumId w:val="18"/>
  </w:num>
  <w:num w:numId="23" w16cid:durableId="345790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19"/>
    <w:rsid w:val="000020EB"/>
    <w:rsid w:val="00007573"/>
    <w:rsid w:val="00047147"/>
    <w:rsid w:val="000534DD"/>
    <w:rsid w:val="00054107"/>
    <w:rsid w:val="0005445D"/>
    <w:rsid w:val="0005462E"/>
    <w:rsid w:val="000636F5"/>
    <w:rsid w:val="00070F5A"/>
    <w:rsid w:val="00074FF5"/>
    <w:rsid w:val="0009731A"/>
    <w:rsid w:val="000A1207"/>
    <w:rsid w:val="000A5AA4"/>
    <w:rsid w:val="000A62F2"/>
    <w:rsid w:val="000B0E9D"/>
    <w:rsid w:val="000C029B"/>
    <w:rsid w:val="000D4AD6"/>
    <w:rsid w:val="000F0426"/>
    <w:rsid w:val="000F0A71"/>
    <w:rsid w:val="000F5FDB"/>
    <w:rsid w:val="00137F50"/>
    <w:rsid w:val="00141F05"/>
    <w:rsid w:val="001636AA"/>
    <w:rsid w:val="00166253"/>
    <w:rsid w:val="00177CDD"/>
    <w:rsid w:val="00186279"/>
    <w:rsid w:val="00186F22"/>
    <w:rsid w:val="00187782"/>
    <w:rsid w:val="001877AB"/>
    <w:rsid w:val="001A4C6E"/>
    <w:rsid w:val="001A7919"/>
    <w:rsid w:val="001B2BB2"/>
    <w:rsid w:val="001C20AD"/>
    <w:rsid w:val="001C43AA"/>
    <w:rsid w:val="001C622B"/>
    <w:rsid w:val="001D2177"/>
    <w:rsid w:val="001E2809"/>
    <w:rsid w:val="001E700C"/>
    <w:rsid w:val="002070C3"/>
    <w:rsid w:val="00210D7E"/>
    <w:rsid w:val="00212BAC"/>
    <w:rsid w:val="00222A0D"/>
    <w:rsid w:val="00225AEE"/>
    <w:rsid w:val="00235C70"/>
    <w:rsid w:val="00241603"/>
    <w:rsid w:val="00270FEE"/>
    <w:rsid w:val="00271EED"/>
    <w:rsid w:val="00282938"/>
    <w:rsid w:val="002A0C6A"/>
    <w:rsid w:val="002C386C"/>
    <w:rsid w:val="002D4299"/>
    <w:rsid w:val="002E0761"/>
    <w:rsid w:val="002F00D7"/>
    <w:rsid w:val="002F0DA5"/>
    <w:rsid w:val="00306580"/>
    <w:rsid w:val="00311A5C"/>
    <w:rsid w:val="00314F3C"/>
    <w:rsid w:val="00381269"/>
    <w:rsid w:val="00381D79"/>
    <w:rsid w:val="00384200"/>
    <w:rsid w:val="00391EED"/>
    <w:rsid w:val="00397F50"/>
    <w:rsid w:val="003A3362"/>
    <w:rsid w:val="003B6DBD"/>
    <w:rsid w:val="003E03A9"/>
    <w:rsid w:val="003E5C05"/>
    <w:rsid w:val="003F01A8"/>
    <w:rsid w:val="003F57D6"/>
    <w:rsid w:val="00406CAD"/>
    <w:rsid w:val="00410CCC"/>
    <w:rsid w:val="004204F6"/>
    <w:rsid w:val="004315C2"/>
    <w:rsid w:val="004664C4"/>
    <w:rsid w:val="00475FEE"/>
    <w:rsid w:val="004827E1"/>
    <w:rsid w:val="004830EA"/>
    <w:rsid w:val="00486217"/>
    <w:rsid w:val="00487EBC"/>
    <w:rsid w:val="00491E6C"/>
    <w:rsid w:val="004A4872"/>
    <w:rsid w:val="004A4EEE"/>
    <w:rsid w:val="004A5FC2"/>
    <w:rsid w:val="004B4387"/>
    <w:rsid w:val="004D182E"/>
    <w:rsid w:val="004F2B33"/>
    <w:rsid w:val="004F4634"/>
    <w:rsid w:val="004F72D1"/>
    <w:rsid w:val="00502213"/>
    <w:rsid w:val="0052292B"/>
    <w:rsid w:val="0053298D"/>
    <w:rsid w:val="0053346B"/>
    <w:rsid w:val="00536F3B"/>
    <w:rsid w:val="00544B00"/>
    <w:rsid w:val="00554FE0"/>
    <w:rsid w:val="00566DA7"/>
    <w:rsid w:val="00575D25"/>
    <w:rsid w:val="005A03E0"/>
    <w:rsid w:val="005B77DA"/>
    <w:rsid w:val="005C1D83"/>
    <w:rsid w:val="005C7412"/>
    <w:rsid w:val="005D0B8C"/>
    <w:rsid w:val="005F7013"/>
    <w:rsid w:val="00600199"/>
    <w:rsid w:val="006100C0"/>
    <w:rsid w:val="00640F1E"/>
    <w:rsid w:val="006573D5"/>
    <w:rsid w:val="00664086"/>
    <w:rsid w:val="006662F3"/>
    <w:rsid w:val="006672B5"/>
    <w:rsid w:val="00677D49"/>
    <w:rsid w:val="00687E9D"/>
    <w:rsid w:val="00691585"/>
    <w:rsid w:val="006A5D42"/>
    <w:rsid w:val="006B4D4E"/>
    <w:rsid w:val="006C2902"/>
    <w:rsid w:val="006D2C37"/>
    <w:rsid w:val="006D4C22"/>
    <w:rsid w:val="006E5EB6"/>
    <w:rsid w:val="00711895"/>
    <w:rsid w:val="00712621"/>
    <w:rsid w:val="00734339"/>
    <w:rsid w:val="00745BFF"/>
    <w:rsid w:val="00764F54"/>
    <w:rsid w:val="00766CF9"/>
    <w:rsid w:val="007868D4"/>
    <w:rsid w:val="00793105"/>
    <w:rsid w:val="007A5A86"/>
    <w:rsid w:val="007B49D1"/>
    <w:rsid w:val="007C29DF"/>
    <w:rsid w:val="007D0352"/>
    <w:rsid w:val="007D1E80"/>
    <w:rsid w:val="007E2A46"/>
    <w:rsid w:val="007E6795"/>
    <w:rsid w:val="007E737E"/>
    <w:rsid w:val="008055E0"/>
    <w:rsid w:val="008269FA"/>
    <w:rsid w:val="0083781B"/>
    <w:rsid w:val="00846686"/>
    <w:rsid w:val="008712F7"/>
    <w:rsid w:val="0088348E"/>
    <w:rsid w:val="008B15A2"/>
    <w:rsid w:val="008C4626"/>
    <w:rsid w:val="008D451A"/>
    <w:rsid w:val="00904495"/>
    <w:rsid w:val="009046E9"/>
    <w:rsid w:val="009125CD"/>
    <w:rsid w:val="00920040"/>
    <w:rsid w:val="009268AD"/>
    <w:rsid w:val="0093477D"/>
    <w:rsid w:val="00947ECE"/>
    <w:rsid w:val="00960BAC"/>
    <w:rsid w:val="009625EE"/>
    <w:rsid w:val="009667F8"/>
    <w:rsid w:val="00966DC9"/>
    <w:rsid w:val="009B097D"/>
    <w:rsid w:val="009C3C58"/>
    <w:rsid w:val="009C6CDC"/>
    <w:rsid w:val="009D303B"/>
    <w:rsid w:val="009E096E"/>
    <w:rsid w:val="009E200B"/>
    <w:rsid w:val="009E5CF7"/>
    <w:rsid w:val="009F58E3"/>
    <w:rsid w:val="009F6A75"/>
    <w:rsid w:val="00A01565"/>
    <w:rsid w:val="00A01C8D"/>
    <w:rsid w:val="00A12A62"/>
    <w:rsid w:val="00A13EDF"/>
    <w:rsid w:val="00A24CF2"/>
    <w:rsid w:val="00A31D9C"/>
    <w:rsid w:val="00A4215C"/>
    <w:rsid w:val="00A55CE1"/>
    <w:rsid w:val="00A60BCF"/>
    <w:rsid w:val="00A61379"/>
    <w:rsid w:val="00A61E61"/>
    <w:rsid w:val="00A7457F"/>
    <w:rsid w:val="00A774E1"/>
    <w:rsid w:val="00A869BA"/>
    <w:rsid w:val="00A94D4E"/>
    <w:rsid w:val="00A96819"/>
    <w:rsid w:val="00A96E9E"/>
    <w:rsid w:val="00AA4F90"/>
    <w:rsid w:val="00AB50CE"/>
    <w:rsid w:val="00AC46EA"/>
    <w:rsid w:val="00AC4F5D"/>
    <w:rsid w:val="00AD19BA"/>
    <w:rsid w:val="00AD3F91"/>
    <w:rsid w:val="00AE0D86"/>
    <w:rsid w:val="00AE42EF"/>
    <w:rsid w:val="00AF0F9F"/>
    <w:rsid w:val="00AF43E5"/>
    <w:rsid w:val="00B0719F"/>
    <w:rsid w:val="00B11661"/>
    <w:rsid w:val="00B16778"/>
    <w:rsid w:val="00B20705"/>
    <w:rsid w:val="00B25FC9"/>
    <w:rsid w:val="00B36E13"/>
    <w:rsid w:val="00B545B9"/>
    <w:rsid w:val="00B54648"/>
    <w:rsid w:val="00B63832"/>
    <w:rsid w:val="00B63C49"/>
    <w:rsid w:val="00B7030F"/>
    <w:rsid w:val="00B73E12"/>
    <w:rsid w:val="00B84E1B"/>
    <w:rsid w:val="00B8706F"/>
    <w:rsid w:val="00BA24B5"/>
    <w:rsid w:val="00BA2DFD"/>
    <w:rsid w:val="00BB2974"/>
    <w:rsid w:val="00BB4CD7"/>
    <w:rsid w:val="00BC1910"/>
    <w:rsid w:val="00BD2CD5"/>
    <w:rsid w:val="00BD75E7"/>
    <w:rsid w:val="00BF517E"/>
    <w:rsid w:val="00C02C63"/>
    <w:rsid w:val="00C36776"/>
    <w:rsid w:val="00C66010"/>
    <w:rsid w:val="00C73A3B"/>
    <w:rsid w:val="00CA090F"/>
    <w:rsid w:val="00CB35F1"/>
    <w:rsid w:val="00CB550F"/>
    <w:rsid w:val="00CC0821"/>
    <w:rsid w:val="00CD2007"/>
    <w:rsid w:val="00CD4412"/>
    <w:rsid w:val="00CE020D"/>
    <w:rsid w:val="00D024A0"/>
    <w:rsid w:val="00D22166"/>
    <w:rsid w:val="00D22CEA"/>
    <w:rsid w:val="00D51674"/>
    <w:rsid w:val="00D51D81"/>
    <w:rsid w:val="00D67022"/>
    <w:rsid w:val="00D7639D"/>
    <w:rsid w:val="00D8475A"/>
    <w:rsid w:val="00D9051E"/>
    <w:rsid w:val="00DB01DB"/>
    <w:rsid w:val="00DB1B44"/>
    <w:rsid w:val="00DB224F"/>
    <w:rsid w:val="00DC2007"/>
    <w:rsid w:val="00DC763C"/>
    <w:rsid w:val="00DD189E"/>
    <w:rsid w:val="00DE201A"/>
    <w:rsid w:val="00DE657D"/>
    <w:rsid w:val="00E0503A"/>
    <w:rsid w:val="00E0698F"/>
    <w:rsid w:val="00E11237"/>
    <w:rsid w:val="00E1141A"/>
    <w:rsid w:val="00E127EF"/>
    <w:rsid w:val="00E14698"/>
    <w:rsid w:val="00E26F13"/>
    <w:rsid w:val="00E327E0"/>
    <w:rsid w:val="00E44182"/>
    <w:rsid w:val="00E470CA"/>
    <w:rsid w:val="00E50E2B"/>
    <w:rsid w:val="00E602D4"/>
    <w:rsid w:val="00E6336D"/>
    <w:rsid w:val="00E8793D"/>
    <w:rsid w:val="00EB18F4"/>
    <w:rsid w:val="00EB2227"/>
    <w:rsid w:val="00ED1EDA"/>
    <w:rsid w:val="00ED5CB2"/>
    <w:rsid w:val="00ED6A77"/>
    <w:rsid w:val="00EE314D"/>
    <w:rsid w:val="00EE6C46"/>
    <w:rsid w:val="00EF077B"/>
    <w:rsid w:val="00EF406A"/>
    <w:rsid w:val="00F01785"/>
    <w:rsid w:val="00F049FB"/>
    <w:rsid w:val="00F12503"/>
    <w:rsid w:val="00F13E9D"/>
    <w:rsid w:val="00F30370"/>
    <w:rsid w:val="00F33557"/>
    <w:rsid w:val="00F42BA7"/>
    <w:rsid w:val="00F431D5"/>
    <w:rsid w:val="00F519BC"/>
    <w:rsid w:val="00F51E3E"/>
    <w:rsid w:val="00F64D57"/>
    <w:rsid w:val="00F72AC8"/>
    <w:rsid w:val="00FA4D61"/>
    <w:rsid w:val="00FA7CE1"/>
    <w:rsid w:val="00FB1B16"/>
    <w:rsid w:val="00FC1E7F"/>
    <w:rsid w:val="00FD0F48"/>
    <w:rsid w:val="00FF5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EF2C"/>
  <w15:chartTrackingRefBased/>
  <w15:docId w15:val="{781F0715-455E-4F8B-8ACC-2C9B0705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7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34339"/>
    <w:pPr>
      <w:spacing w:before="100" w:beforeAutospacing="1" w:after="100" w:afterAutospacing="1" w:line="240" w:lineRule="auto"/>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793105"/>
    <w:pPr>
      <w:keepNext/>
      <w:keepLines/>
      <w:spacing w:before="40" w:after="0"/>
      <w:outlineLvl w:val="2"/>
    </w:pPr>
    <w:rPr>
      <w:rFonts w:eastAsiaTheme="majorEastAsia" w:cstheme="majorBidi"/>
      <w:b/>
      <w:i/>
      <w:color w:val="1F3763" w:themeColor="accent1" w:themeShade="7F"/>
      <w:sz w:val="24"/>
      <w:szCs w:val="24"/>
    </w:rPr>
  </w:style>
  <w:style w:type="paragraph" w:styleId="Heading4">
    <w:name w:val="heading 4"/>
    <w:basedOn w:val="Normal"/>
    <w:next w:val="Normal"/>
    <w:link w:val="Heading4Char"/>
    <w:uiPriority w:val="9"/>
    <w:unhideWhenUsed/>
    <w:qFormat/>
    <w:rsid w:val="005D0B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1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34339"/>
    <w:rPr>
      <w:rFonts w:eastAsia="Times New Roman" w:cs="Times New Roman"/>
      <w:b/>
      <w:bCs/>
      <w:sz w:val="28"/>
      <w:szCs w:val="36"/>
      <w:lang w:eastAsia="en-AU"/>
    </w:rPr>
  </w:style>
  <w:style w:type="character" w:styleId="Hyperlink">
    <w:name w:val="Hyperlink"/>
    <w:basedOn w:val="DefaultParagraphFont"/>
    <w:uiPriority w:val="99"/>
    <w:unhideWhenUsed/>
    <w:rsid w:val="001A7919"/>
    <w:rPr>
      <w:color w:val="0000FF"/>
      <w:u w:val="single"/>
    </w:rPr>
  </w:style>
  <w:style w:type="paragraph" w:styleId="z-TopofForm">
    <w:name w:val="HTML Top of Form"/>
    <w:basedOn w:val="Normal"/>
    <w:next w:val="Normal"/>
    <w:link w:val="z-TopofFormChar"/>
    <w:hidden/>
    <w:uiPriority w:val="99"/>
    <w:semiHidden/>
    <w:unhideWhenUsed/>
    <w:rsid w:val="001A791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A791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A791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A7919"/>
    <w:rPr>
      <w:rFonts w:ascii="Arial" w:eastAsia="Times New Roman" w:hAnsi="Arial" w:cs="Arial"/>
      <w:vanish/>
      <w:sz w:val="16"/>
      <w:szCs w:val="16"/>
      <w:lang w:eastAsia="en-AU"/>
    </w:rPr>
  </w:style>
  <w:style w:type="character" w:customStyle="1" w:styleId="rsbtntext">
    <w:name w:val="rsbtn_text"/>
    <w:basedOn w:val="DefaultParagraphFont"/>
    <w:rsid w:val="001A7919"/>
  </w:style>
  <w:style w:type="paragraph" w:customStyle="1" w:styleId="mediareleasebody">
    <w:name w:val="mediareleasebody"/>
    <w:basedOn w:val="Normal"/>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A7919"/>
    <w:rPr>
      <w:b/>
      <w:bCs/>
    </w:rPr>
  </w:style>
  <w:style w:type="character" w:styleId="Emphasis">
    <w:name w:val="Emphasis"/>
    <w:basedOn w:val="DefaultParagraphFont"/>
    <w:uiPriority w:val="20"/>
    <w:qFormat/>
    <w:rsid w:val="001A7919"/>
    <w:rPr>
      <w:i/>
      <w:iCs/>
    </w:rPr>
  </w:style>
  <w:style w:type="paragraph" w:styleId="NormalWeb">
    <w:name w:val="Normal (Web)"/>
    <w:basedOn w:val="Normal"/>
    <w:uiPriority w:val="99"/>
    <w:unhideWhenUsed/>
    <w:rsid w:val="001A79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F58E3"/>
    <w:rPr>
      <w:color w:val="605E5C"/>
      <w:shd w:val="clear" w:color="auto" w:fill="E1DFDD"/>
    </w:rPr>
  </w:style>
  <w:style w:type="paragraph" w:styleId="ListParagraph">
    <w:name w:val="List Paragraph"/>
    <w:basedOn w:val="Normal"/>
    <w:uiPriority w:val="34"/>
    <w:qFormat/>
    <w:rsid w:val="001E2809"/>
    <w:pPr>
      <w:ind w:left="720"/>
      <w:contextualSpacing/>
    </w:pPr>
  </w:style>
  <w:style w:type="paragraph" w:styleId="FootnoteText">
    <w:name w:val="footnote text"/>
    <w:basedOn w:val="Normal"/>
    <w:link w:val="FootnoteTextChar"/>
    <w:uiPriority w:val="99"/>
    <w:semiHidden/>
    <w:unhideWhenUsed/>
    <w:rsid w:val="00532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98D"/>
    <w:rPr>
      <w:sz w:val="20"/>
      <w:szCs w:val="20"/>
    </w:rPr>
  </w:style>
  <w:style w:type="character" w:styleId="FootnoteReference">
    <w:name w:val="footnote reference"/>
    <w:basedOn w:val="DefaultParagraphFont"/>
    <w:uiPriority w:val="99"/>
    <w:semiHidden/>
    <w:unhideWhenUsed/>
    <w:rsid w:val="0053298D"/>
    <w:rPr>
      <w:vertAlign w:val="superscript"/>
    </w:rPr>
  </w:style>
  <w:style w:type="character" w:customStyle="1" w:styleId="Heading3Char">
    <w:name w:val="Heading 3 Char"/>
    <w:basedOn w:val="DefaultParagraphFont"/>
    <w:link w:val="Heading3"/>
    <w:uiPriority w:val="9"/>
    <w:rsid w:val="00793105"/>
    <w:rPr>
      <w:rFonts w:eastAsiaTheme="majorEastAsia" w:cstheme="majorBidi"/>
      <w:b/>
      <w:i/>
      <w:color w:val="1F3763" w:themeColor="accent1" w:themeShade="7F"/>
      <w:sz w:val="24"/>
      <w:szCs w:val="24"/>
    </w:rPr>
  </w:style>
  <w:style w:type="paragraph" w:styleId="Header">
    <w:name w:val="header"/>
    <w:basedOn w:val="Normal"/>
    <w:link w:val="HeaderChar"/>
    <w:uiPriority w:val="99"/>
    <w:unhideWhenUsed/>
    <w:rsid w:val="001C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AD"/>
  </w:style>
  <w:style w:type="paragraph" w:styleId="Footer">
    <w:name w:val="footer"/>
    <w:basedOn w:val="Normal"/>
    <w:link w:val="FooterChar"/>
    <w:uiPriority w:val="99"/>
    <w:unhideWhenUsed/>
    <w:rsid w:val="001C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AD"/>
  </w:style>
  <w:style w:type="character" w:customStyle="1" w:styleId="Heading4Char">
    <w:name w:val="Heading 4 Char"/>
    <w:basedOn w:val="DefaultParagraphFont"/>
    <w:link w:val="Heading4"/>
    <w:uiPriority w:val="9"/>
    <w:rsid w:val="005D0B8C"/>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877A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1877AB"/>
    <w:pPr>
      <w:spacing w:after="100"/>
      <w:ind w:left="220"/>
    </w:pPr>
  </w:style>
  <w:style w:type="paragraph" w:styleId="TOC3">
    <w:name w:val="toc 3"/>
    <w:basedOn w:val="Normal"/>
    <w:next w:val="Normal"/>
    <w:autoRedefine/>
    <w:uiPriority w:val="39"/>
    <w:unhideWhenUsed/>
    <w:rsid w:val="001877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9423">
      <w:bodyDiv w:val="1"/>
      <w:marLeft w:val="0"/>
      <w:marRight w:val="0"/>
      <w:marTop w:val="0"/>
      <w:marBottom w:val="0"/>
      <w:divBdr>
        <w:top w:val="none" w:sz="0" w:space="0" w:color="auto"/>
        <w:left w:val="none" w:sz="0" w:space="0" w:color="auto"/>
        <w:bottom w:val="none" w:sz="0" w:space="0" w:color="auto"/>
        <w:right w:val="none" w:sz="0" w:space="0" w:color="auto"/>
      </w:divBdr>
      <w:divsChild>
        <w:div w:id="298076392">
          <w:marLeft w:val="0"/>
          <w:marRight w:val="0"/>
          <w:marTop w:val="0"/>
          <w:marBottom w:val="0"/>
          <w:divBdr>
            <w:top w:val="none" w:sz="0" w:space="0" w:color="auto"/>
            <w:left w:val="none" w:sz="0" w:space="0" w:color="auto"/>
            <w:bottom w:val="none" w:sz="0" w:space="0" w:color="auto"/>
            <w:right w:val="none" w:sz="0" w:space="0" w:color="auto"/>
          </w:divBdr>
        </w:div>
        <w:div w:id="2137871644">
          <w:marLeft w:val="0"/>
          <w:marRight w:val="0"/>
          <w:marTop w:val="0"/>
          <w:marBottom w:val="0"/>
          <w:divBdr>
            <w:top w:val="none" w:sz="0" w:space="0" w:color="auto"/>
            <w:left w:val="none" w:sz="0" w:space="0" w:color="auto"/>
            <w:bottom w:val="none" w:sz="0" w:space="0" w:color="auto"/>
            <w:right w:val="none" w:sz="0" w:space="0" w:color="auto"/>
          </w:divBdr>
          <w:divsChild>
            <w:div w:id="1253969187">
              <w:marLeft w:val="0"/>
              <w:marRight w:val="0"/>
              <w:marTop w:val="0"/>
              <w:marBottom w:val="0"/>
              <w:divBdr>
                <w:top w:val="none" w:sz="0" w:space="0" w:color="auto"/>
                <w:left w:val="none" w:sz="0" w:space="0" w:color="auto"/>
                <w:bottom w:val="none" w:sz="0" w:space="0" w:color="auto"/>
                <w:right w:val="none" w:sz="0" w:space="0" w:color="auto"/>
              </w:divBdr>
              <w:divsChild>
                <w:div w:id="390469962">
                  <w:marLeft w:val="0"/>
                  <w:marRight w:val="0"/>
                  <w:marTop w:val="0"/>
                  <w:marBottom w:val="0"/>
                  <w:divBdr>
                    <w:top w:val="none" w:sz="0" w:space="0" w:color="auto"/>
                    <w:left w:val="none" w:sz="0" w:space="0" w:color="auto"/>
                    <w:bottom w:val="none" w:sz="0" w:space="0" w:color="auto"/>
                    <w:right w:val="none" w:sz="0" w:space="0" w:color="auto"/>
                  </w:divBdr>
                  <w:divsChild>
                    <w:div w:id="2093233495">
                      <w:marLeft w:val="0"/>
                      <w:marRight w:val="0"/>
                      <w:marTop w:val="0"/>
                      <w:marBottom w:val="0"/>
                      <w:divBdr>
                        <w:top w:val="none" w:sz="0" w:space="0" w:color="auto"/>
                        <w:left w:val="none" w:sz="0" w:space="0" w:color="auto"/>
                        <w:bottom w:val="none" w:sz="0" w:space="0" w:color="auto"/>
                        <w:right w:val="none" w:sz="0" w:space="0" w:color="auto"/>
                      </w:divBdr>
                    </w:div>
                    <w:div w:id="2059619305">
                      <w:marLeft w:val="0"/>
                      <w:marRight w:val="0"/>
                      <w:marTop w:val="0"/>
                      <w:marBottom w:val="0"/>
                      <w:divBdr>
                        <w:top w:val="none" w:sz="0" w:space="0" w:color="auto"/>
                        <w:left w:val="none" w:sz="0" w:space="0" w:color="auto"/>
                        <w:bottom w:val="none" w:sz="0" w:space="0" w:color="auto"/>
                        <w:right w:val="none" w:sz="0" w:space="0" w:color="auto"/>
                      </w:divBdr>
                      <w:divsChild>
                        <w:div w:id="1020350142">
                          <w:marLeft w:val="0"/>
                          <w:marRight w:val="0"/>
                          <w:marTop w:val="0"/>
                          <w:marBottom w:val="0"/>
                          <w:divBdr>
                            <w:top w:val="none" w:sz="0" w:space="0" w:color="auto"/>
                            <w:left w:val="none" w:sz="0" w:space="0" w:color="auto"/>
                            <w:bottom w:val="none" w:sz="0" w:space="0" w:color="auto"/>
                            <w:right w:val="none" w:sz="0" w:space="0" w:color="auto"/>
                          </w:divBdr>
                          <w:divsChild>
                            <w:div w:id="563372928">
                              <w:marLeft w:val="0"/>
                              <w:marRight w:val="0"/>
                              <w:marTop w:val="0"/>
                              <w:marBottom w:val="0"/>
                              <w:divBdr>
                                <w:top w:val="none" w:sz="0" w:space="0" w:color="auto"/>
                                <w:left w:val="none" w:sz="0" w:space="0" w:color="auto"/>
                                <w:bottom w:val="none" w:sz="0" w:space="0" w:color="auto"/>
                                <w:right w:val="none" w:sz="0" w:space="0" w:color="auto"/>
                              </w:divBdr>
                              <w:divsChild>
                                <w:div w:id="808591219">
                                  <w:marLeft w:val="0"/>
                                  <w:marRight w:val="0"/>
                                  <w:marTop w:val="0"/>
                                  <w:marBottom w:val="0"/>
                                  <w:divBdr>
                                    <w:top w:val="none" w:sz="0" w:space="0" w:color="auto"/>
                                    <w:left w:val="none" w:sz="0" w:space="0" w:color="auto"/>
                                    <w:bottom w:val="none" w:sz="0" w:space="0" w:color="auto"/>
                                    <w:right w:val="none" w:sz="0" w:space="0" w:color="auto"/>
                                  </w:divBdr>
                                  <w:divsChild>
                                    <w:div w:id="1716738523">
                                      <w:marLeft w:val="0"/>
                                      <w:marRight w:val="0"/>
                                      <w:marTop w:val="0"/>
                                      <w:marBottom w:val="0"/>
                                      <w:divBdr>
                                        <w:top w:val="none" w:sz="0" w:space="0" w:color="auto"/>
                                        <w:left w:val="none" w:sz="0" w:space="0" w:color="auto"/>
                                        <w:bottom w:val="none" w:sz="0" w:space="0" w:color="auto"/>
                                        <w:right w:val="none" w:sz="0" w:space="0" w:color="auto"/>
                                      </w:divBdr>
                                    </w:div>
                                    <w:div w:id="1299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21544">
                      <w:marLeft w:val="0"/>
                      <w:marRight w:val="0"/>
                      <w:marTop w:val="0"/>
                      <w:marBottom w:val="0"/>
                      <w:divBdr>
                        <w:top w:val="none" w:sz="0" w:space="0" w:color="auto"/>
                        <w:left w:val="none" w:sz="0" w:space="0" w:color="auto"/>
                        <w:bottom w:val="none" w:sz="0" w:space="0" w:color="auto"/>
                        <w:right w:val="none" w:sz="0" w:space="0" w:color="auto"/>
                      </w:divBdr>
                      <w:divsChild>
                        <w:div w:id="1913925430">
                          <w:marLeft w:val="-180"/>
                          <w:marRight w:val="-180"/>
                          <w:marTop w:val="0"/>
                          <w:marBottom w:val="0"/>
                          <w:divBdr>
                            <w:top w:val="none" w:sz="0" w:space="0" w:color="auto"/>
                            <w:left w:val="none" w:sz="0" w:space="0" w:color="auto"/>
                            <w:bottom w:val="none" w:sz="0" w:space="0" w:color="auto"/>
                            <w:right w:val="none" w:sz="0" w:space="0" w:color="auto"/>
                          </w:divBdr>
                          <w:divsChild>
                            <w:div w:id="1678073035">
                              <w:marLeft w:val="0"/>
                              <w:marRight w:val="0"/>
                              <w:marTop w:val="0"/>
                              <w:marBottom w:val="0"/>
                              <w:divBdr>
                                <w:top w:val="none" w:sz="0" w:space="0" w:color="auto"/>
                                <w:left w:val="none" w:sz="0" w:space="0" w:color="auto"/>
                                <w:bottom w:val="none" w:sz="0" w:space="0" w:color="auto"/>
                                <w:right w:val="none" w:sz="0" w:space="0" w:color="auto"/>
                              </w:divBdr>
                              <w:divsChild>
                                <w:div w:id="1645115476">
                                  <w:marLeft w:val="0"/>
                                  <w:marRight w:val="0"/>
                                  <w:marTop w:val="0"/>
                                  <w:marBottom w:val="0"/>
                                  <w:divBdr>
                                    <w:top w:val="none" w:sz="0" w:space="0" w:color="auto"/>
                                    <w:left w:val="none" w:sz="0" w:space="0" w:color="auto"/>
                                    <w:bottom w:val="none" w:sz="0" w:space="0" w:color="auto"/>
                                    <w:right w:val="none" w:sz="0" w:space="0" w:color="auto"/>
                                  </w:divBdr>
                                  <w:divsChild>
                                    <w:div w:id="11205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8210">
                      <w:marLeft w:val="0"/>
                      <w:marRight w:val="0"/>
                      <w:marTop w:val="0"/>
                      <w:marBottom w:val="0"/>
                      <w:divBdr>
                        <w:top w:val="none" w:sz="0" w:space="0" w:color="auto"/>
                        <w:left w:val="none" w:sz="0" w:space="0" w:color="auto"/>
                        <w:bottom w:val="none" w:sz="0" w:space="0" w:color="auto"/>
                        <w:right w:val="none" w:sz="0" w:space="0" w:color="auto"/>
                      </w:divBdr>
                      <w:divsChild>
                        <w:div w:id="1926840899">
                          <w:marLeft w:val="0"/>
                          <w:marRight w:val="0"/>
                          <w:marTop w:val="0"/>
                          <w:marBottom w:val="0"/>
                          <w:divBdr>
                            <w:top w:val="none" w:sz="0" w:space="0" w:color="auto"/>
                            <w:left w:val="none" w:sz="0" w:space="0" w:color="auto"/>
                            <w:bottom w:val="none" w:sz="0" w:space="0" w:color="auto"/>
                            <w:right w:val="none" w:sz="0" w:space="0" w:color="auto"/>
                          </w:divBdr>
                          <w:divsChild>
                            <w:div w:id="1227835180">
                              <w:marLeft w:val="0"/>
                              <w:marRight w:val="0"/>
                              <w:marTop w:val="0"/>
                              <w:marBottom w:val="0"/>
                              <w:divBdr>
                                <w:top w:val="none" w:sz="0" w:space="0" w:color="auto"/>
                                <w:left w:val="none" w:sz="0" w:space="0" w:color="auto"/>
                                <w:bottom w:val="none" w:sz="0" w:space="0" w:color="auto"/>
                                <w:right w:val="none" w:sz="0" w:space="0" w:color="auto"/>
                              </w:divBdr>
                              <w:divsChild>
                                <w:div w:id="1802923381">
                                  <w:marLeft w:val="-180"/>
                                  <w:marRight w:val="-180"/>
                                  <w:marTop w:val="0"/>
                                  <w:marBottom w:val="0"/>
                                  <w:divBdr>
                                    <w:top w:val="none" w:sz="0" w:space="0" w:color="auto"/>
                                    <w:left w:val="none" w:sz="0" w:space="0" w:color="auto"/>
                                    <w:bottom w:val="none" w:sz="0" w:space="0" w:color="auto"/>
                                    <w:right w:val="none" w:sz="0" w:space="0" w:color="auto"/>
                                  </w:divBdr>
                                  <w:divsChild>
                                    <w:div w:id="341394182">
                                      <w:marLeft w:val="0"/>
                                      <w:marRight w:val="0"/>
                                      <w:marTop w:val="0"/>
                                      <w:marBottom w:val="0"/>
                                      <w:divBdr>
                                        <w:top w:val="none" w:sz="0" w:space="0" w:color="auto"/>
                                        <w:left w:val="none" w:sz="0" w:space="0" w:color="auto"/>
                                        <w:bottom w:val="none" w:sz="0" w:space="0" w:color="auto"/>
                                        <w:right w:val="none" w:sz="0" w:space="0" w:color="auto"/>
                                      </w:divBdr>
                                      <w:divsChild>
                                        <w:div w:id="963314355">
                                          <w:marLeft w:val="0"/>
                                          <w:marRight w:val="0"/>
                                          <w:marTop w:val="0"/>
                                          <w:marBottom w:val="0"/>
                                          <w:divBdr>
                                            <w:top w:val="none" w:sz="0" w:space="0" w:color="auto"/>
                                            <w:left w:val="none" w:sz="0" w:space="0" w:color="auto"/>
                                            <w:bottom w:val="none" w:sz="0" w:space="0" w:color="auto"/>
                                            <w:right w:val="none" w:sz="0" w:space="0" w:color="auto"/>
                                          </w:divBdr>
                                          <w:divsChild>
                                            <w:div w:id="1726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6404">
                  <w:marLeft w:val="0"/>
                  <w:marRight w:val="0"/>
                  <w:marTop w:val="0"/>
                  <w:marBottom w:val="0"/>
                  <w:divBdr>
                    <w:top w:val="none" w:sz="0" w:space="0" w:color="auto"/>
                    <w:left w:val="none" w:sz="0" w:space="0" w:color="auto"/>
                    <w:bottom w:val="none" w:sz="0" w:space="0" w:color="auto"/>
                    <w:right w:val="none" w:sz="0" w:space="0" w:color="auto"/>
                  </w:divBdr>
                  <w:divsChild>
                    <w:div w:id="1656257109">
                      <w:marLeft w:val="0"/>
                      <w:marRight w:val="0"/>
                      <w:marTop w:val="0"/>
                      <w:marBottom w:val="0"/>
                      <w:divBdr>
                        <w:top w:val="none" w:sz="0" w:space="0" w:color="auto"/>
                        <w:left w:val="none" w:sz="0" w:space="0" w:color="auto"/>
                        <w:bottom w:val="none" w:sz="0" w:space="0" w:color="auto"/>
                        <w:right w:val="none" w:sz="0" w:space="0" w:color="auto"/>
                      </w:divBdr>
                      <w:divsChild>
                        <w:div w:id="698701492">
                          <w:marLeft w:val="0"/>
                          <w:marRight w:val="0"/>
                          <w:marTop w:val="0"/>
                          <w:marBottom w:val="0"/>
                          <w:divBdr>
                            <w:top w:val="none" w:sz="0" w:space="0" w:color="auto"/>
                            <w:left w:val="none" w:sz="0" w:space="0" w:color="auto"/>
                            <w:bottom w:val="none" w:sz="0" w:space="0" w:color="auto"/>
                            <w:right w:val="none" w:sz="0" w:space="0" w:color="auto"/>
                          </w:divBdr>
                          <w:divsChild>
                            <w:div w:id="1786196446">
                              <w:marLeft w:val="0"/>
                              <w:marRight w:val="0"/>
                              <w:marTop w:val="0"/>
                              <w:marBottom w:val="0"/>
                              <w:divBdr>
                                <w:top w:val="none" w:sz="0" w:space="0" w:color="auto"/>
                                <w:left w:val="none" w:sz="0" w:space="0" w:color="auto"/>
                                <w:bottom w:val="none" w:sz="0" w:space="0" w:color="auto"/>
                                <w:right w:val="none" w:sz="0" w:space="0" w:color="auto"/>
                              </w:divBdr>
                              <w:divsChild>
                                <w:div w:id="1520310650">
                                  <w:marLeft w:val="0"/>
                                  <w:marRight w:val="0"/>
                                  <w:marTop w:val="0"/>
                                  <w:marBottom w:val="0"/>
                                  <w:divBdr>
                                    <w:top w:val="none" w:sz="0" w:space="0" w:color="auto"/>
                                    <w:left w:val="none" w:sz="0" w:space="0" w:color="auto"/>
                                    <w:bottom w:val="none" w:sz="0" w:space="0" w:color="auto"/>
                                    <w:right w:val="none" w:sz="0" w:space="0" w:color="auto"/>
                                  </w:divBdr>
                                  <w:divsChild>
                                    <w:div w:id="1004093217">
                                      <w:marLeft w:val="0"/>
                                      <w:marRight w:val="0"/>
                                      <w:marTop w:val="0"/>
                                      <w:marBottom w:val="0"/>
                                      <w:divBdr>
                                        <w:top w:val="none" w:sz="0" w:space="0" w:color="auto"/>
                                        <w:left w:val="none" w:sz="0" w:space="0" w:color="auto"/>
                                        <w:bottom w:val="none" w:sz="0" w:space="0" w:color="auto"/>
                                        <w:right w:val="none" w:sz="0" w:space="0" w:color="auto"/>
                                      </w:divBdr>
                                      <w:divsChild>
                                        <w:div w:id="905148209">
                                          <w:marLeft w:val="-180"/>
                                          <w:marRight w:val="-180"/>
                                          <w:marTop w:val="0"/>
                                          <w:marBottom w:val="0"/>
                                          <w:divBdr>
                                            <w:top w:val="none" w:sz="0" w:space="0" w:color="auto"/>
                                            <w:left w:val="none" w:sz="0" w:space="0" w:color="auto"/>
                                            <w:bottom w:val="none" w:sz="0" w:space="0" w:color="auto"/>
                                            <w:right w:val="none" w:sz="0" w:space="0" w:color="auto"/>
                                          </w:divBdr>
                                          <w:divsChild>
                                            <w:div w:id="288053302">
                                              <w:marLeft w:val="0"/>
                                              <w:marRight w:val="0"/>
                                              <w:marTop w:val="0"/>
                                              <w:marBottom w:val="0"/>
                                              <w:divBdr>
                                                <w:top w:val="none" w:sz="0" w:space="0" w:color="auto"/>
                                                <w:left w:val="none" w:sz="0" w:space="0" w:color="auto"/>
                                                <w:bottom w:val="none" w:sz="0" w:space="0" w:color="auto"/>
                                                <w:right w:val="none" w:sz="0" w:space="0" w:color="auto"/>
                                              </w:divBdr>
                                              <w:divsChild>
                                                <w:div w:id="1048258933">
                                                  <w:marLeft w:val="0"/>
                                                  <w:marRight w:val="0"/>
                                                  <w:marTop w:val="0"/>
                                                  <w:marBottom w:val="0"/>
                                                  <w:divBdr>
                                                    <w:top w:val="none" w:sz="0" w:space="0" w:color="auto"/>
                                                    <w:left w:val="none" w:sz="0" w:space="0" w:color="auto"/>
                                                    <w:bottom w:val="none" w:sz="0" w:space="0" w:color="auto"/>
                                                    <w:right w:val="none" w:sz="0" w:space="0" w:color="auto"/>
                                                  </w:divBdr>
                                                  <w:divsChild>
                                                    <w:div w:id="976448702">
                                                      <w:marLeft w:val="0"/>
                                                      <w:marRight w:val="0"/>
                                                      <w:marTop w:val="360"/>
                                                      <w:marBottom w:val="0"/>
                                                      <w:divBdr>
                                                        <w:top w:val="none" w:sz="0" w:space="0" w:color="auto"/>
                                                        <w:left w:val="none" w:sz="0" w:space="0" w:color="auto"/>
                                                        <w:bottom w:val="none" w:sz="0" w:space="0" w:color="auto"/>
                                                        <w:right w:val="none" w:sz="0" w:space="0" w:color="auto"/>
                                                      </w:divBdr>
                                                      <w:divsChild>
                                                        <w:div w:id="1462578557">
                                                          <w:marLeft w:val="0"/>
                                                          <w:marRight w:val="0"/>
                                                          <w:marTop w:val="0"/>
                                                          <w:marBottom w:val="0"/>
                                                          <w:divBdr>
                                                            <w:top w:val="none" w:sz="0" w:space="0" w:color="auto"/>
                                                            <w:left w:val="none" w:sz="0" w:space="0" w:color="auto"/>
                                                            <w:bottom w:val="none" w:sz="0" w:space="0" w:color="auto"/>
                                                            <w:right w:val="none" w:sz="0" w:space="0" w:color="auto"/>
                                                          </w:divBdr>
                                                          <w:divsChild>
                                                            <w:div w:id="1021400005">
                                                              <w:marLeft w:val="0"/>
                                                              <w:marRight w:val="0"/>
                                                              <w:marTop w:val="0"/>
                                                              <w:marBottom w:val="0"/>
                                                              <w:divBdr>
                                                                <w:top w:val="none" w:sz="0" w:space="0" w:color="auto"/>
                                                                <w:left w:val="none" w:sz="0" w:space="0" w:color="auto"/>
                                                                <w:bottom w:val="none" w:sz="0" w:space="0" w:color="auto"/>
                                                                <w:right w:val="none" w:sz="0" w:space="0" w:color="auto"/>
                                                              </w:divBdr>
                                                              <w:divsChild>
                                                                <w:div w:id="37828092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15072106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55677103">
                                      <w:marLeft w:val="-180"/>
                                      <w:marRight w:val="-180"/>
                                      <w:marTop w:val="0"/>
                                      <w:marBottom w:val="0"/>
                                      <w:divBdr>
                                        <w:top w:val="none" w:sz="0" w:space="0" w:color="auto"/>
                                        <w:left w:val="none" w:sz="0" w:space="0" w:color="auto"/>
                                        <w:bottom w:val="none" w:sz="0" w:space="0" w:color="auto"/>
                                        <w:right w:val="none" w:sz="0" w:space="0" w:color="auto"/>
                                      </w:divBdr>
                                      <w:divsChild>
                                        <w:div w:id="1185557798">
                                          <w:marLeft w:val="0"/>
                                          <w:marRight w:val="0"/>
                                          <w:marTop w:val="0"/>
                                          <w:marBottom w:val="0"/>
                                          <w:divBdr>
                                            <w:top w:val="none" w:sz="0" w:space="0" w:color="auto"/>
                                            <w:left w:val="none" w:sz="0" w:space="0" w:color="auto"/>
                                            <w:bottom w:val="none" w:sz="0" w:space="0" w:color="auto"/>
                                            <w:right w:val="none" w:sz="0" w:space="0" w:color="auto"/>
                                          </w:divBdr>
                                          <w:divsChild>
                                            <w:div w:id="380326286">
                                              <w:marLeft w:val="0"/>
                                              <w:marRight w:val="0"/>
                                              <w:marTop w:val="0"/>
                                              <w:marBottom w:val="0"/>
                                              <w:divBdr>
                                                <w:top w:val="none" w:sz="0" w:space="0" w:color="auto"/>
                                                <w:left w:val="none" w:sz="0" w:space="0" w:color="auto"/>
                                                <w:bottom w:val="none" w:sz="0" w:space="0" w:color="auto"/>
                                                <w:right w:val="none" w:sz="0" w:space="0" w:color="auto"/>
                                              </w:divBdr>
                                              <w:divsChild>
                                                <w:div w:id="1553274008">
                                                  <w:marLeft w:val="0"/>
                                                  <w:marRight w:val="0"/>
                                                  <w:marTop w:val="0"/>
                                                  <w:marBottom w:val="0"/>
                                                  <w:divBdr>
                                                    <w:top w:val="none" w:sz="0" w:space="0" w:color="auto"/>
                                                    <w:left w:val="none" w:sz="0" w:space="0" w:color="auto"/>
                                                    <w:bottom w:val="none" w:sz="0" w:space="0" w:color="auto"/>
                                                    <w:right w:val="none" w:sz="0" w:space="0" w:color="auto"/>
                                                  </w:divBdr>
                                                  <w:divsChild>
                                                    <w:div w:id="1606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9662">
                                          <w:marLeft w:val="0"/>
                                          <w:marRight w:val="0"/>
                                          <w:marTop w:val="0"/>
                                          <w:marBottom w:val="0"/>
                                          <w:divBdr>
                                            <w:top w:val="single" w:sz="2" w:space="0" w:color="00AAD3"/>
                                            <w:left w:val="single" w:sz="48" w:space="0" w:color="00AAD3"/>
                                            <w:bottom w:val="single" w:sz="2" w:space="0" w:color="00AAD3"/>
                                            <w:right w:val="single" w:sz="2" w:space="0" w:color="00AAD3"/>
                                          </w:divBdr>
                                          <w:divsChild>
                                            <w:div w:id="739402205">
                                              <w:marLeft w:val="0"/>
                                              <w:marRight w:val="0"/>
                                              <w:marTop w:val="0"/>
                                              <w:marBottom w:val="0"/>
                                              <w:divBdr>
                                                <w:top w:val="none" w:sz="0" w:space="0" w:color="auto"/>
                                                <w:left w:val="none" w:sz="0" w:space="0" w:color="auto"/>
                                                <w:bottom w:val="none" w:sz="0" w:space="0" w:color="auto"/>
                                                <w:right w:val="none" w:sz="0" w:space="0" w:color="auto"/>
                                              </w:divBdr>
                                              <w:divsChild>
                                                <w:div w:id="438333139">
                                                  <w:marLeft w:val="0"/>
                                                  <w:marRight w:val="0"/>
                                                  <w:marTop w:val="0"/>
                                                  <w:marBottom w:val="0"/>
                                                  <w:divBdr>
                                                    <w:top w:val="none" w:sz="0" w:space="0" w:color="auto"/>
                                                    <w:left w:val="none" w:sz="0" w:space="0" w:color="auto"/>
                                                    <w:bottom w:val="none" w:sz="0" w:space="0" w:color="auto"/>
                                                    <w:right w:val="none" w:sz="0" w:space="0" w:color="auto"/>
                                                  </w:divBdr>
                                                </w:div>
                                              </w:divsChild>
                                            </w:div>
                                            <w:div w:id="2091462295">
                                              <w:marLeft w:val="0"/>
                                              <w:marRight w:val="0"/>
                                              <w:marTop w:val="0"/>
                                              <w:marBottom w:val="0"/>
                                              <w:divBdr>
                                                <w:top w:val="none" w:sz="0" w:space="0" w:color="auto"/>
                                                <w:left w:val="none" w:sz="0" w:space="0" w:color="auto"/>
                                                <w:bottom w:val="none" w:sz="0" w:space="0" w:color="auto"/>
                                                <w:right w:val="none" w:sz="0" w:space="0" w:color="auto"/>
                                              </w:divBdr>
                                              <w:divsChild>
                                                <w:div w:id="205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272">
      <w:bodyDiv w:val="1"/>
      <w:marLeft w:val="0"/>
      <w:marRight w:val="0"/>
      <w:marTop w:val="0"/>
      <w:marBottom w:val="0"/>
      <w:divBdr>
        <w:top w:val="none" w:sz="0" w:space="0" w:color="auto"/>
        <w:left w:val="none" w:sz="0" w:space="0" w:color="auto"/>
        <w:bottom w:val="none" w:sz="0" w:space="0" w:color="auto"/>
        <w:right w:val="none" w:sz="0" w:space="0" w:color="auto"/>
      </w:divBdr>
    </w:div>
    <w:div w:id="20194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jccl.ca/wp-content/uploads/2021/05/10-Twom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96D9-0838-44C1-BDF3-2570189B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10903</TotalTime>
  <Pages>10</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42</cp:revision>
  <dcterms:created xsi:type="dcterms:W3CDTF">2022-08-05T03:16:00Z</dcterms:created>
  <dcterms:modified xsi:type="dcterms:W3CDTF">2022-08-17T05:17:00Z</dcterms:modified>
</cp:coreProperties>
</file>