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88" w:rsidRDefault="002E6F88" w:rsidP="00245BAC">
      <w:pPr>
        <w:pStyle w:val="Heading1"/>
        <w:rPr>
          <w:lang w:val="en-AU"/>
        </w:rPr>
      </w:pPr>
      <w:r>
        <w:rPr>
          <w:lang w:val="en-AU"/>
        </w:rPr>
        <w:t>High speed rail</w:t>
      </w:r>
    </w:p>
    <w:p w:rsidR="006D5987" w:rsidRPr="006D5987" w:rsidRDefault="006D5987" w:rsidP="006D5987">
      <w:pPr>
        <w:rPr>
          <w:i/>
          <w:lang w:val="en-AU"/>
        </w:rPr>
      </w:pPr>
      <w:r w:rsidRPr="006D5987">
        <w:rPr>
          <w:i/>
          <w:lang w:val="en-AU"/>
        </w:rPr>
        <w:t>It is claimed in Canberra that the ‘stars are aligning’ for high speed rail.</w:t>
      </w:r>
      <w:r w:rsidRPr="006D5987">
        <w:rPr>
          <w:rStyle w:val="EndnoteReference"/>
          <w:i/>
          <w:lang w:val="en-AU"/>
        </w:rPr>
        <w:endnoteReference w:id="1"/>
      </w:r>
      <w:r w:rsidRPr="006D5987">
        <w:rPr>
          <w:i/>
          <w:lang w:val="en-AU"/>
        </w:rPr>
        <w:t xml:space="preserve">  Perhaps, but before proponents get too carried away, is the best view of alignment from Canberra or elsewhere?</w:t>
      </w:r>
    </w:p>
    <w:p w:rsidR="00760C91" w:rsidRDefault="00760C91" w:rsidP="00760C91">
      <w:pPr>
        <w:pStyle w:val="Heading2"/>
        <w:rPr>
          <w:lang w:val="en-AU"/>
        </w:rPr>
      </w:pPr>
      <w:r>
        <w:rPr>
          <w:lang w:val="en-AU"/>
        </w:rPr>
        <w:t>Background</w:t>
      </w:r>
    </w:p>
    <w:p w:rsidR="002E6F88" w:rsidRDefault="002E6F88" w:rsidP="002E6F88">
      <w:pPr>
        <w:rPr>
          <w:lang w:val="en-AU"/>
        </w:rPr>
      </w:pPr>
      <w:r>
        <w:rPr>
          <w:lang w:val="en-AU"/>
        </w:rPr>
        <w:t>In its latter days, the former Commonwealth Labor Government commissioned a study into high speed rail in Australia.  Its Department of Infrastructure and Transport was to supervise the effort.</w:t>
      </w:r>
      <w:r w:rsidR="00245BAC">
        <w:rPr>
          <w:lang w:val="en-AU"/>
        </w:rPr>
        <w:t xml:space="preserve">  </w:t>
      </w:r>
      <w:r>
        <w:rPr>
          <w:lang w:val="en-AU"/>
        </w:rPr>
        <w:t>The Department established an internal high speed rail unit.  It published two reports on the matter; in 2011 and 2013.</w:t>
      </w:r>
      <w:r w:rsidR="00083F9F">
        <w:rPr>
          <w:lang w:val="en-AU"/>
        </w:rPr>
        <w:t xml:space="preserve">  These were reviewed by an advisory group chaired by the Department and including rail supporters.</w:t>
      </w:r>
      <w:r w:rsidR="00404C0D">
        <w:rPr>
          <w:rStyle w:val="EndnoteReference"/>
          <w:lang w:val="en-AU"/>
        </w:rPr>
        <w:endnoteReference w:id="2"/>
      </w:r>
      <w:r>
        <w:rPr>
          <w:lang w:val="en-AU"/>
        </w:rPr>
        <w:t xml:space="preserve">  </w:t>
      </w:r>
    </w:p>
    <w:p w:rsidR="002E6F88" w:rsidRDefault="002E6F88" w:rsidP="002E6F88">
      <w:pPr>
        <w:rPr>
          <w:lang w:val="en-AU"/>
        </w:rPr>
      </w:pPr>
      <w:r>
        <w:rPr>
          <w:lang w:val="en-AU"/>
        </w:rPr>
        <w:t>The first report present</w:t>
      </w:r>
      <w:r w:rsidR="00083F9F">
        <w:rPr>
          <w:lang w:val="en-AU"/>
        </w:rPr>
        <w:t>ed</w:t>
      </w:r>
      <w:r>
        <w:rPr>
          <w:lang w:val="en-AU"/>
        </w:rPr>
        <w:t xml:space="preserve"> some basic parameters for high speed rail.  It provide</w:t>
      </w:r>
      <w:r w:rsidR="00083F9F">
        <w:rPr>
          <w:lang w:val="en-AU"/>
        </w:rPr>
        <w:t>d</w:t>
      </w:r>
      <w:r>
        <w:rPr>
          <w:lang w:val="en-AU"/>
        </w:rPr>
        <w:t xml:space="preserve"> a short history of Australian consideration of the issues as well as some information on overseas systems, both of which are most welcome inclusions.  It shows indicative routes Brisbane to Melbourne via Sydney, and ma</w:t>
      </w:r>
      <w:r w:rsidR="00083F9F">
        <w:rPr>
          <w:lang w:val="en-AU"/>
        </w:rPr>
        <w:t>d</w:t>
      </w:r>
      <w:r>
        <w:rPr>
          <w:lang w:val="en-AU"/>
        </w:rPr>
        <w:t>e various assumptions about operations, fares and demand.  Cost was estimated to be in the order of $82 billion for the full route. Demand varie</w:t>
      </w:r>
      <w:r w:rsidR="00083F9F">
        <w:rPr>
          <w:lang w:val="en-AU"/>
        </w:rPr>
        <w:t>d</w:t>
      </w:r>
      <w:r>
        <w:rPr>
          <w:lang w:val="en-AU"/>
        </w:rPr>
        <w:t xml:space="preserve"> along </w:t>
      </w:r>
      <w:r w:rsidR="00083F9F">
        <w:rPr>
          <w:lang w:val="en-AU"/>
        </w:rPr>
        <w:t xml:space="preserve">the </w:t>
      </w:r>
      <w:r>
        <w:rPr>
          <w:lang w:val="en-AU"/>
        </w:rPr>
        <w:t xml:space="preserve">route.   </w:t>
      </w:r>
    </w:p>
    <w:p w:rsidR="002E6F88" w:rsidRDefault="002E6F88" w:rsidP="002E6F88">
      <w:pPr>
        <w:rPr>
          <w:lang w:val="en-AU"/>
        </w:rPr>
      </w:pPr>
      <w:r>
        <w:rPr>
          <w:lang w:val="en-AU"/>
        </w:rPr>
        <w:t xml:space="preserve">The second report </w:t>
      </w:r>
      <w:r w:rsidR="00083F9F">
        <w:rPr>
          <w:lang w:val="en-AU"/>
        </w:rPr>
        <w:t>pre</w:t>
      </w:r>
      <w:r>
        <w:rPr>
          <w:lang w:val="en-AU"/>
        </w:rPr>
        <w:t>sented more defined routes, train operation</w:t>
      </w:r>
      <w:r w:rsidR="00083F9F">
        <w:rPr>
          <w:lang w:val="en-AU"/>
        </w:rPr>
        <w:t>s</w:t>
      </w:r>
      <w:r>
        <w:rPr>
          <w:lang w:val="en-AU"/>
        </w:rPr>
        <w:t xml:space="preserve"> and costs.  Costs were over $110 billion.  It recommended reservation of a corridor and staging of construction starting with </w:t>
      </w:r>
      <w:r w:rsidR="00245BAC">
        <w:rPr>
          <w:lang w:val="en-AU"/>
        </w:rPr>
        <w:t>Melbourne</w:t>
      </w:r>
      <w:r w:rsidR="00760C91">
        <w:rPr>
          <w:lang w:val="en-AU"/>
        </w:rPr>
        <w:t>-</w:t>
      </w:r>
      <w:r w:rsidR="00245BAC">
        <w:rPr>
          <w:lang w:val="en-AU"/>
        </w:rPr>
        <w:t xml:space="preserve">Sydney with </w:t>
      </w:r>
      <w:r w:rsidR="00760C91">
        <w:rPr>
          <w:lang w:val="en-AU"/>
        </w:rPr>
        <w:t>a</w:t>
      </w:r>
      <w:r w:rsidR="00245BAC">
        <w:rPr>
          <w:lang w:val="en-AU"/>
        </w:rPr>
        <w:t xml:space="preserve"> first step </w:t>
      </w:r>
      <w:r w:rsidR="00A275AE">
        <w:rPr>
          <w:lang w:val="en-AU"/>
        </w:rPr>
        <w:t>Canberra</w:t>
      </w:r>
      <w:r w:rsidR="00760C91">
        <w:rPr>
          <w:lang w:val="en-AU"/>
        </w:rPr>
        <w:t>-</w:t>
      </w:r>
      <w:r>
        <w:rPr>
          <w:lang w:val="en-AU"/>
        </w:rPr>
        <w:t>Sydney.  It also presented station locations.</w:t>
      </w:r>
    </w:p>
    <w:p w:rsidR="00083F9F" w:rsidRDefault="00083F9F" w:rsidP="002E6F88">
      <w:pPr>
        <w:rPr>
          <w:lang w:val="en-AU"/>
        </w:rPr>
      </w:pPr>
      <w:r>
        <w:rPr>
          <w:lang w:val="en-AU"/>
        </w:rPr>
        <w:t>The report from the advisory group agreed with the basics of the two Departmental reports, was optimistic about high speed rail</w:t>
      </w:r>
      <w:r w:rsidR="00F4555A">
        <w:rPr>
          <w:lang w:val="en-AU"/>
        </w:rPr>
        <w:t>,</w:t>
      </w:r>
      <w:r>
        <w:rPr>
          <w:lang w:val="en-AU"/>
        </w:rPr>
        <w:t xml:space="preserve"> and argued for corridor reservation and a public authority.</w:t>
      </w:r>
    </w:p>
    <w:p w:rsidR="00760C91" w:rsidRDefault="00760C91" w:rsidP="00760C91">
      <w:pPr>
        <w:pStyle w:val="Heading2"/>
        <w:rPr>
          <w:lang w:val="en-AU"/>
        </w:rPr>
      </w:pPr>
      <w:r>
        <w:rPr>
          <w:lang w:val="en-AU"/>
        </w:rPr>
        <w:t>Discussion</w:t>
      </w:r>
    </w:p>
    <w:p w:rsidR="002E6F88" w:rsidRDefault="002E6F88" w:rsidP="002E6F88">
      <w:pPr>
        <w:rPr>
          <w:lang w:val="en-AU"/>
        </w:rPr>
      </w:pPr>
      <w:r>
        <w:rPr>
          <w:lang w:val="en-AU"/>
        </w:rPr>
        <w:t xml:space="preserve">The second </w:t>
      </w:r>
      <w:r w:rsidR="00083F9F">
        <w:rPr>
          <w:lang w:val="en-AU"/>
        </w:rPr>
        <w:t xml:space="preserve">Department </w:t>
      </w:r>
      <w:r>
        <w:rPr>
          <w:lang w:val="en-AU"/>
        </w:rPr>
        <w:t xml:space="preserve">report contained a number of peculiarities such as </w:t>
      </w:r>
      <w:r w:rsidR="007A7FD1">
        <w:rPr>
          <w:lang w:val="en-AU"/>
        </w:rPr>
        <w:t xml:space="preserve">Canberra being on a spur line and </w:t>
      </w:r>
      <w:r>
        <w:rPr>
          <w:lang w:val="en-AU"/>
        </w:rPr>
        <w:t>stations at each of the relatively close towns of Coffs Harbour, Grafton and Casino.  It is unclear why the study opted for Casino rather than the much larger</w:t>
      </w:r>
      <w:r w:rsidR="00083F9F">
        <w:rPr>
          <w:lang w:val="en-AU"/>
        </w:rPr>
        <w:t>,</w:t>
      </w:r>
      <w:r>
        <w:rPr>
          <w:lang w:val="en-AU"/>
        </w:rPr>
        <w:t xml:space="preserve"> more popular </w:t>
      </w:r>
      <w:r w:rsidR="00083F9F">
        <w:rPr>
          <w:lang w:val="en-AU"/>
        </w:rPr>
        <w:t xml:space="preserve">and more accessible centres </w:t>
      </w:r>
      <w:r>
        <w:rPr>
          <w:lang w:val="en-AU"/>
        </w:rPr>
        <w:t>of Lismore or Ballina.  A</w:t>
      </w:r>
      <w:r w:rsidR="00570BAF">
        <w:rPr>
          <w:lang w:val="en-AU"/>
        </w:rPr>
        <w:t>lso</w:t>
      </w:r>
      <w:r>
        <w:rPr>
          <w:lang w:val="en-AU"/>
        </w:rPr>
        <w:t xml:space="preserve"> peculiar </w:t>
      </w:r>
      <w:r w:rsidR="00570BAF">
        <w:rPr>
          <w:lang w:val="en-AU"/>
        </w:rPr>
        <w:t>are</w:t>
      </w:r>
      <w:r>
        <w:rPr>
          <w:lang w:val="en-AU"/>
        </w:rPr>
        <w:t xml:space="preserve"> the proposed station sites well outside of Newcastle and Coffs Harbour.  </w:t>
      </w:r>
    </w:p>
    <w:p w:rsidR="002E6F88" w:rsidRDefault="002E6F88" w:rsidP="002E6F88">
      <w:pPr>
        <w:rPr>
          <w:lang w:val="en-AU"/>
        </w:rPr>
      </w:pPr>
      <w:r>
        <w:rPr>
          <w:lang w:val="en-AU"/>
        </w:rPr>
        <w:t xml:space="preserve">While both </w:t>
      </w:r>
      <w:r w:rsidR="00083F9F">
        <w:rPr>
          <w:lang w:val="en-AU"/>
        </w:rPr>
        <w:t xml:space="preserve">Departmental </w:t>
      </w:r>
      <w:r>
        <w:rPr>
          <w:lang w:val="en-AU"/>
        </w:rPr>
        <w:t xml:space="preserve">reports provided views on transport demand, neither referred to a basic transport property; traffic density.  Density is usually initially assessed by population, or goods, divided by distance to be travelled.  The greater the population, and the shorter the distance, the greater the justification for a transport system.  This should be used as a common sense test to assess the likelihood of various ‘sophisticated’ demand projections.  </w:t>
      </w:r>
    </w:p>
    <w:p w:rsidR="00DA1FE1" w:rsidRDefault="002E6F88" w:rsidP="002E6F88">
      <w:pPr>
        <w:rPr>
          <w:lang w:val="en-AU"/>
        </w:rPr>
      </w:pPr>
      <w:r>
        <w:rPr>
          <w:lang w:val="en-AU"/>
        </w:rPr>
        <w:t>An initial density assessment would not rank Melbourne-Sydney top of the list; while their combined populations are the highest the long distance between them tells.  Rather shorter distances; Wollongong or Newcastle-Sydney and Brisbane-Gold Coast have vastly greater densities.  Table</w:t>
      </w:r>
      <w:r w:rsidR="0067302B">
        <w:rPr>
          <w:lang w:val="en-AU"/>
        </w:rPr>
        <w:t xml:space="preserve"> 1</w:t>
      </w:r>
      <w:r w:rsidR="00D5684B">
        <w:rPr>
          <w:lang w:val="en-AU"/>
        </w:rPr>
        <w:t>.</w:t>
      </w:r>
    </w:p>
    <w:p w:rsidR="00DA1FE1" w:rsidRDefault="00DA1FE1" w:rsidP="00DA1FE1">
      <w:pPr>
        <w:rPr>
          <w:lang w:val="en-AU"/>
        </w:rPr>
      </w:pPr>
      <w:r>
        <w:rPr>
          <w:lang w:val="en-AU"/>
        </w:rPr>
        <w:br w:type="page"/>
      </w:r>
    </w:p>
    <w:p w:rsidR="002E6F88" w:rsidRDefault="002E6F88" w:rsidP="002E6F88">
      <w:pPr>
        <w:rPr>
          <w:lang w:val="en-AU"/>
        </w:rPr>
      </w:pPr>
    </w:p>
    <w:p w:rsidR="002E6F88" w:rsidRPr="00B9495F" w:rsidRDefault="002E6F88" w:rsidP="00245BAC">
      <w:pPr>
        <w:spacing w:after="0"/>
        <w:rPr>
          <w:b/>
          <w:lang w:val="en-AU"/>
        </w:rPr>
      </w:pPr>
      <w:r>
        <w:rPr>
          <w:b/>
          <w:lang w:val="en-AU"/>
        </w:rPr>
        <w:t>Table</w:t>
      </w:r>
      <w:r w:rsidR="0067302B">
        <w:rPr>
          <w:b/>
          <w:lang w:val="en-AU"/>
        </w:rPr>
        <w:t>1</w:t>
      </w:r>
      <w:r>
        <w:rPr>
          <w:b/>
          <w:lang w:val="en-AU"/>
        </w:rPr>
        <w:t xml:space="preserve">: </w:t>
      </w:r>
      <w:r w:rsidR="0067302B">
        <w:rPr>
          <w:b/>
          <w:lang w:val="en-AU"/>
        </w:rPr>
        <w:t xml:space="preserve">Distance </w:t>
      </w:r>
      <w:r>
        <w:rPr>
          <w:b/>
          <w:lang w:val="en-AU"/>
        </w:rPr>
        <w:t xml:space="preserve">density, static </w:t>
      </w:r>
      <w:r w:rsidR="00570BAF">
        <w:rPr>
          <w:b/>
          <w:lang w:val="en-AU"/>
        </w:rPr>
        <w:t xml:space="preserve">2012-14 </w:t>
      </w:r>
      <w:r>
        <w:rPr>
          <w:b/>
          <w:lang w:val="en-AU"/>
        </w:rPr>
        <w:t>end point populations (a)</w:t>
      </w:r>
    </w:p>
    <w:tbl>
      <w:tblPr>
        <w:tblStyle w:val="TableGrid"/>
        <w:tblW w:w="0" w:type="auto"/>
        <w:tblLook w:val="04A0" w:firstRow="1" w:lastRow="0" w:firstColumn="1" w:lastColumn="0" w:noHBand="0" w:noVBand="1"/>
      </w:tblPr>
      <w:tblGrid>
        <w:gridCol w:w="2263"/>
        <w:gridCol w:w="1985"/>
        <w:gridCol w:w="1423"/>
        <w:gridCol w:w="1128"/>
        <w:gridCol w:w="2217"/>
      </w:tblGrid>
      <w:tr w:rsidR="002E6F88" w:rsidRPr="00EE216F" w:rsidTr="006D5987">
        <w:tc>
          <w:tcPr>
            <w:tcW w:w="2263" w:type="dxa"/>
          </w:tcPr>
          <w:p w:rsidR="002E6F88" w:rsidRPr="00EE216F" w:rsidRDefault="002E6F88" w:rsidP="006D5987">
            <w:pPr>
              <w:rPr>
                <w:b/>
                <w:lang w:val="en-AU"/>
              </w:rPr>
            </w:pPr>
            <w:r w:rsidRPr="00EE216F">
              <w:rPr>
                <w:b/>
                <w:lang w:val="en-AU"/>
              </w:rPr>
              <w:t>Pairing</w:t>
            </w:r>
          </w:p>
        </w:tc>
        <w:tc>
          <w:tcPr>
            <w:tcW w:w="1985" w:type="dxa"/>
          </w:tcPr>
          <w:p w:rsidR="002E6F88" w:rsidRPr="00EE216F" w:rsidRDefault="002E6F88" w:rsidP="006D5987">
            <w:pPr>
              <w:rPr>
                <w:b/>
                <w:lang w:val="en-AU"/>
              </w:rPr>
            </w:pPr>
            <w:r>
              <w:rPr>
                <w:b/>
                <w:lang w:val="en-AU"/>
              </w:rPr>
              <w:t>Combined</w:t>
            </w:r>
            <w:r w:rsidR="00570BAF">
              <w:rPr>
                <w:b/>
                <w:lang w:val="en-AU"/>
              </w:rPr>
              <w:t xml:space="preserve"> 2012-14</w:t>
            </w:r>
            <w:r>
              <w:rPr>
                <w:b/>
                <w:lang w:val="en-AU"/>
              </w:rPr>
              <w:t xml:space="preserve"> population 000</w:t>
            </w:r>
          </w:p>
        </w:tc>
        <w:tc>
          <w:tcPr>
            <w:tcW w:w="1423" w:type="dxa"/>
          </w:tcPr>
          <w:p w:rsidR="002E6F88" w:rsidRPr="00EE216F" w:rsidRDefault="002E6F88" w:rsidP="006D5987">
            <w:pPr>
              <w:rPr>
                <w:b/>
                <w:lang w:val="en-AU"/>
              </w:rPr>
            </w:pPr>
            <w:r>
              <w:rPr>
                <w:b/>
                <w:lang w:val="en-AU"/>
              </w:rPr>
              <w:t>Distance</w:t>
            </w:r>
            <w:r w:rsidR="00570BAF">
              <w:rPr>
                <w:b/>
                <w:lang w:val="en-AU"/>
              </w:rPr>
              <w:t xml:space="preserve"> by road </w:t>
            </w:r>
            <w:r>
              <w:rPr>
                <w:b/>
                <w:lang w:val="en-AU"/>
              </w:rPr>
              <w:t xml:space="preserve"> km</w:t>
            </w:r>
          </w:p>
        </w:tc>
        <w:tc>
          <w:tcPr>
            <w:tcW w:w="1128" w:type="dxa"/>
          </w:tcPr>
          <w:p w:rsidR="002E6F88" w:rsidRPr="00EE216F" w:rsidRDefault="002E6F88" w:rsidP="006D5987">
            <w:pPr>
              <w:rPr>
                <w:b/>
                <w:lang w:val="en-AU"/>
              </w:rPr>
            </w:pPr>
            <w:r>
              <w:rPr>
                <w:b/>
                <w:lang w:val="en-AU"/>
              </w:rPr>
              <w:t>Density</w:t>
            </w:r>
            <w:r w:rsidR="0067302B">
              <w:rPr>
                <w:b/>
                <w:lang w:val="en-AU"/>
              </w:rPr>
              <w:t xml:space="preserve"> (b)</w:t>
            </w:r>
          </w:p>
        </w:tc>
        <w:tc>
          <w:tcPr>
            <w:tcW w:w="2217" w:type="dxa"/>
          </w:tcPr>
          <w:p w:rsidR="002E6F88" w:rsidRDefault="002E6F88" w:rsidP="006D5987">
            <w:pPr>
              <w:rPr>
                <w:b/>
                <w:lang w:val="en-AU"/>
              </w:rPr>
            </w:pPr>
            <w:r>
              <w:rPr>
                <w:b/>
                <w:lang w:val="en-AU"/>
              </w:rPr>
              <w:t>Fastest current transit time hrs</w:t>
            </w:r>
            <w:r w:rsidR="00570BAF">
              <w:rPr>
                <w:b/>
                <w:lang w:val="en-AU"/>
              </w:rPr>
              <w:t xml:space="preserve"> (c)</w:t>
            </w:r>
          </w:p>
        </w:tc>
      </w:tr>
      <w:tr w:rsidR="002E6F88" w:rsidTr="006D5987">
        <w:tc>
          <w:tcPr>
            <w:tcW w:w="2263" w:type="dxa"/>
          </w:tcPr>
          <w:p w:rsidR="002E6F88" w:rsidRDefault="002E6F88" w:rsidP="006D5987">
            <w:pPr>
              <w:rPr>
                <w:lang w:val="en-AU"/>
              </w:rPr>
            </w:pPr>
            <w:r>
              <w:rPr>
                <w:lang w:val="en-AU"/>
              </w:rPr>
              <w:t xml:space="preserve">Melbourne-Sydney </w:t>
            </w:r>
          </w:p>
        </w:tc>
        <w:tc>
          <w:tcPr>
            <w:tcW w:w="1985" w:type="dxa"/>
          </w:tcPr>
          <w:p w:rsidR="002E6F88" w:rsidRDefault="002E6F88" w:rsidP="006D5987">
            <w:pPr>
              <w:rPr>
                <w:lang w:val="en-AU"/>
              </w:rPr>
            </w:pPr>
            <w:r>
              <w:rPr>
                <w:lang w:val="en-AU"/>
              </w:rPr>
              <w:t>9280</w:t>
            </w:r>
          </w:p>
        </w:tc>
        <w:tc>
          <w:tcPr>
            <w:tcW w:w="1423" w:type="dxa"/>
          </w:tcPr>
          <w:p w:rsidR="002E6F88" w:rsidRDefault="002E6F88" w:rsidP="006D5987">
            <w:pPr>
              <w:rPr>
                <w:lang w:val="en-AU"/>
              </w:rPr>
            </w:pPr>
            <w:r>
              <w:rPr>
                <w:lang w:val="en-AU"/>
              </w:rPr>
              <w:t>875</w:t>
            </w:r>
          </w:p>
        </w:tc>
        <w:tc>
          <w:tcPr>
            <w:tcW w:w="1128" w:type="dxa"/>
          </w:tcPr>
          <w:p w:rsidR="002E6F88" w:rsidRDefault="002E6F88" w:rsidP="006D5987">
            <w:pPr>
              <w:rPr>
                <w:lang w:val="en-AU"/>
              </w:rPr>
            </w:pPr>
            <w:r>
              <w:rPr>
                <w:lang w:val="en-AU"/>
              </w:rPr>
              <w:t>10.6</w:t>
            </w:r>
          </w:p>
        </w:tc>
        <w:tc>
          <w:tcPr>
            <w:tcW w:w="2217" w:type="dxa"/>
          </w:tcPr>
          <w:p w:rsidR="002E6F88" w:rsidRDefault="002E6F88" w:rsidP="006D5987">
            <w:pPr>
              <w:rPr>
                <w:lang w:val="en-AU"/>
              </w:rPr>
            </w:pPr>
            <w:r>
              <w:rPr>
                <w:lang w:val="en-AU"/>
              </w:rPr>
              <w:t>3</w:t>
            </w:r>
            <w:r w:rsidR="00570BAF">
              <w:rPr>
                <w:lang w:val="en-AU"/>
              </w:rPr>
              <w:t>.5</w:t>
            </w:r>
          </w:p>
        </w:tc>
      </w:tr>
      <w:tr w:rsidR="002E6F88" w:rsidTr="006D5987">
        <w:tc>
          <w:tcPr>
            <w:tcW w:w="2263" w:type="dxa"/>
          </w:tcPr>
          <w:p w:rsidR="002E6F88" w:rsidRDefault="002E6F88" w:rsidP="006D5987">
            <w:pPr>
              <w:rPr>
                <w:lang w:val="en-AU"/>
              </w:rPr>
            </w:pPr>
            <w:r>
              <w:rPr>
                <w:lang w:val="en-AU"/>
              </w:rPr>
              <w:t>Canberra-Sydney</w:t>
            </w:r>
          </w:p>
        </w:tc>
        <w:tc>
          <w:tcPr>
            <w:tcW w:w="1985" w:type="dxa"/>
          </w:tcPr>
          <w:p w:rsidR="002E6F88" w:rsidRDefault="002E6F88" w:rsidP="006D5987">
            <w:pPr>
              <w:rPr>
                <w:lang w:val="en-AU"/>
              </w:rPr>
            </w:pPr>
            <w:r>
              <w:rPr>
                <w:lang w:val="en-AU"/>
              </w:rPr>
              <w:t>5265</w:t>
            </w:r>
          </w:p>
        </w:tc>
        <w:tc>
          <w:tcPr>
            <w:tcW w:w="1423" w:type="dxa"/>
          </w:tcPr>
          <w:p w:rsidR="002E6F88" w:rsidRDefault="002E6F88" w:rsidP="006D5987">
            <w:pPr>
              <w:rPr>
                <w:lang w:val="en-AU"/>
              </w:rPr>
            </w:pPr>
            <w:r>
              <w:rPr>
                <w:lang w:val="en-AU"/>
              </w:rPr>
              <w:t>285</w:t>
            </w:r>
          </w:p>
        </w:tc>
        <w:tc>
          <w:tcPr>
            <w:tcW w:w="1128" w:type="dxa"/>
          </w:tcPr>
          <w:p w:rsidR="002E6F88" w:rsidRDefault="002E6F88" w:rsidP="006D5987">
            <w:pPr>
              <w:rPr>
                <w:lang w:val="en-AU"/>
              </w:rPr>
            </w:pPr>
            <w:r>
              <w:rPr>
                <w:lang w:val="en-AU"/>
              </w:rPr>
              <w:t>18.5</w:t>
            </w:r>
          </w:p>
        </w:tc>
        <w:tc>
          <w:tcPr>
            <w:tcW w:w="2217" w:type="dxa"/>
          </w:tcPr>
          <w:p w:rsidR="002E6F88" w:rsidRDefault="002E6F88" w:rsidP="006D5987">
            <w:pPr>
              <w:rPr>
                <w:lang w:val="en-AU"/>
              </w:rPr>
            </w:pPr>
            <w:r>
              <w:rPr>
                <w:lang w:val="en-AU"/>
              </w:rPr>
              <w:t>2</w:t>
            </w:r>
            <w:r w:rsidR="00570BAF">
              <w:rPr>
                <w:lang w:val="en-AU"/>
              </w:rPr>
              <w:t>.5</w:t>
            </w:r>
          </w:p>
        </w:tc>
      </w:tr>
      <w:tr w:rsidR="002E6F88" w:rsidTr="006D5987">
        <w:tc>
          <w:tcPr>
            <w:tcW w:w="2263" w:type="dxa"/>
          </w:tcPr>
          <w:p w:rsidR="002E6F88" w:rsidRDefault="002E6F88" w:rsidP="006D5987">
            <w:pPr>
              <w:rPr>
                <w:lang w:val="en-AU"/>
              </w:rPr>
            </w:pPr>
            <w:r>
              <w:rPr>
                <w:lang w:val="en-AU"/>
              </w:rPr>
              <w:t>Sydney-Newcastle</w:t>
            </w:r>
          </w:p>
        </w:tc>
        <w:tc>
          <w:tcPr>
            <w:tcW w:w="1985" w:type="dxa"/>
          </w:tcPr>
          <w:p w:rsidR="002E6F88" w:rsidRDefault="002E6F88" w:rsidP="006D5987">
            <w:pPr>
              <w:rPr>
                <w:lang w:val="en-AU"/>
              </w:rPr>
            </w:pPr>
            <w:r>
              <w:rPr>
                <w:lang w:val="en-AU"/>
              </w:rPr>
              <w:t>5460</w:t>
            </w:r>
          </w:p>
        </w:tc>
        <w:tc>
          <w:tcPr>
            <w:tcW w:w="1423" w:type="dxa"/>
          </w:tcPr>
          <w:p w:rsidR="002E6F88" w:rsidRDefault="002E6F88" w:rsidP="006D5987">
            <w:pPr>
              <w:rPr>
                <w:lang w:val="en-AU"/>
              </w:rPr>
            </w:pPr>
            <w:r>
              <w:rPr>
                <w:lang w:val="en-AU"/>
              </w:rPr>
              <w:t>160</w:t>
            </w:r>
          </w:p>
        </w:tc>
        <w:tc>
          <w:tcPr>
            <w:tcW w:w="1128" w:type="dxa"/>
          </w:tcPr>
          <w:p w:rsidR="002E6F88" w:rsidRDefault="002E6F88" w:rsidP="006D5987">
            <w:pPr>
              <w:rPr>
                <w:lang w:val="en-AU"/>
              </w:rPr>
            </w:pPr>
            <w:r>
              <w:rPr>
                <w:lang w:val="en-AU"/>
              </w:rPr>
              <w:t>34.1</w:t>
            </w:r>
          </w:p>
        </w:tc>
        <w:tc>
          <w:tcPr>
            <w:tcW w:w="2217" w:type="dxa"/>
          </w:tcPr>
          <w:p w:rsidR="002E6F88" w:rsidRDefault="002E6F88" w:rsidP="006D5987">
            <w:pPr>
              <w:rPr>
                <w:lang w:val="en-AU"/>
              </w:rPr>
            </w:pPr>
            <w:r>
              <w:rPr>
                <w:lang w:val="en-AU"/>
              </w:rPr>
              <w:t>2</w:t>
            </w:r>
            <w:r w:rsidR="00570BAF">
              <w:rPr>
                <w:lang w:val="en-AU"/>
              </w:rPr>
              <w:t>.5</w:t>
            </w:r>
          </w:p>
        </w:tc>
      </w:tr>
      <w:tr w:rsidR="002E6F88" w:rsidTr="006D5987">
        <w:tc>
          <w:tcPr>
            <w:tcW w:w="2263" w:type="dxa"/>
          </w:tcPr>
          <w:p w:rsidR="002E6F88" w:rsidRDefault="002E6F88" w:rsidP="006D5987">
            <w:pPr>
              <w:rPr>
                <w:lang w:val="en-AU"/>
              </w:rPr>
            </w:pPr>
            <w:r>
              <w:rPr>
                <w:lang w:val="en-AU"/>
              </w:rPr>
              <w:t>Sydney-Brisbane</w:t>
            </w:r>
          </w:p>
        </w:tc>
        <w:tc>
          <w:tcPr>
            <w:tcW w:w="1985" w:type="dxa"/>
          </w:tcPr>
          <w:p w:rsidR="002E6F88" w:rsidRDefault="002E6F88" w:rsidP="006D5987">
            <w:pPr>
              <w:rPr>
                <w:lang w:val="en-AU"/>
              </w:rPr>
            </w:pPr>
            <w:r>
              <w:rPr>
                <w:lang w:val="en-AU"/>
              </w:rPr>
              <w:t>7115</w:t>
            </w:r>
          </w:p>
        </w:tc>
        <w:tc>
          <w:tcPr>
            <w:tcW w:w="1423" w:type="dxa"/>
          </w:tcPr>
          <w:p w:rsidR="002E6F88" w:rsidRDefault="002E6F88" w:rsidP="006D5987">
            <w:pPr>
              <w:rPr>
                <w:lang w:val="en-AU"/>
              </w:rPr>
            </w:pPr>
            <w:r>
              <w:rPr>
                <w:lang w:val="en-AU"/>
              </w:rPr>
              <w:t>920</w:t>
            </w:r>
          </w:p>
        </w:tc>
        <w:tc>
          <w:tcPr>
            <w:tcW w:w="1128" w:type="dxa"/>
          </w:tcPr>
          <w:p w:rsidR="002E6F88" w:rsidRDefault="002E6F88" w:rsidP="006D5987">
            <w:pPr>
              <w:rPr>
                <w:lang w:val="en-AU"/>
              </w:rPr>
            </w:pPr>
            <w:r>
              <w:rPr>
                <w:lang w:val="en-AU"/>
              </w:rPr>
              <w:t>7.7</w:t>
            </w:r>
          </w:p>
        </w:tc>
        <w:tc>
          <w:tcPr>
            <w:tcW w:w="2217" w:type="dxa"/>
          </w:tcPr>
          <w:p w:rsidR="002E6F88" w:rsidRDefault="002E6F88" w:rsidP="006D5987">
            <w:pPr>
              <w:rPr>
                <w:lang w:val="en-AU"/>
              </w:rPr>
            </w:pPr>
            <w:r>
              <w:rPr>
                <w:lang w:val="en-AU"/>
              </w:rPr>
              <w:t>3</w:t>
            </w:r>
            <w:r w:rsidR="00570BAF">
              <w:rPr>
                <w:lang w:val="en-AU"/>
              </w:rPr>
              <w:t>.5</w:t>
            </w:r>
          </w:p>
        </w:tc>
      </w:tr>
      <w:tr w:rsidR="002E6F88" w:rsidTr="006D5987">
        <w:tc>
          <w:tcPr>
            <w:tcW w:w="2263" w:type="dxa"/>
          </w:tcPr>
          <w:p w:rsidR="002E6F88" w:rsidRDefault="002E6F88" w:rsidP="006D5987">
            <w:pPr>
              <w:rPr>
                <w:lang w:val="en-AU"/>
              </w:rPr>
            </w:pPr>
            <w:r>
              <w:rPr>
                <w:lang w:val="en-AU"/>
              </w:rPr>
              <w:t>Wollongong-Sydney</w:t>
            </w:r>
          </w:p>
        </w:tc>
        <w:tc>
          <w:tcPr>
            <w:tcW w:w="1985" w:type="dxa"/>
          </w:tcPr>
          <w:p w:rsidR="002E6F88" w:rsidRDefault="002E6F88" w:rsidP="006D5987">
            <w:pPr>
              <w:rPr>
                <w:lang w:val="en-AU"/>
              </w:rPr>
            </w:pPr>
            <w:r>
              <w:rPr>
                <w:lang w:val="en-AU"/>
              </w:rPr>
              <w:t>5130</w:t>
            </w:r>
          </w:p>
        </w:tc>
        <w:tc>
          <w:tcPr>
            <w:tcW w:w="1423" w:type="dxa"/>
          </w:tcPr>
          <w:p w:rsidR="002E6F88" w:rsidRDefault="002E6F88" w:rsidP="006D5987">
            <w:pPr>
              <w:rPr>
                <w:lang w:val="en-AU"/>
              </w:rPr>
            </w:pPr>
            <w:r>
              <w:rPr>
                <w:lang w:val="en-AU"/>
              </w:rPr>
              <w:t>85</w:t>
            </w:r>
          </w:p>
        </w:tc>
        <w:tc>
          <w:tcPr>
            <w:tcW w:w="1128" w:type="dxa"/>
          </w:tcPr>
          <w:p w:rsidR="002E6F88" w:rsidRDefault="002E6F88" w:rsidP="006D5987">
            <w:pPr>
              <w:rPr>
                <w:lang w:val="en-AU"/>
              </w:rPr>
            </w:pPr>
            <w:r>
              <w:rPr>
                <w:lang w:val="en-AU"/>
              </w:rPr>
              <w:t>60.3</w:t>
            </w:r>
          </w:p>
        </w:tc>
        <w:tc>
          <w:tcPr>
            <w:tcW w:w="2217" w:type="dxa"/>
          </w:tcPr>
          <w:p w:rsidR="002E6F88" w:rsidRDefault="002E6F88" w:rsidP="006D5987">
            <w:pPr>
              <w:rPr>
                <w:lang w:val="en-AU"/>
              </w:rPr>
            </w:pPr>
            <w:r>
              <w:rPr>
                <w:lang w:val="en-AU"/>
              </w:rPr>
              <w:t>1.5</w:t>
            </w:r>
          </w:p>
        </w:tc>
      </w:tr>
      <w:tr w:rsidR="002E6F88" w:rsidTr="006D5987">
        <w:tc>
          <w:tcPr>
            <w:tcW w:w="2263" w:type="dxa"/>
          </w:tcPr>
          <w:p w:rsidR="002E6F88" w:rsidRDefault="002E6F88" w:rsidP="006D5987">
            <w:pPr>
              <w:rPr>
                <w:lang w:val="en-AU"/>
              </w:rPr>
            </w:pPr>
            <w:r>
              <w:rPr>
                <w:lang w:val="en-AU"/>
              </w:rPr>
              <w:t>Gold Coast-Brisbane</w:t>
            </w:r>
          </w:p>
        </w:tc>
        <w:tc>
          <w:tcPr>
            <w:tcW w:w="1985" w:type="dxa"/>
          </w:tcPr>
          <w:p w:rsidR="002E6F88" w:rsidRDefault="002E6F88" w:rsidP="006D5987">
            <w:pPr>
              <w:rPr>
                <w:lang w:val="en-AU"/>
              </w:rPr>
            </w:pPr>
            <w:r>
              <w:rPr>
                <w:lang w:val="en-AU"/>
              </w:rPr>
              <w:t>2890</w:t>
            </w:r>
          </w:p>
        </w:tc>
        <w:tc>
          <w:tcPr>
            <w:tcW w:w="1423" w:type="dxa"/>
          </w:tcPr>
          <w:p w:rsidR="002E6F88" w:rsidRDefault="002E6F88" w:rsidP="006D5987">
            <w:pPr>
              <w:rPr>
                <w:lang w:val="en-AU"/>
              </w:rPr>
            </w:pPr>
            <w:r>
              <w:rPr>
                <w:lang w:val="en-AU"/>
              </w:rPr>
              <w:t>80</w:t>
            </w:r>
          </w:p>
        </w:tc>
        <w:tc>
          <w:tcPr>
            <w:tcW w:w="1128" w:type="dxa"/>
          </w:tcPr>
          <w:p w:rsidR="002E6F88" w:rsidRDefault="002E6F88" w:rsidP="006D5987">
            <w:pPr>
              <w:rPr>
                <w:lang w:val="en-AU"/>
              </w:rPr>
            </w:pPr>
            <w:r>
              <w:rPr>
                <w:lang w:val="en-AU"/>
              </w:rPr>
              <w:t>36.1</w:t>
            </w:r>
          </w:p>
        </w:tc>
        <w:tc>
          <w:tcPr>
            <w:tcW w:w="2217" w:type="dxa"/>
          </w:tcPr>
          <w:p w:rsidR="002E6F88" w:rsidRDefault="002E6F88" w:rsidP="006D5987">
            <w:pPr>
              <w:rPr>
                <w:lang w:val="en-AU"/>
              </w:rPr>
            </w:pPr>
            <w:r>
              <w:rPr>
                <w:lang w:val="en-AU"/>
              </w:rPr>
              <w:t>1</w:t>
            </w:r>
          </w:p>
        </w:tc>
      </w:tr>
    </w:tbl>
    <w:p w:rsidR="0067302B" w:rsidRDefault="002E6F88" w:rsidP="002E6F88">
      <w:pPr>
        <w:pStyle w:val="ListParagraph"/>
        <w:numPr>
          <w:ilvl w:val="0"/>
          <w:numId w:val="2"/>
        </w:numPr>
        <w:ind w:hanging="720"/>
        <w:rPr>
          <w:sz w:val="16"/>
          <w:szCs w:val="16"/>
          <w:lang w:val="en-AU"/>
        </w:rPr>
      </w:pPr>
      <w:r w:rsidRPr="00592BE4">
        <w:rPr>
          <w:sz w:val="16"/>
          <w:szCs w:val="16"/>
          <w:lang w:val="en-AU"/>
        </w:rPr>
        <w:t xml:space="preserve">Inclusion of en route populations would increase densities for Melbourne-Sydney </w:t>
      </w:r>
      <w:r>
        <w:rPr>
          <w:sz w:val="16"/>
          <w:szCs w:val="16"/>
          <w:lang w:val="en-AU"/>
        </w:rPr>
        <w:t>(e</w:t>
      </w:r>
      <w:r w:rsidRPr="00592BE4">
        <w:rPr>
          <w:sz w:val="16"/>
          <w:szCs w:val="16"/>
          <w:lang w:val="en-AU"/>
        </w:rPr>
        <w:t>g. Including Canberra</w:t>
      </w:r>
      <w:r>
        <w:rPr>
          <w:sz w:val="16"/>
          <w:szCs w:val="16"/>
          <w:lang w:val="en-AU"/>
        </w:rPr>
        <w:t>)</w:t>
      </w:r>
      <w:r w:rsidRPr="00592BE4">
        <w:rPr>
          <w:sz w:val="16"/>
          <w:szCs w:val="16"/>
          <w:lang w:val="en-AU"/>
        </w:rPr>
        <w:t xml:space="preserve">, Sydney-Newcastle </w:t>
      </w:r>
      <w:r>
        <w:rPr>
          <w:sz w:val="16"/>
          <w:szCs w:val="16"/>
          <w:lang w:val="en-AU"/>
        </w:rPr>
        <w:t>(</w:t>
      </w:r>
      <w:r w:rsidRPr="00592BE4">
        <w:rPr>
          <w:sz w:val="16"/>
          <w:szCs w:val="16"/>
          <w:lang w:val="en-AU"/>
        </w:rPr>
        <w:t>eg. Including Central Coast</w:t>
      </w:r>
      <w:r>
        <w:rPr>
          <w:sz w:val="16"/>
          <w:szCs w:val="16"/>
          <w:lang w:val="en-AU"/>
        </w:rPr>
        <w:t>)</w:t>
      </w:r>
      <w:r w:rsidRPr="00592BE4">
        <w:rPr>
          <w:sz w:val="16"/>
          <w:szCs w:val="16"/>
          <w:lang w:val="en-AU"/>
        </w:rPr>
        <w:t xml:space="preserve">, and Sydney-Brisbane </w:t>
      </w:r>
      <w:r>
        <w:rPr>
          <w:sz w:val="16"/>
          <w:szCs w:val="16"/>
          <w:lang w:val="en-AU"/>
        </w:rPr>
        <w:t>(</w:t>
      </w:r>
      <w:r w:rsidRPr="00592BE4">
        <w:rPr>
          <w:sz w:val="16"/>
          <w:szCs w:val="16"/>
          <w:lang w:val="en-AU"/>
        </w:rPr>
        <w:t>eg. Including Coffs Harbour, Port Macquarie and Newcastle</w:t>
      </w:r>
      <w:r>
        <w:rPr>
          <w:sz w:val="16"/>
          <w:szCs w:val="16"/>
          <w:lang w:val="en-AU"/>
        </w:rPr>
        <w:t>).</w:t>
      </w:r>
      <w:r w:rsidR="007A7FD1">
        <w:rPr>
          <w:sz w:val="16"/>
          <w:szCs w:val="16"/>
          <w:lang w:val="en-AU"/>
        </w:rPr>
        <w:t xml:space="preserve">  Populations used are Sydney 4</w:t>
      </w:r>
      <w:r w:rsidR="00DF5B1D">
        <w:rPr>
          <w:sz w:val="16"/>
          <w:szCs w:val="16"/>
          <w:lang w:val="en-AU"/>
        </w:rPr>
        <w:t>8</w:t>
      </w:r>
      <w:r w:rsidR="007A7FD1">
        <w:rPr>
          <w:sz w:val="16"/>
          <w:szCs w:val="16"/>
          <w:lang w:val="en-AU"/>
        </w:rPr>
        <w:t>40, Melbourne 4</w:t>
      </w:r>
      <w:r w:rsidR="00DF5B1D">
        <w:rPr>
          <w:sz w:val="16"/>
          <w:szCs w:val="16"/>
          <w:lang w:val="en-AU"/>
        </w:rPr>
        <w:t>44</w:t>
      </w:r>
      <w:r w:rsidR="007A7FD1">
        <w:rPr>
          <w:sz w:val="16"/>
          <w:szCs w:val="16"/>
          <w:lang w:val="en-AU"/>
        </w:rPr>
        <w:t>0, Brisbane 2</w:t>
      </w:r>
      <w:r w:rsidR="00DF5B1D">
        <w:rPr>
          <w:sz w:val="16"/>
          <w:szCs w:val="16"/>
          <w:lang w:val="en-AU"/>
        </w:rPr>
        <w:t>27</w:t>
      </w:r>
      <w:bookmarkStart w:id="0" w:name="_GoBack"/>
      <w:bookmarkEnd w:id="0"/>
      <w:r w:rsidR="007A7FD1">
        <w:rPr>
          <w:sz w:val="16"/>
          <w:szCs w:val="16"/>
          <w:lang w:val="en-AU"/>
        </w:rPr>
        <w:t>0, Gold Coast 614, Newcastle etc 620, Wollongong 289, Canberra 423.  For comparison Central Coast is 318.</w:t>
      </w:r>
    </w:p>
    <w:p w:rsidR="002E6F88" w:rsidRDefault="0067302B" w:rsidP="002E6F88">
      <w:pPr>
        <w:pStyle w:val="ListParagraph"/>
        <w:numPr>
          <w:ilvl w:val="0"/>
          <w:numId w:val="2"/>
        </w:numPr>
        <w:ind w:hanging="720"/>
        <w:rPr>
          <w:sz w:val="16"/>
          <w:szCs w:val="16"/>
          <w:lang w:val="en-AU"/>
        </w:rPr>
      </w:pPr>
      <w:r>
        <w:rPr>
          <w:sz w:val="16"/>
          <w:szCs w:val="16"/>
          <w:lang w:val="en-AU"/>
        </w:rPr>
        <w:t>Density is population divided by distance.</w:t>
      </w:r>
      <w:r w:rsidR="002E6F88" w:rsidRPr="00592BE4">
        <w:rPr>
          <w:sz w:val="16"/>
          <w:szCs w:val="16"/>
          <w:lang w:val="en-AU"/>
        </w:rPr>
        <w:t xml:space="preserve">  </w:t>
      </w:r>
    </w:p>
    <w:p w:rsidR="00570BAF" w:rsidRDefault="00570BAF" w:rsidP="002E6F88">
      <w:pPr>
        <w:pStyle w:val="ListParagraph"/>
        <w:numPr>
          <w:ilvl w:val="0"/>
          <w:numId w:val="2"/>
        </w:numPr>
        <w:ind w:hanging="720"/>
        <w:rPr>
          <w:sz w:val="16"/>
          <w:szCs w:val="16"/>
          <w:lang w:val="en-AU"/>
        </w:rPr>
      </w:pPr>
      <w:r>
        <w:rPr>
          <w:sz w:val="16"/>
          <w:szCs w:val="16"/>
          <w:lang w:val="en-AU"/>
        </w:rPr>
        <w:t>Melbourne, Canberra, Brisbane to Sydney by air plus on ground transit to/from CBD.</w:t>
      </w:r>
    </w:p>
    <w:p w:rsidR="002E6F88" w:rsidRDefault="002E6F88" w:rsidP="002E6F88">
      <w:pPr>
        <w:rPr>
          <w:lang w:val="en-AU"/>
        </w:rPr>
      </w:pPr>
      <w:r>
        <w:rPr>
          <w:lang w:val="en-AU"/>
        </w:rPr>
        <w:t>Previous articles had Sydney</w:t>
      </w:r>
      <w:r w:rsidR="00A275AE">
        <w:rPr>
          <w:lang w:val="en-AU"/>
        </w:rPr>
        <w:t>’s size a</w:t>
      </w:r>
      <w:r>
        <w:rPr>
          <w:lang w:val="en-AU"/>
        </w:rPr>
        <w:t>t around 1 hour.</w:t>
      </w:r>
      <w:r w:rsidR="0067302B">
        <w:rPr>
          <w:rStyle w:val="EndnoteReference"/>
          <w:lang w:val="en-AU"/>
        </w:rPr>
        <w:endnoteReference w:id="3"/>
      </w:r>
      <w:r>
        <w:rPr>
          <w:lang w:val="en-AU"/>
        </w:rPr>
        <w:t xml:space="preserve">  An implication is that high speed rail might be unable to greatly assist a city pair currently within an hour of each other; Gold Coast-Brisbane and perhaps Wollongong-Sydney.  Sydney-Newcastle is the best prima facie prospect; orders of magnitude better than any other pairing, for example nearly double Canberra-Sydney.</w:t>
      </w:r>
    </w:p>
    <w:p w:rsidR="002E6F88" w:rsidRDefault="002E6F88" w:rsidP="002E6F88">
      <w:pPr>
        <w:rPr>
          <w:lang w:val="en-AU"/>
        </w:rPr>
      </w:pPr>
      <w:r>
        <w:rPr>
          <w:lang w:val="en-AU"/>
        </w:rPr>
        <w:t>The next level of sophistication in density is to account for costs</w:t>
      </w:r>
      <w:r w:rsidR="0067302B">
        <w:rPr>
          <w:lang w:val="en-AU"/>
        </w:rPr>
        <w:t xml:space="preserve">; </w:t>
      </w:r>
      <w:r w:rsidR="00570BAF">
        <w:rPr>
          <w:lang w:val="en-AU"/>
        </w:rPr>
        <w:t>T</w:t>
      </w:r>
      <w:r>
        <w:rPr>
          <w:lang w:val="en-AU"/>
        </w:rPr>
        <w:t xml:space="preserve">able </w:t>
      </w:r>
      <w:r w:rsidR="0067302B">
        <w:rPr>
          <w:lang w:val="en-AU"/>
        </w:rPr>
        <w:t>2.</w:t>
      </w:r>
    </w:p>
    <w:p w:rsidR="002E6F88" w:rsidRPr="00B9495F" w:rsidRDefault="002E6F88" w:rsidP="00760C91">
      <w:pPr>
        <w:spacing w:after="0"/>
        <w:rPr>
          <w:b/>
          <w:lang w:val="en-AU"/>
        </w:rPr>
      </w:pPr>
      <w:r>
        <w:rPr>
          <w:b/>
          <w:lang w:val="en-AU"/>
        </w:rPr>
        <w:t xml:space="preserve">Table </w:t>
      </w:r>
      <w:r w:rsidR="0067302B">
        <w:rPr>
          <w:b/>
          <w:lang w:val="en-AU"/>
        </w:rPr>
        <w:t>2</w:t>
      </w:r>
      <w:r>
        <w:rPr>
          <w:b/>
          <w:lang w:val="en-AU"/>
        </w:rPr>
        <w:t xml:space="preserve">: </w:t>
      </w:r>
      <w:r w:rsidR="00495485">
        <w:rPr>
          <w:b/>
          <w:lang w:val="en-AU"/>
        </w:rPr>
        <w:t>C</w:t>
      </w:r>
      <w:r w:rsidR="0067302B">
        <w:rPr>
          <w:b/>
          <w:lang w:val="en-AU"/>
        </w:rPr>
        <w:t xml:space="preserve">ost </w:t>
      </w:r>
      <w:r>
        <w:rPr>
          <w:b/>
          <w:lang w:val="en-AU"/>
        </w:rPr>
        <w:t xml:space="preserve">density, static </w:t>
      </w:r>
      <w:r w:rsidR="00570BAF">
        <w:rPr>
          <w:b/>
          <w:lang w:val="en-AU"/>
        </w:rPr>
        <w:t xml:space="preserve">2012-14 </w:t>
      </w:r>
      <w:r>
        <w:rPr>
          <w:b/>
          <w:lang w:val="en-AU"/>
        </w:rPr>
        <w:t>end point populations based on cost</w:t>
      </w:r>
    </w:p>
    <w:tbl>
      <w:tblPr>
        <w:tblStyle w:val="TableGrid"/>
        <w:tblW w:w="0" w:type="auto"/>
        <w:tblLook w:val="04A0" w:firstRow="1" w:lastRow="0" w:firstColumn="1" w:lastColumn="0" w:noHBand="0" w:noVBand="1"/>
      </w:tblPr>
      <w:tblGrid>
        <w:gridCol w:w="2254"/>
        <w:gridCol w:w="2254"/>
        <w:gridCol w:w="2254"/>
      </w:tblGrid>
      <w:tr w:rsidR="002E6F88" w:rsidRPr="00EE216F" w:rsidTr="006D5987">
        <w:tc>
          <w:tcPr>
            <w:tcW w:w="2254" w:type="dxa"/>
          </w:tcPr>
          <w:p w:rsidR="002E6F88" w:rsidRPr="00EE216F" w:rsidRDefault="002E6F88" w:rsidP="006D5987">
            <w:pPr>
              <w:rPr>
                <w:b/>
                <w:lang w:val="en-AU"/>
              </w:rPr>
            </w:pPr>
            <w:r w:rsidRPr="00EE216F">
              <w:rPr>
                <w:b/>
                <w:lang w:val="en-AU"/>
              </w:rPr>
              <w:t>Pairing</w:t>
            </w:r>
          </w:p>
        </w:tc>
        <w:tc>
          <w:tcPr>
            <w:tcW w:w="2254" w:type="dxa"/>
          </w:tcPr>
          <w:p w:rsidR="002E6F88" w:rsidRPr="00EE216F" w:rsidRDefault="002E6F88" w:rsidP="006D5987">
            <w:pPr>
              <w:rPr>
                <w:b/>
                <w:lang w:val="en-AU"/>
              </w:rPr>
            </w:pPr>
            <w:r w:rsidRPr="00EE216F">
              <w:rPr>
                <w:b/>
                <w:lang w:val="en-AU"/>
              </w:rPr>
              <w:t>Cost $million</w:t>
            </w:r>
          </w:p>
        </w:tc>
        <w:tc>
          <w:tcPr>
            <w:tcW w:w="2254" w:type="dxa"/>
          </w:tcPr>
          <w:p w:rsidR="002E6F88" w:rsidRPr="00EE216F" w:rsidRDefault="002E6F88" w:rsidP="006D5987">
            <w:pPr>
              <w:rPr>
                <w:b/>
                <w:lang w:val="en-AU"/>
              </w:rPr>
            </w:pPr>
            <w:r>
              <w:rPr>
                <w:b/>
                <w:lang w:val="en-AU"/>
              </w:rPr>
              <w:t>Cost density</w:t>
            </w:r>
          </w:p>
        </w:tc>
      </w:tr>
      <w:tr w:rsidR="002E6F88" w:rsidTr="006D5987">
        <w:tc>
          <w:tcPr>
            <w:tcW w:w="2254" w:type="dxa"/>
          </w:tcPr>
          <w:p w:rsidR="002E6F88" w:rsidRDefault="002E6F88" w:rsidP="006D5987">
            <w:pPr>
              <w:rPr>
                <w:lang w:val="en-AU"/>
              </w:rPr>
            </w:pPr>
            <w:r>
              <w:rPr>
                <w:lang w:val="en-AU"/>
              </w:rPr>
              <w:t>Melbourne-Sydney (a)</w:t>
            </w:r>
          </w:p>
        </w:tc>
        <w:tc>
          <w:tcPr>
            <w:tcW w:w="2254" w:type="dxa"/>
          </w:tcPr>
          <w:p w:rsidR="002E6F88" w:rsidRDefault="002E6F88" w:rsidP="006D5987">
            <w:pPr>
              <w:rPr>
                <w:lang w:val="en-AU"/>
              </w:rPr>
            </w:pPr>
            <w:r>
              <w:rPr>
                <w:lang w:val="en-AU"/>
              </w:rPr>
              <w:t>49900</w:t>
            </w:r>
          </w:p>
        </w:tc>
        <w:tc>
          <w:tcPr>
            <w:tcW w:w="2254" w:type="dxa"/>
          </w:tcPr>
          <w:p w:rsidR="002E6F88" w:rsidRDefault="002E6F88" w:rsidP="00570BAF">
            <w:pPr>
              <w:rPr>
                <w:lang w:val="en-AU"/>
              </w:rPr>
            </w:pPr>
            <w:r>
              <w:rPr>
                <w:lang w:val="en-AU"/>
              </w:rPr>
              <w:t>0.</w:t>
            </w:r>
            <w:r w:rsidR="00570BAF">
              <w:rPr>
                <w:lang w:val="en-AU"/>
              </w:rPr>
              <w:t>2</w:t>
            </w:r>
          </w:p>
        </w:tc>
      </w:tr>
      <w:tr w:rsidR="002E6F88" w:rsidTr="006D5987">
        <w:tc>
          <w:tcPr>
            <w:tcW w:w="2254" w:type="dxa"/>
          </w:tcPr>
          <w:p w:rsidR="002E6F88" w:rsidRDefault="002E6F88" w:rsidP="006D5987">
            <w:pPr>
              <w:rPr>
                <w:lang w:val="en-AU"/>
              </w:rPr>
            </w:pPr>
            <w:r>
              <w:rPr>
                <w:lang w:val="en-AU"/>
              </w:rPr>
              <w:t>Canberra-Sydney (a)</w:t>
            </w:r>
          </w:p>
        </w:tc>
        <w:tc>
          <w:tcPr>
            <w:tcW w:w="2254" w:type="dxa"/>
          </w:tcPr>
          <w:p w:rsidR="002E6F88" w:rsidRDefault="002E6F88" w:rsidP="006D5987">
            <w:pPr>
              <w:rPr>
                <w:lang w:val="en-AU"/>
              </w:rPr>
            </w:pPr>
            <w:r>
              <w:rPr>
                <w:lang w:val="en-AU"/>
              </w:rPr>
              <w:t>26900</w:t>
            </w:r>
          </w:p>
        </w:tc>
        <w:tc>
          <w:tcPr>
            <w:tcW w:w="2254" w:type="dxa"/>
          </w:tcPr>
          <w:p w:rsidR="002E6F88" w:rsidRDefault="002E6F88" w:rsidP="00570BAF">
            <w:pPr>
              <w:rPr>
                <w:lang w:val="en-AU"/>
              </w:rPr>
            </w:pPr>
            <w:r>
              <w:rPr>
                <w:lang w:val="en-AU"/>
              </w:rPr>
              <w:t>0.2</w:t>
            </w:r>
          </w:p>
        </w:tc>
      </w:tr>
      <w:tr w:rsidR="002E6F88" w:rsidTr="006D5987">
        <w:tc>
          <w:tcPr>
            <w:tcW w:w="2254" w:type="dxa"/>
          </w:tcPr>
          <w:p w:rsidR="002E6F88" w:rsidRDefault="002E6F88" w:rsidP="006D5987">
            <w:pPr>
              <w:rPr>
                <w:lang w:val="en-AU"/>
              </w:rPr>
            </w:pPr>
            <w:r>
              <w:rPr>
                <w:lang w:val="en-AU"/>
              </w:rPr>
              <w:t>Sydney-Newcastle</w:t>
            </w:r>
          </w:p>
        </w:tc>
        <w:tc>
          <w:tcPr>
            <w:tcW w:w="2254" w:type="dxa"/>
          </w:tcPr>
          <w:p w:rsidR="002E6F88" w:rsidRDefault="002E6F88" w:rsidP="006D5987">
            <w:pPr>
              <w:rPr>
                <w:lang w:val="en-AU"/>
              </w:rPr>
            </w:pPr>
            <w:r>
              <w:rPr>
                <w:lang w:val="en-AU"/>
              </w:rPr>
              <w:t>18900</w:t>
            </w:r>
          </w:p>
        </w:tc>
        <w:tc>
          <w:tcPr>
            <w:tcW w:w="2254" w:type="dxa"/>
          </w:tcPr>
          <w:p w:rsidR="002E6F88" w:rsidRDefault="002E6F88" w:rsidP="00570BAF">
            <w:pPr>
              <w:rPr>
                <w:lang w:val="en-AU"/>
              </w:rPr>
            </w:pPr>
            <w:r>
              <w:rPr>
                <w:lang w:val="en-AU"/>
              </w:rPr>
              <w:t>0.</w:t>
            </w:r>
            <w:r w:rsidR="00570BAF">
              <w:rPr>
                <w:lang w:val="en-AU"/>
              </w:rPr>
              <w:t>3</w:t>
            </w:r>
          </w:p>
        </w:tc>
      </w:tr>
      <w:tr w:rsidR="002E6F88" w:rsidTr="006D5987">
        <w:tc>
          <w:tcPr>
            <w:tcW w:w="2254" w:type="dxa"/>
          </w:tcPr>
          <w:p w:rsidR="002E6F88" w:rsidRDefault="002E6F88" w:rsidP="006D5987">
            <w:pPr>
              <w:rPr>
                <w:lang w:val="en-AU"/>
              </w:rPr>
            </w:pPr>
            <w:r>
              <w:rPr>
                <w:lang w:val="en-AU"/>
              </w:rPr>
              <w:t>Sydney-Brisbane</w:t>
            </w:r>
          </w:p>
        </w:tc>
        <w:tc>
          <w:tcPr>
            <w:tcW w:w="2254" w:type="dxa"/>
          </w:tcPr>
          <w:p w:rsidR="002E6F88" w:rsidRDefault="002E6F88" w:rsidP="006D5987">
            <w:pPr>
              <w:rPr>
                <w:lang w:val="en-AU"/>
              </w:rPr>
            </w:pPr>
            <w:r>
              <w:rPr>
                <w:lang w:val="en-AU"/>
              </w:rPr>
              <w:t>64200</w:t>
            </w:r>
          </w:p>
        </w:tc>
        <w:tc>
          <w:tcPr>
            <w:tcW w:w="2254" w:type="dxa"/>
          </w:tcPr>
          <w:p w:rsidR="002E6F88" w:rsidRDefault="002E6F88" w:rsidP="00570BAF">
            <w:pPr>
              <w:rPr>
                <w:lang w:val="en-AU"/>
              </w:rPr>
            </w:pPr>
            <w:r>
              <w:rPr>
                <w:lang w:val="en-AU"/>
              </w:rPr>
              <w:t>0.1</w:t>
            </w:r>
          </w:p>
        </w:tc>
      </w:tr>
    </w:tbl>
    <w:p w:rsidR="002E6F88" w:rsidRPr="00592BE4" w:rsidRDefault="002E6F88" w:rsidP="002E6F88">
      <w:pPr>
        <w:pStyle w:val="ListParagraph"/>
        <w:numPr>
          <w:ilvl w:val="0"/>
          <w:numId w:val="2"/>
        </w:numPr>
        <w:ind w:hanging="720"/>
        <w:rPr>
          <w:sz w:val="16"/>
          <w:szCs w:val="16"/>
          <w:lang w:val="en-AU"/>
        </w:rPr>
      </w:pPr>
      <w:r w:rsidRPr="00592BE4">
        <w:rPr>
          <w:sz w:val="16"/>
          <w:szCs w:val="16"/>
          <w:lang w:val="en-AU"/>
        </w:rPr>
        <w:t>Inclusion of en</w:t>
      </w:r>
      <w:r w:rsidR="00760C91">
        <w:rPr>
          <w:sz w:val="16"/>
          <w:szCs w:val="16"/>
          <w:lang w:val="en-AU"/>
        </w:rPr>
        <w:t>-</w:t>
      </w:r>
      <w:r w:rsidRPr="00592BE4">
        <w:rPr>
          <w:sz w:val="16"/>
          <w:szCs w:val="16"/>
          <w:lang w:val="en-AU"/>
        </w:rPr>
        <w:t xml:space="preserve">route populations would increase </w:t>
      </w:r>
      <w:r>
        <w:rPr>
          <w:sz w:val="16"/>
          <w:szCs w:val="16"/>
          <w:lang w:val="en-AU"/>
        </w:rPr>
        <w:t xml:space="preserve">simple </w:t>
      </w:r>
      <w:r w:rsidRPr="00592BE4">
        <w:rPr>
          <w:sz w:val="16"/>
          <w:szCs w:val="16"/>
          <w:lang w:val="en-AU"/>
        </w:rPr>
        <w:t xml:space="preserve">densities for Melbourne-Sydney </w:t>
      </w:r>
      <w:r>
        <w:rPr>
          <w:sz w:val="16"/>
          <w:szCs w:val="16"/>
          <w:lang w:val="en-AU"/>
        </w:rPr>
        <w:t>(e</w:t>
      </w:r>
      <w:r w:rsidRPr="00592BE4">
        <w:rPr>
          <w:sz w:val="16"/>
          <w:szCs w:val="16"/>
          <w:lang w:val="en-AU"/>
        </w:rPr>
        <w:t>g. Including Canberra</w:t>
      </w:r>
      <w:r>
        <w:rPr>
          <w:sz w:val="16"/>
          <w:szCs w:val="16"/>
          <w:lang w:val="en-AU"/>
        </w:rPr>
        <w:t xml:space="preserve"> by 3%)</w:t>
      </w:r>
      <w:r w:rsidRPr="00592BE4">
        <w:rPr>
          <w:sz w:val="16"/>
          <w:szCs w:val="16"/>
          <w:lang w:val="en-AU"/>
        </w:rPr>
        <w:t xml:space="preserve">, Sydney-Newcastle </w:t>
      </w:r>
      <w:r>
        <w:rPr>
          <w:sz w:val="16"/>
          <w:szCs w:val="16"/>
          <w:lang w:val="en-AU"/>
        </w:rPr>
        <w:t>(</w:t>
      </w:r>
      <w:r w:rsidRPr="00592BE4">
        <w:rPr>
          <w:sz w:val="16"/>
          <w:szCs w:val="16"/>
          <w:lang w:val="en-AU"/>
        </w:rPr>
        <w:t>eg. Including Central Coast</w:t>
      </w:r>
      <w:r>
        <w:rPr>
          <w:sz w:val="16"/>
          <w:szCs w:val="16"/>
          <w:lang w:val="en-AU"/>
        </w:rPr>
        <w:t xml:space="preserve"> by 6%)</w:t>
      </w:r>
      <w:r w:rsidRPr="00592BE4">
        <w:rPr>
          <w:sz w:val="16"/>
          <w:szCs w:val="16"/>
          <w:lang w:val="en-AU"/>
        </w:rPr>
        <w:t xml:space="preserve">, and Sydney-Brisbane </w:t>
      </w:r>
      <w:r>
        <w:rPr>
          <w:sz w:val="16"/>
          <w:szCs w:val="16"/>
          <w:lang w:val="en-AU"/>
        </w:rPr>
        <w:t>(</w:t>
      </w:r>
      <w:r w:rsidRPr="00592BE4">
        <w:rPr>
          <w:sz w:val="16"/>
          <w:szCs w:val="16"/>
          <w:lang w:val="en-AU"/>
        </w:rPr>
        <w:t>eg. Including Coffs Harbour, Port Macquarie and Newcastle</w:t>
      </w:r>
      <w:r>
        <w:rPr>
          <w:sz w:val="16"/>
          <w:szCs w:val="16"/>
          <w:lang w:val="en-AU"/>
        </w:rPr>
        <w:t xml:space="preserve"> by 17%).  It would not change orders of magnitude or relativities</w:t>
      </w:r>
      <w:r w:rsidRPr="00592BE4">
        <w:rPr>
          <w:sz w:val="16"/>
          <w:szCs w:val="16"/>
          <w:lang w:val="en-AU"/>
        </w:rPr>
        <w:t xml:space="preserve">  </w:t>
      </w:r>
    </w:p>
    <w:p w:rsidR="002E6F88" w:rsidRDefault="002E6F88" w:rsidP="002E6F88">
      <w:pPr>
        <w:rPr>
          <w:lang w:val="en-AU"/>
        </w:rPr>
      </w:pPr>
      <w:r>
        <w:rPr>
          <w:lang w:val="en-AU"/>
        </w:rPr>
        <w:t>Again Sydney-Newcastle is by far the best even taking into account relatively high costs per km.  Inclusion of the Central Coast</w:t>
      </w:r>
      <w:r w:rsidR="00A275AE">
        <w:rPr>
          <w:lang w:val="en-AU"/>
        </w:rPr>
        <w:t>, near as populous as Canberra,</w:t>
      </w:r>
      <w:r>
        <w:rPr>
          <w:lang w:val="en-AU"/>
        </w:rPr>
        <w:t xml:space="preserve"> put</w:t>
      </w:r>
      <w:r w:rsidR="00760C91">
        <w:rPr>
          <w:lang w:val="en-AU"/>
        </w:rPr>
        <w:t>s</w:t>
      </w:r>
      <w:r>
        <w:rPr>
          <w:lang w:val="en-AU"/>
        </w:rPr>
        <w:t xml:space="preserve"> Sydney-Newcastle further ahead.    </w:t>
      </w:r>
    </w:p>
    <w:p w:rsidR="00DA1FE1" w:rsidRDefault="00BB5903" w:rsidP="002E6F88">
      <w:pPr>
        <w:rPr>
          <w:lang w:val="en-AU"/>
        </w:rPr>
      </w:pPr>
      <w:r>
        <w:rPr>
          <w:lang w:val="en-AU"/>
        </w:rPr>
        <w:t xml:space="preserve">A higher level of sophistication, but more tenuous, is to consider </w:t>
      </w:r>
      <w:r w:rsidR="001B571C">
        <w:rPr>
          <w:lang w:val="en-AU"/>
        </w:rPr>
        <w:t xml:space="preserve">future </w:t>
      </w:r>
      <w:r>
        <w:rPr>
          <w:lang w:val="en-AU"/>
        </w:rPr>
        <w:t xml:space="preserve">demand </w:t>
      </w:r>
      <w:r w:rsidR="00111092">
        <w:rPr>
          <w:lang w:val="en-AU"/>
        </w:rPr>
        <w:t xml:space="preserve">- </w:t>
      </w:r>
      <w:r w:rsidR="001B571C">
        <w:rPr>
          <w:lang w:val="en-AU"/>
        </w:rPr>
        <w:t xml:space="preserve">likely </w:t>
      </w:r>
      <w:r>
        <w:rPr>
          <w:lang w:val="en-AU"/>
        </w:rPr>
        <w:t xml:space="preserve">travellers, rather than population.  </w:t>
      </w:r>
      <w:r w:rsidR="001B571C">
        <w:rPr>
          <w:lang w:val="en-AU"/>
        </w:rPr>
        <w:t>Future d</w:t>
      </w:r>
      <w:r>
        <w:rPr>
          <w:lang w:val="en-AU"/>
        </w:rPr>
        <w:t xml:space="preserve">emand divided by cost </w:t>
      </w:r>
      <w:r w:rsidR="001B571C">
        <w:rPr>
          <w:lang w:val="en-AU"/>
        </w:rPr>
        <w:t>is analogous</w:t>
      </w:r>
      <w:r>
        <w:rPr>
          <w:lang w:val="en-AU"/>
        </w:rPr>
        <w:t xml:space="preserve"> to density, albeit at a different scale.   </w:t>
      </w:r>
      <w:r w:rsidR="001B571C">
        <w:rPr>
          <w:lang w:val="en-AU"/>
        </w:rPr>
        <w:t>This is shown in Table 3.</w:t>
      </w:r>
    </w:p>
    <w:p w:rsidR="00DA1FE1" w:rsidRDefault="00DA1FE1" w:rsidP="00DA1FE1">
      <w:pPr>
        <w:rPr>
          <w:lang w:val="en-AU"/>
        </w:rPr>
      </w:pPr>
      <w:r>
        <w:rPr>
          <w:lang w:val="en-AU"/>
        </w:rPr>
        <w:br w:type="page"/>
      </w:r>
    </w:p>
    <w:p w:rsidR="00BB5903" w:rsidRDefault="00BB5903" w:rsidP="002E6F88">
      <w:pPr>
        <w:rPr>
          <w:lang w:val="en-AU"/>
        </w:rPr>
      </w:pPr>
    </w:p>
    <w:p w:rsidR="002E6F88" w:rsidRPr="00723752" w:rsidRDefault="002E6F88" w:rsidP="00760C91">
      <w:pPr>
        <w:spacing w:after="0"/>
        <w:rPr>
          <w:b/>
          <w:lang w:val="en-AU"/>
        </w:rPr>
      </w:pPr>
      <w:r w:rsidRPr="00723752">
        <w:rPr>
          <w:b/>
          <w:lang w:val="en-AU"/>
        </w:rPr>
        <w:t xml:space="preserve">Table </w:t>
      </w:r>
      <w:r w:rsidR="00495485">
        <w:rPr>
          <w:b/>
          <w:lang w:val="en-AU"/>
        </w:rPr>
        <w:t>3</w:t>
      </w:r>
      <w:r w:rsidR="001B571C">
        <w:rPr>
          <w:b/>
          <w:lang w:val="en-AU"/>
        </w:rPr>
        <w:t>:</w:t>
      </w:r>
      <w:r w:rsidR="00570BAF">
        <w:rPr>
          <w:b/>
          <w:lang w:val="en-AU"/>
        </w:rPr>
        <w:t xml:space="preserve"> </w:t>
      </w:r>
      <w:r w:rsidR="001B571C">
        <w:rPr>
          <w:b/>
          <w:lang w:val="en-AU"/>
        </w:rPr>
        <w:t>S</w:t>
      </w:r>
      <w:r w:rsidRPr="00723752">
        <w:rPr>
          <w:b/>
          <w:lang w:val="en-AU"/>
        </w:rPr>
        <w:t xml:space="preserve">econd study </w:t>
      </w:r>
      <w:r w:rsidR="001B571C">
        <w:rPr>
          <w:b/>
          <w:lang w:val="en-AU"/>
        </w:rPr>
        <w:t>future demand</w:t>
      </w:r>
      <w:r w:rsidR="00A3511E">
        <w:rPr>
          <w:b/>
          <w:lang w:val="en-AU"/>
        </w:rPr>
        <w:t>, adjusted for intermediate Canberra demand</w:t>
      </w:r>
    </w:p>
    <w:tbl>
      <w:tblPr>
        <w:tblStyle w:val="TableGrid"/>
        <w:tblW w:w="0" w:type="auto"/>
        <w:tblLook w:val="04A0" w:firstRow="1" w:lastRow="0" w:firstColumn="1" w:lastColumn="0" w:noHBand="0" w:noVBand="1"/>
      </w:tblPr>
      <w:tblGrid>
        <w:gridCol w:w="2254"/>
        <w:gridCol w:w="2254"/>
        <w:gridCol w:w="2254"/>
      </w:tblGrid>
      <w:tr w:rsidR="002E6F88" w:rsidRPr="00EE216F" w:rsidTr="006D5987">
        <w:tc>
          <w:tcPr>
            <w:tcW w:w="2254" w:type="dxa"/>
          </w:tcPr>
          <w:p w:rsidR="002E6F88" w:rsidRPr="00EE216F" w:rsidRDefault="002E6F88" w:rsidP="006D5987">
            <w:pPr>
              <w:rPr>
                <w:b/>
                <w:lang w:val="en-AU"/>
              </w:rPr>
            </w:pPr>
            <w:r w:rsidRPr="00EE216F">
              <w:rPr>
                <w:b/>
                <w:lang w:val="en-AU"/>
              </w:rPr>
              <w:t>Pairing</w:t>
            </w:r>
          </w:p>
        </w:tc>
        <w:tc>
          <w:tcPr>
            <w:tcW w:w="2254" w:type="dxa"/>
          </w:tcPr>
          <w:p w:rsidR="002E6F88" w:rsidRPr="00EE216F" w:rsidRDefault="002E6F88" w:rsidP="006D5987">
            <w:pPr>
              <w:rPr>
                <w:b/>
                <w:lang w:val="en-AU"/>
              </w:rPr>
            </w:pPr>
            <w:r>
              <w:rPr>
                <w:b/>
                <w:lang w:val="en-AU"/>
              </w:rPr>
              <w:t>Demand 2065</w:t>
            </w:r>
          </w:p>
        </w:tc>
        <w:tc>
          <w:tcPr>
            <w:tcW w:w="2254" w:type="dxa"/>
          </w:tcPr>
          <w:p w:rsidR="002E6F88" w:rsidRPr="00EE216F" w:rsidRDefault="00570BAF" w:rsidP="00570BAF">
            <w:pPr>
              <w:rPr>
                <w:b/>
                <w:lang w:val="en-AU"/>
              </w:rPr>
            </w:pPr>
            <w:r>
              <w:rPr>
                <w:b/>
                <w:lang w:val="en-AU"/>
              </w:rPr>
              <w:t>Demand/cost</w:t>
            </w:r>
          </w:p>
        </w:tc>
      </w:tr>
      <w:tr w:rsidR="002E6F88" w:rsidTr="006D5987">
        <w:tc>
          <w:tcPr>
            <w:tcW w:w="2254" w:type="dxa"/>
          </w:tcPr>
          <w:p w:rsidR="002E6F88" w:rsidRDefault="002E6F88" w:rsidP="00A3511E">
            <w:pPr>
              <w:rPr>
                <w:lang w:val="en-AU"/>
              </w:rPr>
            </w:pPr>
            <w:r>
              <w:rPr>
                <w:lang w:val="en-AU"/>
              </w:rPr>
              <w:t>Melbourne-Sydney</w:t>
            </w:r>
          </w:p>
        </w:tc>
        <w:tc>
          <w:tcPr>
            <w:tcW w:w="2254" w:type="dxa"/>
          </w:tcPr>
          <w:p w:rsidR="002E6F88" w:rsidRDefault="002E6F88" w:rsidP="006D5987">
            <w:pPr>
              <w:rPr>
                <w:lang w:val="en-AU"/>
              </w:rPr>
            </w:pPr>
            <w:r>
              <w:rPr>
                <w:lang w:val="en-AU"/>
              </w:rPr>
              <w:t>39930</w:t>
            </w:r>
          </w:p>
        </w:tc>
        <w:tc>
          <w:tcPr>
            <w:tcW w:w="2254" w:type="dxa"/>
          </w:tcPr>
          <w:p w:rsidR="002E6F88" w:rsidRDefault="002E6F88" w:rsidP="006D5987">
            <w:pPr>
              <w:rPr>
                <w:lang w:val="en-AU"/>
              </w:rPr>
            </w:pPr>
            <w:r>
              <w:rPr>
                <w:lang w:val="en-AU"/>
              </w:rPr>
              <w:t>1.3</w:t>
            </w:r>
          </w:p>
        </w:tc>
      </w:tr>
      <w:tr w:rsidR="002E6F88" w:rsidTr="006D5987">
        <w:tc>
          <w:tcPr>
            <w:tcW w:w="2254" w:type="dxa"/>
          </w:tcPr>
          <w:p w:rsidR="002E6F88" w:rsidRPr="008D6633" w:rsidRDefault="002E6F88" w:rsidP="006D5987">
            <w:pPr>
              <w:rPr>
                <w:i/>
                <w:sz w:val="18"/>
                <w:szCs w:val="18"/>
                <w:lang w:val="en-AU"/>
              </w:rPr>
            </w:pPr>
            <w:r w:rsidRPr="008D6633">
              <w:rPr>
                <w:i/>
                <w:sz w:val="18"/>
                <w:szCs w:val="18"/>
                <w:lang w:val="en-AU"/>
              </w:rPr>
              <w:t>Canberra-Sydney</w:t>
            </w:r>
            <w:r w:rsidR="00A3511E">
              <w:rPr>
                <w:i/>
                <w:sz w:val="18"/>
                <w:szCs w:val="18"/>
                <w:lang w:val="en-AU"/>
              </w:rPr>
              <w:t xml:space="preserve"> (a)</w:t>
            </w:r>
          </w:p>
        </w:tc>
        <w:tc>
          <w:tcPr>
            <w:tcW w:w="2254" w:type="dxa"/>
          </w:tcPr>
          <w:p w:rsidR="002E6F88" w:rsidRPr="008D6633" w:rsidRDefault="002E6F88" w:rsidP="006D5987">
            <w:pPr>
              <w:rPr>
                <w:i/>
                <w:sz w:val="18"/>
                <w:szCs w:val="18"/>
                <w:lang w:val="en-AU"/>
              </w:rPr>
            </w:pPr>
            <w:r w:rsidRPr="008D6633">
              <w:rPr>
                <w:i/>
                <w:sz w:val="18"/>
                <w:szCs w:val="18"/>
                <w:lang w:val="en-AU"/>
              </w:rPr>
              <w:t>8440</w:t>
            </w:r>
          </w:p>
        </w:tc>
        <w:tc>
          <w:tcPr>
            <w:tcW w:w="2254" w:type="dxa"/>
          </w:tcPr>
          <w:p w:rsidR="002E6F88" w:rsidRPr="008D6633" w:rsidRDefault="002E6F88" w:rsidP="006D5987">
            <w:pPr>
              <w:rPr>
                <w:i/>
                <w:sz w:val="18"/>
                <w:szCs w:val="18"/>
                <w:lang w:val="en-AU"/>
              </w:rPr>
            </w:pPr>
            <w:r w:rsidRPr="008D6633">
              <w:rPr>
                <w:i/>
                <w:sz w:val="18"/>
                <w:szCs w:val="18"/>
                <w:lang w:val="en-AU"/>
              </w:rPr>
              <w:t>5.1</w:t>
            </w:r>
          </w:p>
        </w:tc>
      </w:tr>
      <w:tr w:rsidR="002E6F88" w:rsidTr="006D5987">
        <w:tc>
          <w:tcPr>
            <w:tcW w:w="2254" w:type="dxa"/>
          </w:tcPr>
          <w:p w:rsidR="002E6F88" w:rsidRDefault="002E6F88" w:rsidP="00A3511E">
            <w:pPr>
              <w:rPr>
                <w:lang w:val="en-AU"/>
              </w:rPr>
            </w:pPr>
            <w:r>
              <w:rPr>
                <w:lang w:val="en-AU"/>
              </w:rPr>
              <w:t>Canberra-Sydney</w:t>
            </w:r>
            <w:r w:rsidR="00A3511E">
              <w:rPr>
                <w:lang w:val="en-AU"/>
              </w:rPr>
              <w:t xml:space="preserve"> (b)</w:t>
            </w:r>
          </w:p>
        </w:tc>
        <w:tc>
          <w:tcPr>
            <w:tcW w:w="2254" w:type="dxa"/>
          </w:tcPr>
          <w:p w:rsidR="002E6F88" w:rsidRDefault="002E6F88" w:rsidP="006D5987">
            <w:pPr>
              <w:rPr>
                <w:lang w:val="en-AU"/>
              </w:rPr>
            </w:pPr>
            <w:r>
              <w:rPr>
                <w:lang w:val="en-AU"/>
              </w:rPr>
              <w:t>5270</w:t>
            </w:r>
          </w:p>
        </w:tc>
        <w:tc>
          <w:tcPr>
            <w:tcW w:w="2254" w:type="dxa"/>
          </w:tcPr>
          <w:p w:rsidR="002E6F88" w:rsidRDefault="002E6F88" w:rsidP="006D5987">
            <w:pPr>
              <w:rPr>
                <w:lang w:val="en-AU"/>
              </w:rPr>
            </w:pPr>
            <w:r>
              <w:rPr>
                <w:lang w:val="en-AU"/>
              </w:rPr>
              <w:t>3.2</w:t>
            </w:r>
          </w:p>
        </w:tc>
      </w:tr>
      <w:tr w:rsidR="002E6F88" w:rsidTr="006D5987">
        <w:tc>
          <w:tcPr>
            <w:tcW w:w="2254" w:type="dxa"/>
          </w:tcPr>
          <w:p w:rsidR="002E6F88" w:rsidRDefault="002E6F88" w:rsidP="006D5987">
            <w:pPr>
              <w:rPr>
                <w:lang w:val="en-AU"/>
              </w:rPr>
            </w:pPr>
            <w:r>
              <w:rPr>
                <w:lang w:val="en-AU"/>
              </w:rPr>
              <w:t>Sydney-Newcastle</w:t>
            </w:r>
          </w:p>
        </w:tc>
        <w:tc>
          <w:tcPr>
            <w:tcW w:w="2254" w:type="dxa"/>
          </w:tcPr>
          <w:p w:rsidR="002E6F88" w:rsidRDefault="002E6F88" w:rsidP="006D5987">
            <w:pPr>
              <w:rPr>
                <w:lang w:val="en-AU"/>
              </w:rPr>
            </w:pPr>
            <w:r>
              <w:rPr>
                <w:lang w:val="en-AU"/>
              </w:rPr>
              <w:t>4920</w:t>
            </w:r>
          </w:p>
        </w:tc>
        <w:tc>
          <w:tcPr>
            <w:tcW w:w="2254" w:type="dxa"/>
          </w:tcPr>
          <w:p w:rsidR="002E6F88" w:rsidRDefault="002E6F88" w:rsidP="006D5987">
            <w:pPr>
              <w:rPr>
                <w:lang w:val="en-AU"/>
              </w:rPr>
            </w:pPr>
            <w:r>
              <w:rPr>
                <w:lang w:val="en-AU"/>
              </w:rPr>
              <w:t>3.8</w:t>
            </w:r>
          </w:p>
        </w:tc>
      </w:tr>
      <w:tr w:rsidR="002E6F88" w:rsidTr="006D5987">
        <w:tc>
          <w:tcPr>
            <w:tcW w:w="2254" w:type="dxa"/>
          </w:tcPr>
          <w:p w:rsidR="002E6F88" w:rsidRDefault="002E6F88" w:rsidP="006D5987">
            <w:pPr>
              <w:rPr>
                <w:lang w:val="en-AU"/>
              </w:rPr>
            </w:pPr>
            <w:r>
              <w:rPr>
                <w:lang w:val="en-AU"/>
              </w:rPr>
              <w:t>Sydney-Brisbane</w:t>
            </w:r>
          </w:p>
        </w:tc>
        <w:tc>
          <w:tcPr>
            <w:tcW w:w="2254" w:type="dxa"/>
          </w:tcPr>
          <w:p w:rsidR="002E6F88" w:rsidRDefault="002E6F88" w:rsidP="006D5987">
            <w:pPr>
              <w:rPr>
                <w:lang w:val="en-AU"/>
              </w:rPr>
            </w:pPr>
            <w:r>
              <w:rPr>
                <w:lang w:val="en-AU"/>
              </w:rPr>
              <w:t>33130</w:t>
            </w:r>
          </w:p>
        </w:tc>
        <w:tc>
          <w:tcPr>
            <w:tcW w:w="2254" w:type="dxa"/>
          </w:tcPr>
          <w:p w:rsidR="002E6F88" w:rsidRDefault="002E6F88" w:rsidP="006D5987">
            <w:pPr>
              <w:rPr>
                <w:lang w:val="en-AU"/>
              </w:rPr>
            </w:pPr>
            <w:r>
              <w:rPr>
                <w:lang w:val="en-AU"/>
              </w:rPr>
              <w:t>1.9</w:t>
            </w:r>
          </w:p>
        </w:tc>
      </w:tr>
    </w:tbl>
    <w:p w:rsidR="002E6F88" w:rsidRDefault="00E2260E" w:rsidP="002E6F88">
      <w:pPr>
        <w:pStyle w:val="ListParagraph"/>
        <w:numPr>
          <w:ilvl w:val="0"/>
          <w:numId w:val="1"/>
        </w:numPr>
        <w:ind w:left="426" w:hanging="426"/>
        <w:rPr>
          <w:sz w:val="18"/>
          <w:szCs w:val="18"/>
          <w:lang w:val="en-AU"/>
        </w:rPr>
      </w:pPr>
      <w:r>
        <w:rPr>
          <w:sz w:val="18"/>
          <w:szCs w:val="18"/>
          <w:lang w:val="en-AU"/>
        </w:rPr>
        <w:t>These r</w:t>
      </w:r>
      <w:r w:rsidR="00A3511E">
        <w:rPr>
          <w:sz w:val="18"/>
          <w:szCs w:val="18"/>
          <w:lang w:val="en-AU"/>
        </w:rPr>
        <w:t>eport figures include</w:t>
      </w:r>
      <w:r w:rsidR="002E6F88">
        <w:rPr>
          <w:sz w:val="18"/>
          <w:szCs w:val="18"/>
          <w:lang w:val="en-AU"/>
        </w:rPr>
        <w:t xml:space="preserve"> </w:t>
      </w:r>
      <w:r w:rsidR="00F4555A">
        <w:rPr>
          <w:sz w:val="18"/>
          <w:szCs w:val="18"/>
          <w:lang w:val="en-AU"/>
        </w:rPr>
        <w:t>surprisingly</w:t>
      </w:r>
      <w:r w:rsidR="002E6F88" w:rsidRPr="00B9495F">
        <w:rPr>
          <w:sz w:val="18"/>
          <w:szCs w:val="18"/>
          <w:lang w:val="en-AU"/>
        </w:rPr>
        <w:t xml:space="preserve"> large demand from intermediate stations; </w:t>
      </w:r>
      <w:r w:rsidR="002E6F88">
        <w:rPr>
          <w:sz w:val="18"/>
          <w:szCs w:val="18"/>
          <w:lang w:val="en-AU"/>
        </w:rPr>
        <w:t xml:space="preserve">3250 </w:t>
      </w:r>
      <w:r w:rsidR="002E6F88" w:rsidRPr="00B9495F">
        <w:rPr>
          <w:sz w:val="18"/>
          <w:szCs w:val="18"/>
          <w:lang w:val="en-AU"/>
        </w:rPr>
        <w:t>units</w:t>
      </w:r>
      <w:r w:rsidR="00F4555A">
        <w:rPr>
          <w:sz w:val="18"/>
          <w:szCs w:val="18"/>
          <w:lang w:val="en-AU"/>
        </w:rPr>
        <w:t>.  Surprising</w:t>
      </w:r>
      <w:r w:rsidR="002E6F88" w:rsidRPr="00B9495F">
        <w:rPr>
          <w:sz w:val="18"/>
          <w:szCs w:val="18"/>
          <w:lang w:val="en-AU"/>
        </w:rPr>
        <w:t xml:space="preserve"> because the route is via the southern highlands where total population including Goulburn is in the order of 70,000; around one fifth of the Central Coast and one tenth of the Newcastle region the t</w:t>
      </w:r>
      <w:r w:rsidR="002E6F88">
        <w:rPr>
          <w:sz w:val="18"/>
          <w:szCs w:val="18"/>
          <w:lang w:val="en-AU"/>
        </w:rPr>
        <w:t>wo</w:t>
      </w:r>
      <w:r w:rsidR="002E6F88" w:rsidRPr="00B9495F">
        <w:rPr>
          <w:sz w:val="18"/>
          <w:szCs w:val="18"/>
          <w:lang w:val="en-AU"/>
        </w:rPr>
        <w:t xml:space="preserve"> of which generate only around </w:t>
      </w:r>
      <w:r w:rsidR="002E6F88">
        <w:rPr>
          <w:sz w:val="18"/>
          <w:szCs w:val="18"/>
          <w:lang w:val="en-AU"/>
        </w:rPr>
        <w:t>4900</w:t>
      </w:r>
      <w:r w:rsidR="002E6F88" w:rsidRPr="00B9495F">
        <w:rPr>
          <w:sz w:val="18"/>
          <w:szCs w:val="18"/>
          <w:lang w:val="en-AU"/>
        </w:rPr>
        <w:t xml:space="preserve"> units </w:t>
      </w:r>
      <w:r w:rsidR="00404C0D" w:rsidRPr="00B9495F">
        <w:rPr>
          <w:sz w:val="18"/>
          <w:szCs w:val="18"/>
          <w:lang w:val="en-AU"/>
        </w:rPr>
        <w:t>i.e.</w:t>
      </w:r>
      <w:r w:rsidR="002E6F88" w:rsidRPr="00B9495F">
        <w:rPr>
          <w:sz w:val="18"/>
          <w:szCs w:val="18"/>
          <w:lang w:val="en-AU"/>
        </w:rPr>
        <w:t xml:space="preserve">; similar localities with </w:t>
      </w:r>
      <w:r w:rsidR="002E6F88">
        <w:rPr>
          <w:sz w:val="18"/>
          <w:szCs w:val="18"/>
          <w:lang w:val="en-AU"/>
        </w:rPr>
        <w:t>fifteen</w:t>
      </w:r>
      <w:r w:rsidR="002E6F88" w:rsidRPr="00B9495F">
        <w:rPr>
          <w:sz w:val="18"/>
          <w:szCs w:val="18"/>
          <w:lang w:val="en-AU"/>
        </w:rPr>
        <w:t xml:space="preserve"> times the population generate </w:t>
      </w:r>
      <w:r w:rsidR="002E6F88">
        <w:rPr>
          <w:sz w:val="18"/>
          <w:szCs w:val="18"/>
          <w:lang w:val="en-AU"/>
        </w:rPr>
        <w:t>just 50% more than</w:t>
      </w:r>
      <w:r w:rsidR="002E6F88" w:rsidRPr="00B9495F">
        <w:rPr>
          <w:sz w:val="18"/>
          <w:szCs w:val="18"/>
          <w:lang w:val="en-AU"/>
        </w:rPr>
        <w:t xml:space="preserve"> </w:t>
      </w:r>
      <w:r w:rsidR="002E6F88">
        <w:rPr>
          <w:sz w:val="18"/>
          <w:szCs w:val="18"/>
          <w:lang w:val="en-AU"/>
        </w:rPr>
        <w:t xml:space="preserve">purported Canberra-intermediate </w:t>
      </w:r>
      <w:r w:rsidR="002E6F88" w:rsidRPr="00B9495F">
        <w:rPr>
          <w:sz w:val="18"/>
          <w:szCs w:val="18"/>
          <w:lang w:val="en-AU"/>
        </w:rPr>
        <w:t xml:space="preserve">demand.  The Campbelltown </w:t>
      </w:r>
      <w:r w:rsidR="0059357B">
        <w:rPr>
          <w:sz w:val="18"/>
          <w:szCs w:val="18"/>
          <w:lang w:val="en-AU"/>
        </w:rPr>
        <w:t xml:space="preserve">and Liverpool </w:t>
      </w:r>
      <w:r w:rsidR="002E6F88" w:rsidRPr="00B9495F">
        <w:rPr>
          <w:sz w:val="18"/>
          <w:szCs w:val="18"/>
          <w:lang w:val="en-AU"/>
        </w:rPr>
        <w:t>district might be able to generate such demand</w:t>
      </w:r>
      <w:r w:rsidR="0059357B">
        <w:rPr>
          <w:sz w:val="18"/>
          <w:szCs w:val="18"/>
          <w:lang w:val="en-AU"/>
        </w:rPr>
        <w:t xml:space="preserve"> (population around 350,000)</w:t>
      </w:r>
      <w:r w:rsidR="002E6F88" w:rsidRPr="00B9495F">
        <w:rPr>
          <w:sz w:val="18"/>
          <w:szCs w:val="18"/>
          <w:lang w:val="en-AU"/>
        </w:rPr>
        <w:t xml:space="preserve">, however </w:t>
      </w:r>
      <w:r w:rsidR="0059357B">
        <w:rPr>
          <w:sz w:val="18"/>
          <w:szCs w:val="18"/>
          <w:lang w:val="en-AU"/>
        </w:rPr>
        <w:t>they are</w:t>
      </w:r>
      <w:r w:rsidR="002E6F88" w:rsidRPr="00B9495F">
        <w:rPr>
          <w:sz w:val="18"/>
          <w:szCs w:val="18"/>
          <w:lang w:val="en-AU"/>
        </w:rPr>
        <w:t xml:space="preserve"> within Sydney</w:t>
      </w:r>
      <w:r w:rsidR="00F4555A">
        <w:rPr>
          <w:sz w:val="18"/>
          <w:szCs w:val="18"/>
          <w:lang w:val="en-AU"/>
        </w:rPr>
        <w:t xml:space="preserve">; </w:t>
      </w:r>
      <w:r w:rsidR="0059357B">
        <w:rPr>
          <w:sz w:val="18"/>
          <w:szCs w:val="18"/>
          <w:lang w:val="en-AU"/>
        </w:rPr>
        <w:t xml:space="preserve">both </w:t>
      </w:r>
      <w:r w:rsidR="00F4555A">
        <w:rPr>
          <w:sz w:val="18"/>
          <w:szCs w:val="18"/>
          <w:lang w:val="en-AU"/>
        </w:rPr>
        <w:t xml:space="preserve">less than one hour by road or </w:t>
      </w:r>
      <w:r w:rsidR="0059357B">
        <w:rPr>
          <w:sz w:val="18"/>
          <w:szCs w:val="18"/>
          <w:lang w:val="en-AU"/>
        </w:rPr>
        <w:t>frequent</w:t>
      </w:r>
      <w:r w:rsidR="00F4555A">
        <w:rPr>
          <w:sz w:val="18"/>
          <w:szCs w:val="18"/>
          <w:lang w:val="en-AU"/>
        </w:rPr>
        <w:t xml:space="preserve"> rail services</w:t>
      </w:r>
      <w:r w:rsidR="0059357B">
        <w:rPr>
          <w:sz w:val="18"/>
          <w:szCs w:val="18"/>
          <w:lang w:val="en-AU"/>
        </w:rPr>
        <w:t xml:space="preserve"> to the CBD, and substantially closer than central coast locations such as Gosford</w:t>
      </w:r>
      <w:r w:rsidR="002E6F88" w:rsidRPr="00B9495F">
        <w:rPr>
          <w:sz w:val="18"/>
          <w:szCs w:val="18"/>
          <w:lang w:val="en-AU"/>
        </w:rPr>
        <w:t xml:space="preserve">. </w:t>
      </w:r>
      <w:r w:rsidR="00595C94">
        <w:rPr>
          <w:sz w:val="18"/>
          <w:szCs w:val="18"/>
          <w:lang w:val="en-AU"/>
        </w:rPr>
        <w:t xml:space="preserve">An example of </w:t>
      </w:r>
      <w:r w:rsidR="00F4555A">
        <w:rPr>
          <w:sz w:val="18"/>
          <w:szCs w:val="18"/>
          <w:lang w:val="en-AU"/>
        </w:rPr>
        <w:t>the</w:t>
      </w:r>
      <w:r w:rsidR="00595C94">
        <w:rPr>
          <w:sz w:val="18"/>
          <w:szCs w:val="18"/>
          <w:lang w:val="en-AU"/>
        </w:rPr>
        <w:t xml:space="preserve"> figures </w:t>
      </w:r>
      <w:r w:rsidR="00F4555A">
        <w:rPr>
          <w:sz w:val="18"/>
          <w:szCs w:val="18"/>
          <w:lang w:val="en-AU"/>
        </w:rPr>
        <w:t xml:space="preserve">in question </w:t>
      </w:r>
      <w:r w:rsidR="00595C94">
        <w:rPr>
          <w:sz w:val="18"/>
          <w:szCs w:val="18"/>
          <w:lang w:val="en-AU"/>
        </w:rPr>
        <w:t>is appended.</w:t>
      </w:r>
    </w:p>
    <w:p w:rsidR="00A3511E" w:rsidRPr="00B9495F" w:rsidRDefault="00A3511E" w:rsidP="002E6F88">
      <w:pPr>
        <w:pStyle w:val="ListParagraph"/>
        <w:numPr>
          <w:ilvl w:val="0"/>
          <w:numId w:val="1"/>
        </w:numPr>
        <w:ind w:left="426" w:hanging="426"/>
        <w:rPr>
          <w:sz w:val="18"/>
          <w:szCs w:val="18"/>
          <w:lang w:val="en-AU"/>
        </w:rPr>
      </w:pPr>
      <w:r>
        <w:rPr>
          <w:sz w:val="18"/>
          <w:szCs w:val="18"/>
          <w:lang w:val="en-AU"/>
        </w:rPr>
        <w:t>Adjusted to deal with note a.</w:t>
      </w:r>
    </w:p>
    <w:p w:rsidR="00760C91" w:rsidRDefault="002E6F88" w:rsidP="002E6F88">
      <w:pPr>
        <w:rPr>
          <w:lang w:val="en-AU"/>
        </w:rPr>
      </w:pPr>
      <w:r>
        <w:rPr>
          <w:lang w:val="en-AU"/>
        </w:rPr>
        <w:t xml:space="preserve">The </w:t>
      </w:r>
      <w:r w:rsidR="001B571C">
        <w:rPr>
          <w:lang w:val="en-AU"/>
        </w:rPr>
        <w:t xml:space="preserve">reason for demand being more tenuous is that it is forecast rather than observed. The method and data used in forecasting determines the result.   The </w:t>
      </w:r>
      <w:r w:rsidR="00523CE9">
        <w:rPr>
          <w:lang w:val="en-AU"/>
        </w:rPr>
        <w:t xml:space="preserve">second </w:t>
      </w:r>
      <w:r>
        <w:rPr>
          <w:lang w:val="en-AU"/>
        </w:rPr>
        <w:t xml:space="preserve">study </w:t>
      </w:r>
      <w:r w:rsidR="00523CE9">
        <w:rPr>
          <w:lang w:val="en-AU"/>
        </w:rPr>
        <w:t>presented</w:t>
      </w:r>
      <w:r>
        <w:rPr>
          <w:lang w:val="en-AU"/>
        </w:rPr>
        <w:t xml:space="preserve"> some economic consideration </w:t>
      </w:r>
      <w:r w:rsidR="00523CE9">
        <w:rPr>
          <w:lang w:val="en-AU"/>
        </w:rPr>
        <w:t>which drew</w:t>
      </w:r>
      <w:r>
        <w:rPr>
          <w:lang w:val="en-AU"/>
        </w:rPr>
        <w:t xml:space="preserve"> on </w:t>
      </w:r>
      <w:r w:rsidR="001B571C">
        <w:rPr>
          <w:lang w:val="en-AU"/>
        </w:rPr>
        <w:t>its forecast</w:t>
      </w:r>
      <w:r>
        <w:rPr>
          <w:lang w:val="en-AU"/>
        </w:rPr>
        <w:t xml:space="preserve"> </w:t>
      </w:r>
      <w:r w:rsidR="00760C91">
        <w:rPr>
          <w:lang w:val="en-AU"/>
        </w:rPr>
        <w:t xml:space="preserve">demand </w:t>
      </w:r>
      <w:r w:rsidR="001B571C">
        <w:rPr>
          <w:lang w:val="en-AU"/>
        </w:rPr>
        <w:t>to</w:t>
      </w:r>
      <w:r>
        <w:rPr>
          <w:lang w:val="en-AU"/>
        </w:rPr>
        <w:t xml:space="preserve"> recommend the first phase </w:t>
      </w:r>
      <w:r w:rsidR="00A275AE">
        <w:rPr>
          <w:lang w:val="en-AU"/>
        </w:rPr>
        <w:t xml:space="preserve">of Australian high speed rail </w:t>
      </w:r>
      <w:r>
        <w:rPr>
          <w:lang w:val="en-AU"/>
        </w:rPr>
        <w:t xml:space="preserve">should be Melbourne-Sydney of which the initial stage should be Canberra-Sydney.  </w:t>
      </w:r>
    </w:p>
    <w:p w:rsidR="002E6F88" w:rsidRDefault="002E6F88" w:rsidP="002E6F88">
      <w:pPr>
        <w:rPr>
          <w:lang w:val="en-AU"/>
        </w:rPr>
      </w:pPr>
      <w:r>
        <w:rPr>
          <w:lang w:val="en-AU"/>
        </w:rPr>
        <w:t xml:space="preserve">The conclusion </w:t>
      </w:r>
      <w:r w:rsidR="00A275AE">
        <w:rPr>
          <w:lang w:val="en-AU"/>
        </w:rPr>
        <w:t xml:space="preserve">regarding Canberra </w:t>
      </w:r>
      <w:r>
        <w:rPr>
          <w:lang w:val="en-AU"/>
        </w:rPr>
        <w:t>is suspect for a number of reasons</w:t>
      </w:r>
      <w:r w:rsidR="001B571C">
        <w:rPr>
          <w:lang w:val="en-AU"/>
        </w:rPr>
        <w:t xml:space="preserve">, </w:t>
      </w:r>
      <w:r w:rsidR="00E355DA">
        <w:rPr>
          <w:lang w:val="en-AU"/>
        </w:rPr>
        <w:t xml:space="preserve">largely </w:t>
      </w:r>
      <w:r w:rsidR="001B571C">
        <w:rPr>
          <w:lang w:val="en-AU"/>
        </w:rPr>
        <w:t>relating to questions about forecast demand.</w:t>
      </w:r>
      <w:r>
        <w:rPr>
          <w:lang w:val="en-AU"/>
        </w:rPr>
        <w:t xml:space="preserve">  </w:t>
      </w:r>
    </w:p>
    <w:p w:rsidR="002E6F88" w:rsidRDefault="00760C91" w:rsidP="002E6F88">
      <w:pPr>
        <w:rPr>
          <w:lang w:val="en-AU"/>
        </w:rPr>
      </w:pPr>
      <w:r>
        <w:rPr>
          <w:lang w:val="en-AU"/>
        </w:rPr>
        <w:t>First, g</w:t>
      </w:r>
      <w:r w:rsidR="002E6F88">
        <w:rPr>
          <w:lang w:val="en-AU"/>
        </w:rPr>
        <w:t xml:space="preserve">iven the </w:t>
      </w:r>
      <w:r w:rsidR="001B571C">
        <w:rPr>
          <w:lang w:val="en-AU"/>
        </w:rPr>
        <w:t xml:space="preserve">population </w:t>
      </w:r>
      <w:r w:rsidR="002E6F88">
        <w:rPr>
          <w:lang w:val="en-AU"/>
        </w:rPr>
        <w:t>density figures</w:t>
      </w:r>
      <w:r w:rsidR="001B571C">
        <w:rPr>
          <w:lang w:val="en-AU"/>
        </w:rPr>
        <w:t xml:space="preserve"> (Tables 1 and 2) </w:t>
      </w:r>
      <w:r w:rsidR="002E6F88">
        <w:rPr>
          <w:lang w:val="en-AU"/>
        </w:rPr>
        <w:t xml:space="preserve">the </w:t>
      </w:r>
      <w:r w:rsidR="001B571C">
        <w:rPr>
          <w:lang w:val="en-AU"/>
        </w:rPr>
        <w:t xml:space="preserve">forecast demand and thus </w:t>
      </w:r>
      <w:r w:rsidR="002E6F88">
        <w:rPr>
          <w:lang w:val="en-AU"/>
        </w:rPr>
        <w:t>conclusion is counter</w:t>
      </w:r>
      <w:r>
        <w:rPr>
          <w:lang w:val="en-AU"/>
        </w:rPr>
        <w:t>-</w:t>
      </w:r>
      <w:r w:rsidR="002E6F88">
        <w:rPr>
          <w:lang w:val="en-AU"/>
        </w:rPr>
        <w:t>intuitive</w:t>
      </w:r>
      <w:r w:rsidR="001B571C">
        <w:rPr>
          <w:lang w:val="en-AU"/>
        </w:rPr>
        <w:t xml:space="preserve">.  </w:t>
      </w:r>
      <w:r w:rsidR="00E2260E">
        <w:rPr>
          <w:lang w:val="en-AU"/>
        </w:rPr>
        <w:t>The forecast</w:t>
      </w:r>
      <w:r w:rsidR="002E6F88">
        <w:rPr>
          <w:lang w:val="en-AU"/>
        </w:rPr>
        <w:t xml:space="preserve"> warrants detailed explanation.  However, </w:t>
      </w:r>
      <w:r w:rsidR="00570BAF">
        <w:rPr>
          <w:lang w:val="en-AU"/>
        </w:rPr>
        <w:t xml:space="preserve">such explanation and </w:t>
      </w:r>
      <w:r w:rsidR="002E6F88">
        <w:rPr>
          <w:lang w:val="en-AU"/>
        </w:rPr>
        <w:t xml:space="preserve">relevant detail </w:t>
      </w:r>
      <w:r w:rsidR="00570BAF">
        <w:rPr>
          <w:lang w:val="en-AU"/>
        </w:rPr>
        <w:t>are</w:t>
      </w:r>
      <w:r w:rsidR="002E6F88">
        <w:rPr>
          <w:lang w:val="en-AU"/>
        </w:rPr>
        <w:t xml:space="preserve"> lacking in the published material; for example traffic counts on the Sydney-Newcastle corridor</w:t>
      </w:r>
      <w:r w:rsidR="00570BAF">
        <w:rPr>
          <w:lang w:val="en-AU"/>
        </w:rPr>
        <w:t xml:space="preserve"> are not provided</w:t>
      </w:r>
      <w:r w:rsidR="002E6F88">
        <w:rPr>
          <w:lang w:val="en-AU"/>
        </w:rPr>
        <w:t>.</w:t>
      </w:r>
    </w:p>
    <w:p w:rsidR="002E6F88" w:rsidRDefault="00760C91" w:rsidP="002E6F88">
      <w:pPr>
        <w:rPr>
          <w:lang w:val="en-AU"/>
        </w:rPr>
      </w:pPr>
      <w:r>
        <w:rPr>
          <w:lang w:val="en-AU"/>
        </w:rPr>
        <w:t>Second, w</w:t>
      </w:r>
      <w:r w:rsidR="002E6F88">
        <w:rPr>
          <w:lang w:val="en-AU"/>
        </w:rPr>
        <w:t xml:space="preserve">hile </w:t>
      </w:r>
      <w:r w:rsidR="001B571C">
        <w:rPr>
          <w:lang w:val="en-AU"/>
        </w:rPr>
        <w:t>T</w:t>
      </w:r>
      <w:r w:rsidR="002E6F88">
        <w:rPr>
          <w:lang w:val="en-AU"/>
        </w:rPr>
        <w:t xml:space="preserve">able </w:t>
      </w:r>
      <w:r w:rsidR="00570BAF">
        <w:rPr>
          <w:lang w:val="en-AU"/>
        </w:rPr>
        <w:t>3</w:t>
      </w:r>
      <w:r w:rsidR="002E6F88">
        <w:rPr>
          <w:lang w:val="en-AU"/>
        </w:rPr>
        <w:t xml:space="preserve"> shows Canberra-Sydney to be the best prima facie candidate based on the studies’ </w:t>
      </w:r>
      <w:r>
        <w:rPr>
          <w:lang w:val="en-AU"/>
        </w:rPr>
        <w:t>f</w:t>
      </w:r>
      <w:r w:rsidR="001B571C">
        <w:rPr>
          <w:lang w:val="en-AU"/>
        </w:rPr>
        <w:t>orecasts</w:t>
      </w:r>
      <w:r w:rsidR="002E6F88">
        <w:rPr>
          <w:lang w:val="en-AU"/>
        </w:rPr>
        <w:t xml:space="preserve">, some of these numbers are inexplicable; particularly demand for intermediate stops between Canberra and Sydney.   </w:t>
      </w:r>
      <w:r w:rsidR="00A275AE">
        <w:rPr>
          <w:lang w:val="en-AU"/>
        </w:rPr>
        <w:t>Discounting</w:t>
      </w:r>
      <w:r w:rsidR="002E6F88">
        <w:rPr>
          <w:lang w:val="en-AU"/>
        </w:rPr>
        <w:t xml:space="preserve"> for this, Sydney-Newcastle becomes the lead candidate (see </w:t>
      </w:r>
      <w:r w:rsidR="001B571C">
        <w:rPr>
          <w:lang w:val="en-AU"/>
        </w:rPr>
        <w:t>T</w:t>
      </w:r>
      <w:r w:rsidR="002E6F88">
        <w:rPr>
          <w:lang w:val="en-AU"/>
        </w:rPr>
        <w:t xml:space="preserve">able </w:t>
      </w:r>
      <w:r w:rsidR="00570BAF">
        <w:rPr>
          <w:lang w:val="en-AU"/>
        </w:rPr>
        <w:t>3</w:t>
      </w:r>
      <w:r w:rsidR="002E6F88">
        <w:rPr>
          <w:lang w:val="en-AU"/>
        </w:rPr>
        <w:t xml:space="preserve"> note a).</w:t>
      </w:r>
    </w:p>
    <w:p w:rsidR="002E6F88" w:rsidRDefault="00760C91" w:rsidP="002E6F88">
      <w:pPr>
        <w:rPr>
          <w:lang w:val="en-AU"/>
        </w:rPr>
      </w:pPr>
      <w:r>
        <w:rPr>
          <w:lang w:val="en-AU"/>
        </w:rPr>
        <w:t>Third, t</w:t>
      </w:r>
      <w:r w:rsidR="002E6F88">
        <w:rPr>
          <w:lang w:val="en-AU"/>
        </w:rPr>
        <w:t xml:space="preserve">he reports do not properly account for changes in population likely to result from introduction of high speed rail.  </w:t>
      </w:r>
      <w:r w:rsidR="00BB5903">
        <w:rPr>
          <w:lang w:val="en-AU"/>
        </w:rPr>
        <w:t xml:space="preserve">It is assumed </w:t>
      </w:r>
      <w:r w:rsidR="002E6F88">
        <w:rPr>
          <w:lang w:val="en-AU"/>
        </w:rPr>
        <w:t xml:space="preserve">that demand </w:t>
      </w:r>
      <w:r w:rsidR="001B571C">
        <w:rPr>
          <w:lang w:val="en-AU"/>
        </w:rPr>
        <w:t>will be</w:t>
      </w:r>
      <w:r w:rsidR="002E6F88">
        <w:rPr>
          <w:lang w:val="en-AU"/>
        </w:rPr>
        <w:t xml:space="preserve"> highest for those areas which </w:t>
      </w:r>
      <w:r w:rsidR="00523CE9">
        <w:rPr>
          <w:lang w:val="en-AU"/>
        </w:rPr>
        <w:t>are assumed to</w:t>
      </w:r>
      <w:r w:rsidR="002E6F88">
        <w:rPr>
          <w:lang w:val="en-AU"/>
        </w:rPr>
        <w:t xml:space="preserve"> </w:t>
      </w:r>
      <w:r w:rsidR="00570BAF">
        <w:rPr>
          <w:lang w:val="en-AU"/>
        </w:rPr>
        <w:t xml:space="preserve">be have highest </w:t>
      </w:r>
      <w:r w:rsidR="00A275AE">
        <w:rPr>
          <w:lang w:val="en-AU"/>
        </w:rPr>
        <w:t xml:space="preserve">2065 </w:t>
      </w:r>
      <w:r w:rsidR="00570BAF">
        <w:rPr>
          <w:lang w:val="en-AU"/>
        </w:rPr>
        <w:t>populations</w:t>
      </w:r>
      <w:r w:rsidR="002E6F88">
        <w:rPr>
          <w:lang w:val="en-AU"/>
        </w:rPr>
        <w:t xml:space="preserve"> without high speed rail.  While a reasonable assumption for Sydney and Melbourne, </w:t>
      </w:r>
      <w:r w:rsidR="00A275AE">
        <w:rPr>
          <w:lang w:val="en-AU"/>
        </w:rPr>
        <w:t>it</w:t>
      </w:r>
      <w:r w:rsidR="002E6F88">
        <w:rPr>
          <w:lang w:val="en-AU"/>
        </w:rPr>
        <w:t xml:space="preserve"> is not reasonable for places which high speed rail </w:t>
      </w:r>
      <w:r w:rsidR="00E355DA">
        <w:rPr>
          <w:lang w:val="en-AU"/>
        </w:rPr>
        <w:t xml:space="preserve">reduces </w:t>
      </w:r>
      <w:r w:rsidR="002E6F88">
        <w:rPr>
          <w:lang w:val="en-AU"/>
        </w:rPr>
        <w:t>transit</w:t>
      </w:r>
      <w:r w:rsidR="00E355DA">
        <w:rPr>
          <w:lang w:val="en-AU"/>
        </w:rPr>
        <w:t xml:space="preserve"> to less than one hour</w:t>
      </w:r>
      <w:r w:rsidR="002E6F88">
        <w:rPr>
          <w:lang w:val="en-AU"/>
        </w:rPr>
        <w:t xml:space="preserve">; notably Newcastle and the intermediate </w:t>
      </w:r>
      <w:r w:rsidR="00A275AE">
        <w:rPr>
          <w:lang w:val="en-AU"/>
        </w:rPr>
        <w:t>C</w:t>
      </w:r>
      <w:r w:rsidR="002E6F88">
        <w:rPr>
          <w:lang w:val="en-AU"/>
        </w:rPr>
        <w:t xml:space="preserve">entral </w:t>
      </w:r>
      <w:r w:rsidR="00A275AE">
        <w:rPr>
          <w:lang w:val="en-AU"/>
        </w:rPr>
        <w:t>C</w:t>
      </w:r>
      <w:r w:rsidR="002E6F88">
        <w:rPr>
          <w:lang w:val="en-AU"/>
        </w:rPr>
        <w:t>oast.  A central idea of high speed rail is to change population growth</w:t>
      </w:r>
      <w:r w:rsidR="00BB5903">
        <w:rPr>
          <w:lang w:val="en-AU"/>
        </w:rPr>
        <w:t xml:space="preserve"> in regional centres</w:t>
      </w:r>
      <w:r w:rsidR="002E6F88">
        <w:rPr>
          <w:lang w:val="en-AU"/>
        </w:rPr>
        <w:t>, a factor not accounted for in the criteria imposed on the studies by the Department.</w:t>
      </w:r>
      <w:r w:rsidR="002E6F88">
        <w:rPr>
          <w:rStyle w:val="EndnoteReference"/>
          <w:lang w:val="en-AU"/>
        </w:rPr>
        <w:endnoteReference w:id="4"/>
      </w:r>
    </w:p>
    <w:p w:rsidR="002E6F88" w:rsidRDefault="00760C91" w:rsidP="002E6F88">
      <w:pPr>
        <w:rPr>
          <w:lang w:val="en-AU"/>
        </w:rPr>
      </w:pPr>
      <w:r>
        <w:rPr>
          <w:lang w:val="en-AU"/>
        </w:rPr>
        <w:t>Fourth,</w:t>
      </w:r>
      <w:r w:rsidR="002E6F88">
        <w:rPr>
          <w:lang w:val="en-AU"/>
        </w:rPr>
        <w:t xml:space="preserve"> the reports </w:t>
      </w:r>
      <w:r w:rsidR="001B571C">
        <w:rPr>
          <w:lang w:val="en-AU"/>
        </w:rPr>
        <w:t xml:space="preserve">and forecasts </w:t>
      </w:r>
      <w:r w:rsidR="002E6F88">
        <w:rPr>
          <w:lang w:val="en-AU"/>
        </w:rPr>
        <w:t xml:space="preserve">do not apparently deal with the introduction of road pricing.  Road pricing involves replacement of taxes with distance and location charges, </w:t>
      </w:r>
      <w:r w:rsidR="00A275AE">
        <w:rPr>
          <w:lang w:val="en-AU"/>
        </w:rPr>
        <w:t xml:space="preserve">and is </w:t>
      </w:r>
      <w:r w:rsidR="002E6F88">
        <w:rPr>
          <w:lang w:val="en-AU"/>
        </w:rPr>
        <w:t xml:space="preserve">likely to occur within the relevant time frame.  The author (and </w:t>
      </w:r>
      <w:r w:rsidR="000A53C2">
        <w:rPr>
          <w:lang w:val="en-AU"/>
        </w:rPr>
        <w:t xml:space="preserve">the former Office of the National Infrastructure Coordinator in </w:t>
      </w:r>
      <w:r w:rsidR="002E6F88">
        <w:rPr>
          <w:lang w:val="en-AU"/>
        </w:rPr>
        <w:t>Infrastructure Australia) mooted road pricing as a fundamental test for infrastructure projects</w:t>
      </w:r>
      <w:r w:rsidR="00523CE9">
        <w:rPr>
          <w:lang w:val="en-AU"/>
        </w:rPr>
        <w:t xml:space="preserve">; would </w:t>
      </w:r>
      <w:r w:rsidR="00A275AE">
        <w:rPr>
          <w:lang w:val="en-AU"/>
        </w:rPr>
        <w:t>a</w:t>
      </w:r>
      <w:r w:rsidR="00523CE9">
        <w:rPr>
          <w:lang w:val="en-AU"/>
        </w:rPr>
        <w:t xml:space="preserve"> project be needed if there was road pricing?</w:t>
      </w:r>
      <w:r w:rsidR="005D3D8F">
        <w:rPr>
          <w:rStyle w:val="EndnoteReference"/>
          <w:lang w:val="en-AU"/>
        </w:rPr>
        <w:endnoteReference w:id="5"/>
      </w:r>
      <w:r w:rsidR="002E6F88">
        <w:rPr>
          <w:lang w:val="en-AU"/>
        </w:rPr>
        <w:t xml:space="preserve"> </w:t>
      </w:r>
    </w:p>
    <w:p w:rsidR="002E6F88" w:rsidRDefault="002E6F88" w:rsidP="002E6F88">
      <w:pPr>
        <w:rPr>
          <w:lang w:val="en-AU"/>
        </w:rPr>
      </w:pPr>
      <w:r>
        <w:rPr>
          <w:lang w:val="en-AU"/>
        </w:rPr>
        <w:t xml:space="preserve">The introduction of such pricing will have greatest positive impact on </w:t>
      </w:r>
      <w:r w:rsidR="008D6633">
        <w:rPr>
          <w:lang w:val="en-AU"/>
        </w:rPr>
        <w:t xml:space="preserve">case for </w:t>
      </w:r>
      <w:r>
        <w:rPr>
          <w:lang w:val="en-AU"/>
        </w:rPr>
        <w:t xml:space="preserve">high speed rail on the Newcastle-Sydney corridor; Newcastle-Sydney has at least three times the volume of </w:t>
      </w:r>
      <w:r w:rsidR="00A275AE">
        <w:rPr>
          <w:lang w:val="en-AU"/>
        </w:rPr>
        <w:t xml:space="preserve">road </w:t>
      </w:r>
      <w:r>
        <w:rPr>
          <w:lang w:val="en-AU"/>
        </w:rPr>
        <w:t xml:space="preserve">traffic as </w:t>
      </w:r>
      <w:r>
        <w:rPr>
          <w:lang w:val="en-AU"/>
        </w:rPr>
        <w:lastRenderedPageBreak/>
        <w:t>Goulburn-Sydney</w:t>
      </w:r>
      <w:r w:rsidR="00523CE9">
        <w:rPr>
          <w:lang w:val="en-AU"/>
        </w:rPr>
        <w:t xml:space="preserve"> (and even more than Canberra-Sydney)</w:t>
      </w:r>
      <w:r>
        <w:rPr>
          <w:lang w:val="en-AU"/>
        </w:rPr>
        <w:t>, and car is not a preferred means of travel for very long distances such as Melbourne-Sydney-Brisbane.</w:t>
      </w:r>
      <w:r w:rsidR="005D3D8F">
        <w:rPr>
          <w:rStyle w:val="EndnoteReference"/>
          <w:lang w:val="en-AU"/>
        </w:rPr>
        <w:endnoteReference w:id="6"/>
      </w:r>
    </w:p>
    <w:p w:rsidR="00ED1D0A" w:rsidRDefault="00E55F52" w:rsidP="00ED1D0A">
      <w:pPr>
        <w:rPr>
          <w:lang w:val="en-AU"/>
        </w:rPr>
      </w:pPr>
      <w:r>
        <w:rPr>
          <w:lang w:val="en-AU"/>
        </w:rPr>
        <w:t>There may be other motivations behind proposing Canberra-Sydney as the first stage</w:t>
      </w:r>
      <w:r w:rsidR="00E355DA">
        <w:rPr>
          <w:lang w:val="en-AU"/>
        </w:rPr>
        <w:t xml:space="preserve">.  The advisory group opined that high speed rail </w:t>
      </w:r>
      <w:r w:rsidR="008D6633">
        <w:rPr>
          <w:lang w:val="en-AU"/>
        </w:rPr>
        <w:t xml:space="preserve">should </w:t>
      </w:r>
      <w:r w:rsidR="00E355DA">
        <w:rPr>
          <w:lang w:val="en-AU"/>
        </w:rPr>
        <w:t xml:space="preserve">compete with air travel, significant for </w:t>
      </w:r>
      <w:r w:rsidR="008D6633">
        <w:rPr>
          <w:lang w:val="en-AU"/>
        </w:rPr>
        <w:t xml:space="preserve">the Department and </w:t>
      </w:r>
      <w:r w:rsidR="00E355DA">
        <w:rPr>
          <w:lang w:val="en-AU"/>
        </w:rPr>
        <w:t xml:space="preserve">Canberra but not for </w:t>
      </w:r>
      <w:r w:rsidR="008D6633">
        <w:rPr>
          <w:lang w:val="en-AU"/>
        </w:rPr>
        <w:t>Sydney-</w:t>
      </w:r>
      <w:r w:rsidR="00E355DA">
        <w:rPr>
          <w:lang w:val="en-AU"/>
        </w:rPr>
        <w:t>Newcastle.  Other motivations might include</w:t>
      </w:r>
      <w:r>
        <w:rPr>
          <w:lang w:val="en-AU"/>
        </w:rPr>
        <w:t>: Commonwealth ability to exercise jurisdiction over interstate matters; national pride in connections between Australia’s capital and largest city; the presence of Government, advisers and lobbyists in Canberra</w:t>
      </w:r>
      <w:r w:rsidR="00ED1D0A">
        <w:rPr>
          <w:lang w:val="en-AU"/>
        </w:rPr>
        <w:t>;</w:t>
      </w:r>
      <w:r w:rsidR="008B56D0">
        <w:rPr>
          <w:lang w:val="en-AU"/>
        </w:rPr>
        <w:t xml:space="preserve"> a view it may practically ‘lock in’ Melbourne-Sydney high speed rail</w:t>
      </w:r>
      <w:r w:rsidR="00ED1D0A">
        <w:rPr>
          <w:lang w:val="en-AU"/>
        </w:rPr>
        <w:t>; a more cynical view that closer examination will reveal it to be flawed undermining any proposals for high speed rail elsewhere in Australia</w:t>
      </w:r>
      <w:r>
        <w:rPr>
          <w:lang w:val="en-AU"/>
        </w:rPr>
        <w:t xml:space="preserve">.  </w:t>
      </w:r>
      <w:r w:rsidR="00ED1D0A">
        <w:rPr>
          <w:lang w:val="en-AU"/>
        </w:rPr>
        <w:t xml:space="preserve"> The view that Canberra may ‘lock in’ Sydney-Melbourne is further undermined by the study putting Canberra on a spur; prima facie a nonsensical proposition for a national capital.</w:t>
      </w:r>
    </w:p>
    <w:p w:rsidR="00E55F52" w:rsidRDefault="00ED1D0A" w:rsidP="002E6F88">
      <w:pPr>
        <w:rPr>
          <w:lang w:val="en-AU"/>
        </w:rPr>
      </w:pPr>
      <w:r>
        <w:rPr>
          <w:lang w:val="en-AU"/>
        </w:rPr>
        <w:t>N</w:t>
      </w:r>
      <w:r w:rsidR="00E55F52">
        <w:rPr>
          <w:lang w:val="en-AU"/>
        </w:rPr>
        <w:t xml:space="preserve">one of these </w:t>
      </w:r>
      <w:r w:rsidR="00E355DA">
        <w:rPr>
          <w:lang w:val="en-AU"/>
        </w:rPr>
        <w:t xml:space="preserve">other motivations </w:t>
      </w:r>
      <w:r w:rsidR="00E55F52">
        <w:rPr>
          <w:lang w:val="en-AU"/>
        </w:rPr>
        <w:t>relate to transport, and perhaps strong</w:t>
      </w:r>
      <w:r w:rsidR="00A275AE">
        <w:rPr>
          <w:lang w:val="en-AU"/>
        </w:rPr>
        <w:t>er</w:t>
      </w:r>
      <w:r w:rsidR="00E55F52">
        <w:rPr>
          <w:lang w:val="en-AU"/>
        </w:rPr>
        <w:t xml:space="preserve"> non-transport points could be made </w:t>
      </w:r>
      <w:r w:rsidR="00E355DA">
        <w:rPr>
          <w:lang w:val="en-AU"/>
        </w:rPr>
        <w:t>in favour of</w:t>
      </w:r>
      <w:r w:rsidR="00E55F52">
        <w:rPr>
          <w:lang w:val="en-AU"/>
        </w:rPr>
        <w:t xml:space="preserve"> Newcastle. </w:t>
      </w:r>
    </w:p>
    <w:p w:rsidR="00760C91" w:rsidRDefault="00760C91" w:rsidP="00760C91">
      <w:pPr>
        <w:pStyle w:val="Heading2"/>
        <w:rPr>
          <w:lang w:val="en-AU"/>
        </w:rPr>
      </w:pPr>
      <w:r>
        <w:rPr>
          <w:lang w:val="en-AU"/>
        </w:rPr>
        <w:t>Conclusion</w:t>
      </w:r>
    </w:p>
    <w:p w:rsidR="00760C91" w:rsidRDefault="002E6F88" w:rsidP="002E6F88">
      <w:pPr>
        <w:rPr>
          <w:lang w:val="en-AU"/>
        </w:rPr>
      </w:pPr>
      <w:r>
        <w:rPr>
          <w:lang w:val="en-AU"/>
        </w:rPr>
        <w:t>The</w:t>
      </w:r>
      <w:r w:rsidR="00760C91">
        <w:rPr>
          <w:lang w:val="en-AU"/>
        </w:rPr>
        <w:t xml:space="preserve">re is a </w:t>
      </w:r>
      <w:r>
        <w:rPr>
          <w:lang w:val="en-AU"/>
        </w:rPr>
        <w:t>need to re-examine the</w:t>
      </w:r>
      <w:r w:rsidR="00760C91">
        <w:rPr>
          <w:lang w:val="en-AU"/>
        </w:rPr>
        <w:t xml:space="preserve"> reports’ </w:t>
      </w:r>
      <w:r>
        <w:rPr>
          <w:lang w:val="en-AU"/>
        </w:rPr>
        <w:t>recommendations on phasing</w:t>
      </w:r>
      <w:r w:rsidR="00760C91">
        <w:rPr>
          <w:lang w:val="en-AU"/>
        </w:rPr>
        <w:t xml:space="preserve"> of introduction of high speed rail in Australia.</w:t>
      </w:r>
    </w:p>
    <w:p w:rsidR="00760C91" w:rsidRDefault="00760C91" w:rsidP="002E6F88">
      <w:pPr>
        <w:rPr>
          <w:lang w:val="en-AU"/>
        </w:rPr>
      </w:pPr>
      <w:r>
        <w:rPr>
          <w:lang w:val="en-AU"/>
        </w:rPr>
        <w:t>In</w:t>
      </w:r>
      <w:r w:rsidR="002E6F88">
        <w:rPr>
          <w:lang w:val="en-AU"/>
        </w:rPr>
        <w:t xml:space="preserve"> particular t</w:t>
      </w:r>
      <w:r>
        <w:rPr>
          <w:lang w:val="en-AU"/>
        </w:rPr>
        <w:t xml:space="preserve">here should be </w:t>
      </w:r>
      <w:r w:rsidR="002E6F88">
        <w:rPr>
          <w:lang w:val="en-AU"/>
        </w:rPr>
        <w:t>consider</w:t>
      </w:r>
      <w:r>
        <w:rPr>
          <w:lang w:val="en-AU"/>
        </w:rPr>
        <w:t xml:space="preserve">ation and explanation as to </w:t>
      </w:r>
      <w:r w:rsidR="002E6F88">
        <w:rPr>
          <w:lang w:val="en-AU"/>
        </w:rPr>
        <w:t xml:space="preserve">whether Sydney-Newcastle </w:t>
      </w:r>
      <w:r>
        <w:rPr>
          <w:lang w:val="en-AU"/>
        </w:rPr>
        <w:t xml:space="preserve">should be </w:t>
      </w:r>
      <w:r w:rsidR="003069ED">
        <w:rPr>
          <w:lang w:val="en-AU"/>
        </w:rPr>
        <w:t xml:space="preserve">the </w:t>
      </w:r>
      <w:r>
        <w:rPr>
          <w:lang w:val="en-AU"/>
        </w:rPr>
        <w:t>initial stage.</w:t>
      </w:r>
    </w:p>
    <w:p w:rsidR="00595C94" w:rsidRDefault="002E6F88" w:rsidP="002E6F88">
      <w:pPr>
        <w:rPr>
          <w:lang w:val="en-AU"/>
        </w:rPr>
      </w:pPr>
      <w:r>
        <w:rPr>
          <w:lang w:val="en-AU"/>
        </w:rPr>
        <w:t xml:space="preserve">It should also be noted that </w:t>
      </w:r>
      <w:r w:rsidR="00760C91">
        <w:rPr>
          <w:lang w:val="en-AU"/>
        </w:rPr>
        <w:t>Sydney-Newcastle</w:t>
      </w:r>
      <w:r>
        <w:rPr>
          <w:lang w:val="en-AU"/>
        </w:rPr>
        <w:t xml:space="preserve"> is the least costly section</w:t>
      </w:r>
      <w:r w:rsidR="00523CE9">
        <w:rPr>
          <w:lang w:val="en-AU"/>
        </w:rPr>
        <w:t>;</w:t>
      </w:r>
      <w:r>
        <w:rPr>
          <w:lang w:val="en-AU"/>
        </w:rPr>
        <w:t xml:space="preserve"> the one most affordable to the economy and within a constrained budget.  </w:t>
      </w:r>
      <w:r w:rsidR="00DE4453">
        <w:rPr>
          <w:lang w:val="en-AU"/>
        </w:rPr>
        <w:t>And all investment on this segment would be usable for the intercapitals route, unlike the segment Goulburn-Canberra.</w:t>
      </w:r>
    </w:p>
    <w:p w:rsidR="00595C94" w:rsidRDefault="00595C94" w:rsidP="00595C94">
      <w:pPr>
        <w:rPr>
          <w:lang w:val="en-AU"/>
        </w:rPr>
      </w:pPr>
      <w:r>
        <w:rPr>
          <w:lang w:val="en-AU"/>
        </w:rPr>
        <w:br w:type="page"/>
      </w:r>
    </w:p>
    <w:p w:rsidR="002E6F88" w:rsidRDefault="00595C94" w:rsidP="00595C94">
      <w:pPr>
        <w:pStyle w:val="Heading2"/>
        <w:rPr>
          <w:lang w:val="en-AU"/>
        </w:rPr>
      </w:pPr>
      <w:r>
        <w:rPr>
          <w:lang w:val="en-AU"/>
        </w:rPr>
        <w:lastRenderedPageBreak/>
        <w:t>Appendix:</w:t>
      </w:r>
    </w:p>
    <w:p w:rsidR="00595C94" w:rsidRDefault="00595C94" w:rsidP="002E6F88">
      <w:pPr>
        <w:rPr>
          <w:lang w:val="en-AU"/>
        </w:rPr>
      </w:pPr>
      <w:r>
        <w:rPr>
          <w:lang w:val="en-AU"/>
        </w:rPr>
        <w:t xml:space="preserve">The following table </w:t>
      </w:r>
      <w:r w:rsidR="009A3E84">
        <w:rPr>
          <w:lang w:val="en-AU"/>
        </w:rPr>
        <w:t xml:space="preserve">2.11 is </w:t>
      </w:r>
      <w:r>
        <w:rPr>
          <w:lang w:val="en-AU"/>
        </w:rPr>
        <w:t xml:space="preserve">drawn from study report.  </w:t>
      </w:r>
    </w:p>
    <w:p w:rsidR="00595C94" w:rsidRDefault="00595C94" w:rsidP="002E6F88">
      <w:pPr>
        <w:rPr>
          <w:lang w:val="en-AU"/>
        </w:rPr>
      </w:pPr>
      <w:r>
        <w:rPr>
          <w:lang w:val="en-AU"/>
        </w:rPr>
        <w:t>Note cells Newcastle-Sydney 9780 and Intermediate-Sydney 17560 (which would be Central Coast).</w:t>
      </w:r>
      <w:r w:rsidR="009A3E84">
        <w:rPr>
          <w:lang w:val="en-AU"/>
        </w:rPr>
        <w:t xml:space="preserve"> C</w:t>
      </w:r>
      <w:r>
        <w:rPr>
          <w:lang w:val="en-AU"/>
        </w:rPr>
        <w:t xml:space="preserve">ompare with cell Sydney-Intermediate 33580 (which would be southern highlands and Goulburn). </w:t>
      </w:r>
    </w:p>
    <w:p w:rsidR="00595C94" w:rsidRDefault="00595C94" w:rsidP="002E6F88">
      <w:pPr>
        <w:rPr>
          <w:lang w:val="en-AU"/>
        </w:rPr>
      </w:pPr>
      <w:r>
        <w:rPr>
          <w:noProof/>
          <w:lang w:eastAsia="en-GB"/>
        </w:rPr>
        <w:drawing>
          <wp:inline distT="0" distB="0" distL="0" distR="0" wp14:anchorId="78A0B926" wp14:editId="4B563D65">
            <wp:extent cx="6845935" cy="3819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 t="3251" r="55296" b="41773"/>
                    <a:stretch/>
                  </pic:blipFill>
                  <pic:spPr bwMode="auto">
                    <a:xfrm>
                      <a:off x="0" y="0"/>
                      <a:ext cx="6858254" cy="3826398"/>
                    </a:xfrm>
                    <a:prstGeom prst="rect">
                      <a:avLst/>
                    </a:prstGeom>
                    <a:ln>
                      <a:noFill/>
                    </a:ln>
                    <a:extLst>
                      <a:ext uri="{53640926-AAD7-44D8-BBD7-CCE9431645EC}">
                        <a14:shadowObscured xmlns:a14="http://schemas.microsoft.com/office/drawing/2010/main"/>
                      </a:ext>
                    </a:extLst>
                  </pic:spPr>
                </pic:pic>
              </a:graphicData>
            </a:graphic>
          </wp:inline>
        </w:drawing>
      </w:r>
    </w:p>
    <w:p w:rsidR="006D5987" w:rsidRDefault="009A3E84">
      <w:r>
        <w:t xml:space="preserve">The origins of this high level of demand appear in study 1 table 3.3 below (note this table reverses origins and destinations compared with table 2.11 above).  </w:t>
      </w:r>
      <w:r w:rsidR="00DE4453">
        <w:t>By far t</w:t>
      </w:r>
      <w:r>
        <w:t>he highest transport demand on the east coast to/from Sydney (fifth line)</w:t>
      </w:r>
      <w:r w:rsidR="00DE4453">
        <w:t xml:space="preserve"> is ‘intermediate’ (between Canberra and Sydney)</w:t>
      </w:r>
      <w:r>
        <w:t xml:space="preserve"> </w:t>
      </w:r>
    </w:p>
    <w:p w:rsidR="009A3E84" w:rsidRDefault="009A3E84">
      <w:r>
        <w:rPr>
          <w:noProof/>
          <w:lang w:eastAsia="en-GB"/>
        </w:rPr>
        <w:drawing>
          <wp:inline distT="0" distB="0" distL="0" distR="0" wp14:anchorId="306BF43A" wp14:editId="20FFE04A">
            <wp:extent cx="6589395" cy="2971641"/>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103" t="35172" r="24053" b="6306"/>
                    <a:stretch/>
                  </pic:blipFill>
                  <pic:spPr bwMode="auto">
                    <a:xfrm>
                      <a:off x="0" y="0"/>
                      <a:ext cx="6630799" cy="2990313"/>
                    </a:xfrm>
                    <a:prstGeom prst="rect">
                      <a:avLst/>
                    </a:prstGeom>
                    <a:ln>
                      <a:noFill/>
                    </a:ln>
                    <a:extLst>
                      <a:ext uri="{53640926-AAD7-44D8-BBD7-CCE9431645EC}">
                        <a14:shadowObscured xmlns:a14="http://schemas.microsoft.com/office/drawing/2010/main"/>
                      </a:ext>
                    </a:extLst>
                  </pic:spPr>
                </pic:pic>
              </a:graphicData>
            </a:graphic>
          </wp:inline>
        </w:drawing>
      </w:r>
    </w:p>
    <w:p w:rsidR="009A3E84" w:rsidRDefault="009A3E84" w:rsidP="009A3E84">
      <w:r>
        <w:br w:type="page"/>
      </w:r>
    </w:p>
    <w:p w:rsidR="009A3E84" w:rsidRDefault="009A3E84"/>
    <w:sectPr w:rsidR="009A3E8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2F" w:rsidRDefault="0022252F" w:rsidP="002E6F88">
      <w:pPr>
        <w:spacing w:after="0" w:line="240" w:lineRule="auto"/>
      </w:pPr>
      <w:r>
        <w:separator/>
      </w:r>
    </w:p>
  </w:endnote>
  <w:endnote w:type="continuationSeparator" w:id="0">
    <w:p w:rsidR="0022252F" w:rsidRDefault="0022252F" w:rsidP="002E6F88">
      <w:pPr>
        <w:spacing w:after="0" w:line="240" w:lineRule="auto"/>
      </w:pPr>
      <w:r>
        <w:continuationSeparator/>
      </w:r>
    </w:p>
  </w:endnote>
  <w:endnote w:id="1">
    <w:p w:rsidR="006D5987" w:rsidRPr="006D5987" w:rsidRDefault="006D5987">
      <w:pPr>
        <w:pStyle w:val="EndnoteText"/>
        <w:rPr>
          <w:lang w:val="en-AU"/>
        </w:rPr>
      </w:pPr>
      <w:r>
        <w:rPr>
          <w:rStyle w:val="EndnoteReference"/>
        </w:rPr>
        <w:endnoteRef/>
      </w:r>
      <w:r>
        <w:t xml:space="preserve"> </w:t>
      </w:r>
      <w:r w:rsidRPr="006D5987">
        <w:t>http://www.canberratimes.com.au/national/stars-are-aligning-for-australia-to-build-high-speed-rail-says-international-expert-20160301-gn75i6.html</w:t>
      </w:r>
    </w:p>
  </w:endnote>
  <w:endnote w:id="2">
    <w:p w:rsidR="006D5987" w:rsidRPr="00404C0D" w:rsidRDefault="006D5987">
      <w:pPr>
        <w:pStyle w:val="EndnoteText"/>
        <w:rPr>
          <w:lang w:val="en-AU"/>
        </w:rPr>
      </w:pPr>
      <w:r>
        <w:rPr>
          <w:rStyle w:val="EndnoteReference"/>
        </w:rPr>
        <w:endnoteRef/>
      </w:r>
      <w:r>
        <w:t xml:space="preserve"> Reports a</w:t>
      </w:r>
      <w:r>
        <w:rPr>
          <w:lang w:val="en-AU"/>
        </w:rPr>
        <w:t xml:space="preserve">vailable at: </w:t>
      </w:r>
      <w:r w:rsidRPr="00404C0D">
        <w:rPr>
          <w:lang w:val="en-AU"/>
        </w:rPr>
        <w:t>https://infrastructure.gov.au/rail/trains/high_speed/</w:t>
      </w:r>
    </w:p>
  </w:endnote>
  <w:endnote w:id="3">
    <w:p w:rsidR="006D5987" w:rsidRPr="0067302B" w:rsidRDefault="006D5987">
      <w:pPr>
        <w:pStyle w:val="EndnoteText"/>
        <w:rPr>
          <w:lang w:val="en-AU"/>
        </w:rPr>
      </w:pPr>
      <w:r>
        <w:rPr>
          <w:rStyle w:val="EndnoteReference"/>
        </w:rPr>
        <w:endnoteRef/>
      </w:r>
      <w:r>
        <w:t xml:space="preserve"> </w:t>
      </w:r>
      <w:r>
        <w:rPr>
          <w:lang w:val="en-AU"/>
        </w:rPr>
        <w:t>See: h</w:t>
      </w:r>
      <w:r w:rsidRPr="00404C0D">
        <w:rPr>
          <w:lang w:val="en-AU"/>
        </w:rPr>
        <w:t>ttp://www.thejadebeagle.com/sydney.html</w:t>
      </w:r>
    </w:p>
  </w:endnote>
  <w:endnote w:id="4">
    <w:p w:rsidR="006D5987" w:rsidRPr="00BB7EA4" w:rsidRDefault="006D5987" w:rsidP="002E6F88">
      <w:pPr>
        <w:pStyle w:val="EndnoteText"/>
        <w:rPr>
          <w:lang w:val="en-AU"/>
        </w:rPr>
      </w:pPr>
      <w:r>
        <w:rPr>
          <w:rStyle w:val="EndnoteReference"/>
        </w:rPr>
        <w:endnoteRef/>
      </w:r>
      <w:r>
        <w:t xml:space="preserve"> See: Strategex submission at </w:t>
      </w:r>
      <w:r w:rsidRPr="00404C0D">
        <w:t>http://www.aph.gov.au/Parliamentary_Business/Committees/House/ITC/Transport_connectivity/Submissions</w:t>
      </w:r>
      <w:r>
        <w:t>.</w:t>
      </w:r>
    </w:p>
  </w:endnote>
  <w:endnote w:id="5">
    <w:p w:rsidR="006D5987" w:rsidRPr="005D3D8F" w:rsidRDefault="006D5987">
      <w:pPr>
        <w:pStyle w:val="EndnoteText"/>
        <w:rPr>
          <w:lang w:val="en-AU"/>
        </w:rPr>
      </w:pPr>
      <w:r>
        <w:rPr>
          <w:rStyle w:val="EndnoteReference"/>
        </w:rPr>
        <w:endnoteRef/>
      </w:r>
      <w:r>
        <w:t xml:space="preserve"> </w:t>
      </w:r>
      <w:r>
        <w:rPr>
          <w:lang w:val="en-AU"/>
        </w:rPr>
        <w:t xml:space="preserve">See: </w:t>
      </w:r>
      <w:r w:rsidRPr="00404C0D">
        <w:rPr>
          <w:lang w:val="en-AU"/>
        </w:rPr>
        <w:t>http://www.thejadebeagle.com/submission-to-infrastructure-australiarsquos-national-infrastructure-audit.html</w:t>
      </w:r>
    </w:p>
  </w:endnote>
  <w:endnote w:id="6">
    <w:p w:rsidR="006D5987" w:rsidRDefault="006D5987">
      <w:pPr>
        <w:pStyle w:val="EndnoteText"/>
        <w:rPr>
          <w:lang w:val="en-AU"/>
        </w:rPr>
      </w:pPr>
      <w:r>
        <w:rPr>
          <w:rStyle w:val="EndnoteReference"/>
        </w:rPr>
        <w:endnoteRef/>
      </w:r>
      <w:r>
        <w:t xml:space="preserve"> </w:t>
      </w:r>
      <w:r>
        <w:rPr>
          <w:lang w:val="en-AU"/>
        </w:rPr>
        <w:t xml:space="preserve">See: </w:t>
      </w:r>
      <w:r w:rsidRPr="00404C0D">
        <w:rPr>
          <w:lang w:val="en-AU"/>
        </w:rPr>
        <w:t>http://www.rms.nsw.gov.au/about/corporate-publications/statistics/traffic-volumes/map/index.html</w:t>
      </w:r>
      <w:r>
        <w:rPr>
          <w:lang w:val="en-AU"/>
        </w:rPr>
        <w:t xml:space="preserve"> (interactive map).</w:t>
      </w:r>
    </w:p>
    <w:p w:rsidR="006D5987" w:rsidRDefault="006D5987">
      <w:pPr>
        <w:pStyle w:val="EndnoteText"/>
        <w:rPr>
          <w:lang w:val="en-AU"/>
        </w:rPr>
      </w:pPr>
    </w:p>
    <w:p w:rsidR="006D5987" w:rsidRDefault="006D5987">
      <w:pPr>
        <w:pStyle w:val="EndnoteText"/>
        <w:rPr>
          <w:lang w:val="en-AU"/>
        </w:rPr>
      </w:pPr>
    </w:p>
    <w:p w:rsidR="006D5987" w:rsidRPr="005D3D8F" w:rsidRDefault="006D5987">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87" w:rsidRDefault="006D5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361622"/>
      <w:docPartObj>
        <w:docPartGallery w:val="Page Numbers (Bottom of Page)"/>
        <w:docPartUnique/>
      </w:docPartObj>
    </w:sdtPr>
    <w:sdtEndPr>
      <w:rPr>
        <w:noProof/>
      </w:rPr>
    </w:sdtEndPr>
    <w:sdtContent>
      <w:p w:rsidR="006D5987" w:rsidRDefault="006D5987">
        <w:pPr>
          <w:pStyle w:val="Footer"/>
          <w:jc w:val="center"/>
        </w:pPr>
        <w:r>
          <w:fldChar w:fldCharType="begin"/>
        </w:r>
        <w:r>
          <w:instrText xml:space="preserve"> PAGE   \* MERGEFORMAT </w:instrText>
        </w:r>
        <w:r>
          <w:fldChar w:fldCharType="separate"/>
        </w:r>
        <w:r w:rsidR="00DF5B1D">
          <w:rPr>
            <w:noProof/>
          </w:rPr>
          <w:t>6</w:t>
        </w:r>
        <w:r>
          <w:rPr>
            <w:noProof/>
          </w:rPr>
          <w:fldChar w:fldCharType="end"/>
        </w:r>
      </w:p>
    </w:sdtContent>
  </w:sdt>
  <w:p w:rsidR="006D5987" w:rsidRDefault="006D5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87" w:rsidRDefault="006D5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2F" w:rsidRDefault="0022252F" w:rsidP="002E6F88">
      <w:pPr>
        <w:spacing w:after="0" w:line="240" w:lineRule="auto"/>
      </w:pPr>
      <w:r>
        <w:separator/>
      </w:r>
    </w:p>
  </w:footnote>
  <w:footnote w:type="continuationSeparator" w:id="0">
    <w:p w:rsidR="0022252F" w:rsidRDefault="0022252F" w:rsidP="002E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87" w:rsidRDefault="006D5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87" w:rsidRDefault="006D5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87" w:rsidRDefault="006D5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7482"/>
    <w:multiLevelType w:val="hybridMultilevel"/>
    <w:tmpl w:val="55424BAC"/>
    <w:lvl w:ilvl="0" w:tplc="E8D84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43503"/>
    <w:multiLevelType w:val="hybridMultilevel"/>
    <w:tmpl w:val="83EA3BF2"/>
    <w:lvl w:ilvl="0" w:tplc="277053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88"/>
    <w:rsid w:val="00083F9F"/>
    <w:rsid w:val="000A53C2"/>
    <w:rsid w:val="00111092"/>
    <w:rsid w:val="00163193"/>
    <w:rsid w:val="001B571C"/>
    <w:rsid w:val="0022252F"/>
    <w:rsid w:val="00245BAC"/>
    <w:rsid w:val="00251274"/>
    <w:rsid w:val="002E6F88"/>
    <w:rsid w:val="003069ED"/>
    <w:rsid w:val="00404C0D"/>
    <w:rsid w:val="00495485"/>
    <w:rsid w:val="004C3570"/>
    <w:rsid w:val="00523CE9"/>
    <w:rsid w:val="00570BAF"/>
    <w:rsid w:val="0059357B"/>
    <w:rsid w:val="00595C94"/>
    <w:rsid w:val="005D219D"/>
    <w:rsid w:val="005D3D8F"/>
    <w:rsid w:val="0067302B"/>
    <w:rsid w:val="0069688F"/>
    <w:rsid w:val="006D5987"/>
    <w:rsid w:val="006F5CE7"/>
    <w:rsid w:val="00760C91"/>
    <w:rsid w:val="007A7FD1"/>
    <w:rsid w:val="008B56D0"/>
    <w:rsid w:val="008D6633"/>
    <w:rsid w:val="009A3E84"/>
    <w:rsid w:val="009F465B"/>
    <w:rsid w:val="00A275AE"/>
    <w:rsid w:val="00A3511E"/>
    <w:rsid w:val="00A452DA"/>
    <w:rsid w:val="00A4738D"/>
    <w:rsid w:val="00BA16B4"/>
    <w:rsid w:val="00BB1377"/>
    <w:rsid w:val="00BB5903"/>
    <w:rsid w:val="00BD3703"/>
    <w:rsid w:val="00C2483C"/>
    <w:rsid w:val="00D5684B"/>
    <w:rsid w:val="00D6501F"/>
    <w:rsid w:val="00DA1FE1"/>
    <w:rsid w:val="00DE4453"/>
    <w:rsid w:val="00DF314A"/>
    <w:rsid w:val="00DF5B1D"/>
    <w:rsid w:val="00E2260E"/>
    <w:rsid w:val="00E355DA"/>
    <w:rsid w:val="00E55F52"/>
    <w:rsid w:val="00EC5F42"/>
    <w:rsid w:val="00ED1D0A"/>
    <w:rsid w:val="00F4305F"/>
    <w:rsid w:val="00F4555A"/>
    <w:rsid w:val="00F4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015FF-D2F0-4C9D-A9B1-F5622E12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88"/>
  </w:style>
  <w:style w:type="paragraph" w:styleId="Heading1">
    <w:name w:val="heading 1"/>
    <w:basedOn w:val="Normal"/>
    <w:next w:val="Normal"/>
    <w:link w:val="Heading1Char"/>
    <w:uiPriority w:val="9"/>
    <w:qFormat/>
    <w:rsid w:val="00245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F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E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E6F88"/>
    <w:pPr>
      <w:spacing w:after="0" w:line="240" w:lineRule="auto"/>
    </w:pPr>
    <w:rPr>
      <w:sz w:val="20"/>
      <w:szCs w:val="20"/>
    </w:rPr>
  </w:style>
  <w:style w:type="character" w:customStyle="1" w:styleId="EndnoteTextChar">
    <w:name w:val="Endnote Text Char"/>
    <w:basedOn w:val="DefaultParagraphFont"/>
    <w:link w:val="EndnoteText"/>
    <w:uiPriority w:val="99"/>
    <w:rsid w:val="002E6F88"/>
    <w:rPr>
      <w:sz w:val="20"/>
      <w:szCs w:val="20"/>
    </w:rPr>
  </w:style>
  <w:style w:type="character" w:styleId="EndnoteReference">
    <w:name w:val="endnote reference"/>
    <w:basedOn w:val="DefaultParagraphFont"/>
    <w:uiPriority w:val="99"/>
    <w:semiHidden/>
    <w:unhideWhenUsed/>
    <w:rsid w:val="002E6F88"/>
    <w:rPr>
      <w:vertAlign w:val="superscript"/>
    </w:rPr>
  </w:style>
  <w:style w:type="paragraph" w:styleId="ListParagraph">
    <w:name w:val="List Paragraph"/>
    <w:basedOn w:val="Normal"/>
    <w:uiPriority w:val="34"/>
    <w:qFormat/>
    <w:rsid w:val="002E6F88"/>
    <w:pPr>
      <w:ind w:left="720"/>
      <w:contextualSpacing/>
    </w:pPr>
  </w:style>
  <w:style w:type="character" w:customStyle="1" w:styleId="Heading1Char">
    <w:name w:val="Heading 1 Char"/>
    <w:basedOn w:val="DefaultParagraphFont"/>
    <w:link w:val="Heading1"/>
    <w:uiPriority w:val="9"/>
    <w:rsid w:val="00245BA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60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C91"/>
  </w:style>
  <w:style w:type="paragraph" w:styleId="Footer">
    <w:name w:val="footer"/>
    <w:basedOn w:val="Normal"/>
    <w:link w:val="FooterChar"/>
    <w:uiPriority w:val="99"/>
    <w:unhideWhenUsed/>
    <w:rsid w:val="0076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BA95-918D-4370-9E7C-A9B001F3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31</cp:revision>
  <dcterms:created xsi:type="dcterms:W3CDTF">2016-02-28T10:58:00Z</dcterms:created>
  <dcterms:modified xsi:type="dcterms:W3CDTF">2016-04-06T07:24:00Z</dcterms:modified>
</cp:coreProperties>
</file>