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DD5" w:rsidRDefault="00C029B0" w:rsidP="00670AA1">
      <w:pPr>
        <w:pStyle w:val="Heading1"/>
        <w:spacing w:before="0"/>
        <w:rPr>
          <w:lang w:val="en-AU"/>
        </w:rPr>
      </w:pPr>
      <w:r>
        <w:rPr>
          <w:lang w:val="en-AU"/>
        </w:rPr>
        <w:t>Some o</w:t>
      </w:r>
      <w:r w:rsidR="00670AA1">
        <w:rPr>
          <w:lang w:val="en-AU"/>
        </w:rPr>
        <w:t>bservations on</w:t>
      </w:r>
      <w:r w:rsidR="0093343A">
        <w:rPr>
          <w:lang w:val="en-AU"/>
        </w:rPr>
        <w:t xml:space="preserve"> governance</w:t>
      </w:r>
    </w:p>
    <w:p w:rsidR="00670AA1" w:rsidRDefault="00670AA1" w:rsidP="00670AA1">
      <w:pPr>
        <w:pStyle w:val="Heading2"/>
        <w:spacing w:before="0"/>
        <w:rPr>
          <w:lang w:val="en-AU"/>
        </w:rPr>
      </w:pPr>
    </w:p>
    <w:p w:rsidR="003D6F78" w:rsidRDefault="003D6F78" w:rsidP="00670AA1">
      <w:pPr>
        <w:pStyle w:val="Heading2"/>
        <w:spacing w:before="0"/>
        <w:rPr>
          <w:lang w:val="en-AU"/>
        </w:rPr>
      </w:pPr>
      <w:r>
        <w:rPr>
          <w:lang w:val="en-AU"/>
        </w:rPr>
        <w:t>Introduction</w:t>
      </w:r>
    </w:p>
    <w:p w:rsidR="003D6F78" w:rsidRDefault="00324187" w:rsidP="00670AA1">
      <w:pPr>
        <w:spacing w:after="0"/>
        <w:rPr>
          <w:lang w:val="en-AU"/>
        </w:rPr>
      </w:pPr>
      <w:r>
        <w:rPr>
          <w:lang w:val="en-AU"/>
        </w:rPr>
        <w:t>P</w:t>
      </w:r>
      <w:r w:rsidR="003D6F78">
        <w:rPr>
          <w:lang w:val="en-AU"/>
        </w:rPr>
        <w:t xml:space="preserve">revious articles </w:t>
      </w:r>
      <w:r w:rsidR="001936D4">
        <w:rPr>
          <w:lang w:val="en-AU"/>
        </w:rPr>
        <w:t>pointed to</w:t>
      </w:r>
      <w:r w:rsidR="003D6F78">
        <w:rPr>
          <w:lang w:val="en-AU"/>
        </w:rPr>
        <w:t xml:space="preserve"> problems of governance</w:t>
      </w:r>
      <w:r w:rsidR="00AE3FBB">
        <w:rPr>
          <w:lang w:val="en-AU"/>
        </w:rPr>
        <w:t xml:space="preserve"> afflicting</w:t>
      </w:r>
      <w:r w:rsidR="00D40A66">
        <w:rPr>
          <w:lang w:val="en-AU"/>
        </w:rPr>
        <w:t xml:space="preserve"> transport advice</w:t>
      </w:r>
      <w:r w:rsidR="003D6F78">
        <w:rPr>
          <w:lang w:val="en-AU"/>
        </w:rPr>
        <w:t>.</w:t>
      </w:r>
      <w:r w:rsidR="00E42512">
        <w:rPr>
          <w:lang w:val="en-AU"/>
        </w:rPr>
        <w:t xml:space="preserve">  </w:t>
      </w:r>
      <w:r w:rsidR="00E33A74">
        <w:rPr>
          <w:lang w:val="en-AU"/>
        </w:rPr>
        <w:t>T</w:t>
      </w:r>
      <w:r w:rsidR="003D6F78">
        <w:rPr>
          <w:lang w:val="en-AU"/>
        </w:rPr>
        <w:t xml:space="preserve">his article </w:t>
      </w:r>
      <w:r w:rsidR="00FF2FB0">
        <w:rPr>
          <w:lang w:val="en-AU"/>
        </w:rPr>
        <w:t>takes a more general look at governance</w:t>
      </w:r>
      <w:r w:rsidR="00EC5BF5">
        <w:rPr>
          <w:lang w:val="en-AU"/>
        </w:rPr>
        <w:t xml:space="preserve"> questions</w:t>
      </w:r>
      <w:r w:rsidR="003B0B86">
        <w:rPr>
          <w:lang w:val="en-AU"/>
        </w:rPr>
        <w:t>, as ever, drawing on transport examples</w:t>
      </w:r>
      <w:r w:rsidR="003D6F78">
        <w:rPr>
          <w:lang w:val="en-AU"/>
        </w:rPr>
        <w:t>.</w:t>
      </w:r>
      <w:r w:rsidR="005531CC">
        <w:rPr>
          <w:lang w:val="en-AU"/>
        </w:rPr>
        <w:t xml:space="preserve">  Its purpose is to provide some background for later articles on substantive transport topics.</w:t>
      </w:r>
    </w:p>
    <w:p w:rsidR="00670AA1" w:rsidRDefault="00670AA1" w:rsidP="00670AA1">
      <w:pPr>
        <w:spacing w:after="0"/>
        <w:rPr>
          <w:lang w:val="en-AU"/>
        </w:rPr>
      </w:pPr>
    </w:p>
    <w:p w:rsidR="006444B5" w:rsidRPr="006444B5" w:rsidRDefault="006444B5" w:rsidP="00670AA1">
      <w:pPr>
        <w:pStyle w:val="Heading2"/>
        <w:spacing w:before="0"/>
        <w:rPr>
          <w:lang w:val="en-AU"/>
        </w:rPr>
      </w:pPr>
      <w:r w:rsidRPr="006444B5">
        <w:rPr>
          <w:lang w:val="en-AU"/>
        </w:rPr>
        <w:t>Strange days have found us</w:t>
      </w:r>
    </w:p>
    <w:p w:rsidR="00A356F7" w:rsidRDefault="003D6F78" w:rsidP="00670AA1">
      <w:pPr>
        <w:spacing w:after="0"/>
        <w:rPr>
          <w:lang w:val="en-AU"/>
        </w:rPr>
      </w:pPr>
      <w:r>
        <w:rPr>
          <w:lang w:val="en-AU"/>
        </w:rPr>
        <w:t>Previous</w:t>
      </w:r>
      <w:r w:rsidR="00F54E91">
        <w:rPr>
          <w:lang w:val="en-AU"/>
        </w:rPr>
        <w:t>l</w:t>
      </w:r>
      <w:r>
        <w:rPr>
          <w:lang w:val="en-AU"/>
        </w:rPr>
        <w:t xml:space="preserve">y you </w:t>
      </w:r>
      <w:r w:rsidR="0093343A">
        <w:rPr>
          <w:lang w:val="en-AU"/>
        </w:rPr>
        <w:t xml:space="preserve">might </w:t>
      </w:r>
      <w:r>
        <w:rPr>
          <w:lang w:val="en-AU"/>
        </w:rPr>
        <w:t>have read about</w:t>
      </w:r>
      <w:r w:rsidR="0093343A">
        <w:rPr>
          <w:lang w:val="en-AU"/>
        </w:rPr>
        <w:t xml:space="preserve"> </w:t>
      </w:r>
      <w:r>
        <w:rPr>
          <w:lang w:val="en-AU"/>
        </w:rPr>
        <w:t>……</w:t>
      </w:r>
      <w:r w:rsidR="009F135C">
        <w:rPr>
          <w:lang w:val="en-AU"/>
        </w:rPr>
        <w:t xml:space="preserve"> </w:t>
      </w:r>
      <w:r w:rsidR="0093343A">
        <w:rPr>
          <w:lang w:val="en-AU"/>
        </w:rPr>
        <w:t>examples of</w:t>
      </w:r>
      <w:r w:rsidR="009F135C">
        <w:rPr>
          <w:lang w:val="en-AU"/>
        </w:rPr>
        <w:t xml:space="preserve"> the transport advisory arm of the public service fall</w:t>
      </w:r>
      <w:r w:rsidR="0093343A">
        <w:rPr>
          <w:lang w:val="en-AU"/>
        </w:rPr>
        <w:t>ing</w:t>
      </w:r>
      <w:r w:rsidR="009F135C">
        <w:rPr>
          <w:lang w:val="en-AU"/>
        </w:rPr>
        <w:t xml:space="preserve"> short of </w:t>
      </w:r>
      <w:r w:rsidR="00E33A74">
        <w:rPr>
          <w:lang w:val="en-AU"/>
        </w:rPr>
        <w:t>w</w:t>
      </w:r>
      <w:r w:rsidR="009F135C">
        <w:rPr>
          <w:lang w:val="en-AU"/>
        </w:rPr>
        <w:t>h</w:t>
      </w:r>
      <w:r w:rsidR="00D9184E">
        <w:rPr>
          <w:lang w:val="en-AU"/>
        </w:rPr>
        <w:t xml:space="preserve">at </w:t>
      </w:r>
      <w:r w:rsidR="009F135C">
        <w:rPr>
          <w:lang w:val="en-AU"/>
        </w:rPr>
        <w:t xml:space="preserve">should </w:t>
      </w:r>
      <w:r w:rsidR="00D9184E">
        <w:rPr>
          <w:lang w:val="en-AU"/>
        </w:rPr>
        <w:t xml:space="preserve">be </w:t>
      </w:r>
      <w:r w:rsidR="009F135C">
        <w:rPr>
          <w:lang w:val="en-AU"/>
        </w:rPr>
        <w:t>expect</w:t>
      </w:r>
      <w:r w:rsidR="00D9184E">
        <w:rPr>
          <w:lang w:val="en-AU"/>
        </w:rPr>
        <w:t>ed</w:t>
      </w:r>
      <w:r w:rsidR="009F135C">
        <w:rPr>
          <w:lang w:val="en-AU"/>
        </w:rPr>
        <w:t>.</w:t>
      </w:r>
      <w:r w:rsidR="00D9184E">
        <w:rPr>
          <w:lang w:val="en-AU"/>
        </w:rPr>
        <w:t xml:space="preserve">  </w:t>
      </w:r>
      <w:r w:rsidR="009F135C">
        <w:rPr>
          <w:lang w:val="en-AU"/>
        </w:rPr>
        <w:t>These include</w:t>
      </w:r>
      <w:r w:rsidR="001936D4">
        <w:rPr>
          <w:lang w:val="en-AU"/>
        </w:rPr>
        <w:t>,</w:t>
      </w:r>
      <w:r w:rsidR="00A356F7">
        <w:rPr>
          <w:lang w:val="en-AU"/>
        </w:rPr>
        <w:t xml:space="preserve"> </w:t>
      </w:r>
      <w:r w:rsidR="00D9184E">
        <w:rPr>
          <w:lang w:val="en-AU"/>
        </w:rPr>
        <w:t>for</w:t>
      </w:r>
      <w:r w:rsidR="00A356F7">
        <w:rPr>
          <w:lang w:val="en-AU"/>
        </w:rPr>
        <w:t xml:space="preserve"> roads</w:t>
      </w:r>
      <w:r w:rsidR="009F135C">
        <w:rPr>
          <w:lang w:val="en-AU"/>
        </w:rPr>
        <w:t>:</w:t>
      </w:r>
      <w:r w:rsidR="00E33A74">
        <w:rPr>
          <w:lang w:val="en-AU"/>
        </w:rPr>
        <w:t xml:space="preserve"> ina</w:t>
      </w:r>
      <w:r w:rsidR="00A356F7" w:rsidRPr="00886146">
        <w:rPr>
          <w:lang w:val="en-AU"/>
        </w:rPr>
        <w:t>ccurate and misleading language;</w:t>
      </w:r>
      <w:r w:rsidR="00E33A74">
        <w:rPr>
          <w:lang w:val="en-AU"/>
        </w:rPr>
        <w:t xml:space="preserve"> d</w:t>
      </w:r>
      <w:r w:rsidR="00A356F7" w:rsidRPr="00886146">
        <w:rPr>
          <w:lang w:val="en-AU"/>
        </w:rPr>
        <w:t>eficient or absent analyses;</w:t>
      </w:r>
      <w:r w:rsidR="00E33A74">
        <w:rPr>
          <w:lang w:val="en-AU"/>
        </w:rPr>
        <w:t xml:space="preserve"> p</w:t>
      </w:r>
      <w:r w:rsidR="00A356F7" w:rsidRPr="006D7A1F">
        <w:rPr>
          <w:lang w:val="en-AU"/>
        </w:rPr>
        <w:t>romulgation of errors.</w:t>
      </w:r>
      <w:r w:rsidR="00F07589" w:rsidRPr="00F07589">
        <w:rPr>
          <w:lang w:val="en-AU"/>
        </w:rPr>
        <w:t xml:space="preserve"> </w:t>
      </w:r>
      <w:r w:rsidR="00F07589">
        <w:rPr>
          <w:lang w:val="en-AU"/>
        </w:rPr>
        <w:t>The issues are not limited to roads.</w:t>
      </w:r>
      <w:r w:rsidR="00E45629">
        <w:rPr>
          <w:rStyle w:val="EndnoteReference"/>
          <w:lang w:val="en-AU"/>
        </w:rPr>
        <w:endnoteReference w:id="1"/>
      </w:r>
      <w:r w:rsidR="00A356F7" w:rsidRPr="006D7A1F">
        <w:rPr>
          <w:lang w:val="en-AU"/>
        </w:rPr>
        <w:t xml:space="preserve"> </w:t>
      </w:r>
    </w:p>
    <w:p w:rsidR="00E33A74" w:rsidRPr="006D7A1F" w:rsidRDefault="00E33A74" w:rsidP="00670AA1">
      <w:pPr>
        <w:spacing w:after="0"/>
        <w:rPr>
          <w:lang w:val="en-AU"/>
        </w:rPr>
      </w:pPr>
    </w:p>
    <w:p w:rsidR="00F07589" w:rsidRDefault="00AE3FBB" w:rsidP="00670AA1">
      <w:pPr>
        <w:spacing w:after="0"/>
        <w:rPr>
          <w:lang w:val="en-AU"/>
        </w:rPr>
      </w:pPr>
      <w:r>
        <w:rPr>
          <w:lang w:val="en-AU"/>
        </w:rPr>
        <w:t>S</w:t>
      </w:r>
      <w:r w:rsidR="00F07589">
        <w:rPr>
          <w:lang w:val="en-AU"/>
        </w:rPr>
        <w:t>ome</w:t>
      </w:r>
      <w:r w:rsidR="00886146">
        <w:rPr>
          <w:lang w:val="en-AU"/>
        </w:rPr>
        <w:t xml:space="preserve"> journals and organisations </w:t>
      </w:r>
      <w:r w:rsidR="001936D4">
        <w:rPr>
          <w:lang w:val="en-AU"/>
        </w:rPr>
        <w:t xml:space="preserve">defend the </w:t>
      </w:r>
      <w:r w:rsidR="00886146">
        <w:rPr>
          <w:lang w:val="en-AU"/>
        </w:rPr>
        <w:t>public service</w:t>
      </w:r>
      <w:r>
        <w:rPr>
          <w:lang w:val="en-AU"/>
        </w:rPr>
        <w:t xml:space="preserve"> but</w:t>
      </w:r>
      <w:r w:rsidR="00886146">
        <w:rPr>
          <w:lang w:val="en-AU"/>
        </w:rPr>
        <w:t xml:space="preserve"> </w:t>
      </w:r>
      <w:r w:rsidR="00D9184E">
        <w:rPr>
          <w:lang w:val="en-AU"/>
        </w:rPr>
        <w:t>such</w:t>
      </w:r>
      <w:r w:rsidR="0093343A">
        <w:rPr>
          <w:lang w:val="en-AU"/>
        </w:rPr>
        <w:t xml:space="preserve"> examples</w:t>
      </w:r>
      <w:r w:rsidR="00886146">
        <w:rPr>
          <w:lang w:val="en-AU"/>
        </w:rPr>
        <w:t xml:space="preserve">, on the public record, undermine </w:t>
      </w:r>
      <w:r w:rsidR="00F36723">
        <w:rPr>
          <w:lang w:val="en-AU"/>
        </w:rPr>
        <w:t>these</w:t>
      </w:r>
      <w:r w:rsidR="0093343A">
        <w:rPr>
          <w:lang w:val="en-AU"/>
        </w:rPr>
        <w:t xml:space="preserve"> </w:t>
      </w:r>
      <w:r w:rsidR="001936D4">
        <w:rPr>
          <w:lang w:val="en-AU"/>
        </w:rPr>
        <w:t>efforts</w:t>
      </w:r>
      <w:r w:rsidR="00886146">
        <w:rPr>
          <w:lang w:val="en-AU"/>
        </w:rPr>
        <w:t xml:space="preserve">.  </w:t>
      </w:r>
      <w:r w:rsidR="001936D4">
        <w:rPr>
          <w:lang w:val="en-AU"/>
        </w:rPr>
        <w:t>I</w:t>
      </w:r>
      <w:r w:rsidR="00886146">
        <w:rPr>
          <w:lang w:val="en-AU"/>
        </w:rPr>
        <w:t>t is reasonable to ask</w:t>
      </w:r>
      <w:r w:rsidR="00D9184E">
        <w:rPr>
          <w:lang w:val="en-AU"/>
        </w:rPr>
        <w:t>:</w:t>
      </w:r>
      <w:r w:rsidR="001936D4">
        <w:rPr>
          <w:lang w:val="en-AU"/>
        </w:rPr>
        <w:t xml:space="preserve"> </w:t>
      </w:r>
      <w:r w:rsidR="00D9184E">
        <w:rPr>
          <w:lang w:val="en-AU"/>
        </w:rPr>
        <w:t xml:space="preserve">are </w:t>
      </w:r>
      <w:r w:rsidR="00FC7ED3">
        <w:rPr>
          <w:lang w:val="en-AU"/>
        </w:rPr>
        <w:t>there agendas other than public service</w:t>
      </w:r>
      <w:r w:rsidR="00D9184E">
        <w:rPr>
          <w:lang w:val="en-AU"/>
        </w:rPr>
        <w:t>?</w:t>
      </w:r>
      <w:r w:rsidR="00A356F7">
        <w:rPr>
          <w:lang w:val="en-AU"/>
        </w:rPr>
        <w:t xml:space="preserve">  </w:t>
      </w:r>
    </w:p>
    <w:p w:rsidR="00670AA1" w:rsidRDefault="001936D4" w:rsidP="00670AA1">
      <w:pPr>
        <w:spacing w:after="0"/>
        <w:rPr>
          <w:lang w:val="en-AU"/>
        </w:rPr>
      </w:pPr>
      <w:r>
        <w:rPr>
          <w:lang w:val="en-AU"/>
        </w:rPr>
        <w:t>H</w:t>
      </w:r>
      <w:r w:rsidR="004765B9">
        <w:rPr>
          <w:lang w:val="en-AU"/>
        </w:rPr>
        <w:t xml:space="preserve">uman nature being what it is, these </w:t>
      </w:r>
      <w:r w:rsidR="00D9184E">
        <w:rPr>
          <w:lang w:val="en-AU"/>
        </w:rPr>
        <w:t xml:space="preserve">concerns are not </w:t>
      </w:r>
      <w:r w:rsidR="004765B9">
        <w:rPr>
          <w:lang w:val="en-AU"/>
        </w:rPr>
        <w:t>n</w:t>
      </w:r>
      <w:r w:rsidR="00324187">
        <w:rPr>
          <w:lang w:val="en-AU"/>
        </w:rPr>
        <w:t>ew</w:t>
      </w:r>
      <w:r w:rsidR="004765B9">
        <w:rPr>
          <w:lang w:val="en-AU"/>
        </w:rPr>
        <w:t xml:space="preserve">.  </w:t>
      </w:r>
    </w:p>
    <w:p w:rsidR="00670AA1" w:rsidRDefault="00670AA1" w:rsidP="00670AA1">
      <w:pPr>
        <w:spacing w:after="0"/>
        <w:rPr>
          <w:lang w:val="en-AU"/>
        </w:rPr>
      </w:pPr>
    </w:p>
    <w:p w:rsidR="00A54679" w:rsidRDefault="00A54679" w:rsidP="00670AA1">
      <w:pPr>
        <w:spacing w:after="0"/>
        <w:rPr>
          <w:lang w:val="en-AU"/>
        </w:rPr>
      </w:pPr>
      <w:r>
        <w:rPr>
          <w:lang w:val="en-AU"/>
        </w:rPr>
        <w:t xml:space="preserve">The purpose of </w:t>
      </w:r>
      <w:r w:rsidR="004765B9">
        <w:rPr>
          <w:lang w:val="en-AU"/>
        </w:rPr>
        <w:t xml:space="preserve">governance is to </w:t>
      </w:r>
      <w:r w:rsidR="00D9184E">
        <w:rPr>
          <w:lang w:val="en-AU"/>
        </w:rPr>
        <w:t xml:space="preserve">overcome such problems by </w:t>
      </w:r>
      <w:r w:rsidR="004765B9">
        <w:rPr>
          <w:lang w:val="en-AU"/>
        </w:rPr>
        <w:t>harness</w:t>
      </w:r>
      <w:r w:rsidR="00D9184E">
        <w:rPr>
          <w:lang w:val="en-AU"/>
        </w:rPr>
        <w:t>ing</w:t>
      </w:r>
      <w:r>
        <w:rPr>
          <w:lang w:val="en-AU"/>
        </w:rPr>
        <w:t xml:space="preserve"> th</w:t>
      </w:r>
      <w:r w:rsidR="001936D4">
        <w:rPr>
          <w:lang w:val="en-AU"/>
        </w:rPr>
        <w:t>e</w:t>
      </w:r>
      <w:r w:rsidR="004765B9">
        <w:rPr>
          <w:lang w:val="en-AU"/>
        </w:rPr>
        <w:t xml:space="preserve"> nature </w:t>
      </w:r>
      <w:r w:rsidR="001936D4">
        <w:rPr>
          <w:lang w:val="en-AU"/>
        </w:rPr>
        <w:t xml:space="preserve">of individuals </w:t>
      </w:r>
      <w:r w:rsidR="004765B9">
        <w:rPr>
          <w:lang w:val="en-AU"/>
        </w:rPr>
        <w:t xml:space="preserve">for the </w:t>
      </w:r>
      <w:r>
        <w:rPr>
          <w:lang w:val="en-AU"/>
        </w:rPr>
        <w:t>wider</w:t>
      </w:r>
      <w:r w:rsidR="004765B9">
        <w:rPr>
          <w:lang w:val="en-AU"/>
        </w:rPr>
        <w:t xml:space="preserve"> good.  </w:t>
      </w:r>
      <w:r>
        <w:rPr>
          <w:lang w:val="en-AU"/>
        </w:rPr>
        <w:t>Persistent shortcomings in the behaviour of individuals or institutions point to governance failures</w:t>
      </w:r>
      <w:r w:rsidR="005576D0">
        <w:rPr>
          <w:lang w:val="en-AU"/>
        </w:rPr>
        <w:t xml:space="preserve"> such as: lack of </w:t>
      </w:r>
      <w:r w:rsidR="00D860F7">
        <w:rPr>
          <w:lang w:val="en-AU"/>
        </w:rPr>
        <w:t xml:space="preserve">incentives or </w:t>
      </w:r>
      <w:r w:rsidR="005576D0">
        <w:rPr>
          <w:lang w:val="en-AU"/>
        </w:rPr>
        <w:t>enforcement; incompleteness, inconsistency or incoherence in rules</w:t>
      </w:r>
      <w:r>
        <w:rPr>
          <w:lang w:val="en-AU"/>
        </w:rPr>
        <w:t>.</w:t>
      </w:r>
    </w:p>
    <w:p w:rsidR="00670AA1" w:rsidRDefault="00670AA1" w:rsidP="00670AA1">
      <w:pPr>
        <w:spacing w:after="0"/>
        <w:rPr>
          <w:lang w:val="en-AU"/>
        </w:rPr>
      </w:pPr>
    </w:p>
    <w:p w:rsidR="00FC7ED3" w:rsidRDefault="005E7A9A" w:rsidP="00670AA1">
      <w:pPr>
        <w:spacing w:after="0"/>
        <w:rPr>
          <w:lang w:val="en-AU"/>
        </w:rPr>
      </w:pPr>
      <w:r>
        <w:rPr>
          <w:lang w:val="en-AU"/>
        </w:rPr>
        <w:t>How can there be such failures when there</w:t>
      </w:r>
      <w:r w:rsidR="005576D0">
        <w:rPr>
          <w:lang w:val="en-AU"/>
        </w:rPr>
        <w:t xml:space="preserve"> </w:t>
      </w:r>
      <w:r w:rsidR="00D9184E">
        <w:rPr>
          <w:lang w:val="en-AU"/>
        </w:rPr>
        <w:t>is</w:t>
      </w:r>
      <w:r w:rsidR="005576D0">
        <w:rPr>
          <w:lang w:val="en-AU"/>
        </w:rPr>
        <w:t xml:space="preserve"> </w:t>
      </w:r>
      <w:r>
        <w:rPr>
          <w:lang w:val="en-AU"/>
        </w:rPr>
        <w:t>widespread use of ‘governance’</w:t>
      </w:r>
      <w:r w:rsidR="00D9184E">
        <w:rPr>
          <w:lang w:val="en-AU"/>
        </w:rPr>
        <w:t xml:space="preserve"> </w:t>
      </w:r>
      <w:r w:rsidR="00324187">
        <w:rPr>
          <w:lang w:val="en-AU"/>
        </w:rPr>
        <w:t>and such</w:t>
      </w:r>
      <w:r w:rsidR="00D9184E">
        <w:rPr>
          <w:lang w:val="en-AU"/>
        </w:rPr>
        <w:t xml:space="preserve"> extensive guidelines</w:t>
      </w:r>
      <w:r>
        <w:rPr>
          <w:lang w:val="en-AU"/>
        </w:rPr>
        <w:t xml:space="preserve">?  </w:t>
      </w:r>
      <w:r w:rsidR="00214374">
        <w:rPr>
          <w:lang w:val="en-AU"/>
        </w:rPr>
        <w:t>Not only is there ‘external governance’</w:t>
      </w:r>
      <w:r w:rsidR="004631ED">
        <w:rPr>
          <w:lang w:val="en-AU"/>
        </w:rPr>
        <w:t>, organisations take pride in</w:t>
      </w:r>
      <w:r w:rsidR="0093343A">
        <w:rPr>
          <w:lang w:val="en-AU"/>
        </w:rPr>
        <w:t xml:space="preserve"> </w:t>
      </w:r>
      <w:r w:rsidR="004631ED">
        <w:rPr>
          <w:lang w:val="en-AU"/>
        </w:rPr>
        <w:t>internal governance</w:t>
      </w:r>
      <w:r w:rsidR="00FC7ED3">
        <w:rPr>
          <w:lang w:val="en-AU"/>
        </w:rPr>
        <w:t xml:space="preserve"> and even projects have ‘governance’</w:t>
      </w:r>
      <w:r w:rsidR="004631ED">
        <w:rPr>
          <w:lang w:val="en-AU"/>
        </w:rPr>
        <w:t xml:space="preserve">.  The </w:t>
      </w:r>
      <w:r w:rsidR="0093343A">
        <w:rPr>
          <w:lang w:val="en-AU"/>
        </w:rPr>
        <w:t xml:space="preserve">terminology </w:t>
      </w:r>
      <w:r w:rsidR="004631ED">
        <w:rPr>
          <w:lang w:val="en-AU"/>
        </w:rPr>
        <w:t xml:space="preserve">is popular </w:t>
      </w:r>
      <w:r w:rsidR="00324187">
        <w:rPr>
          <w:lang w:val="en-AU"/>
        </w:rPr>
        <w:t xml:space="preserve">yet the term is </w:t>
      </w:r>
      <w:r w:rsidR="008C69AF">
        <w:rPr>
          <w:lang w:val="en-AU"/>
        </w:rPr>
        <w:t>rarely define</w:t>
      </w:r>
      <w:r w:rsidR="00324187">
        <w:rPr>
          <w:lang w:val="en-AU"/>
        </w:rPr>
        <w:t>d</w:t>
      </w:r>
      <w:r w:rsidR="008C69AF">
        <w:rPr>
          <w:lang w:val="en-AU"/>
        </w:rPr>
        <w:t>.</w:t>
      </w:r>
      <w:r w:rsidR="00324187">
        <w:rPr>
          <w:lang w:val="en-AU"/>
        </w:rPr>
        <w:t xml:space="preserve">  </w:t>
      </w:r>
    </w:p>
    <w:p w:rsidR="00214374" w:rsidRDefault="00FC7ED3" w:rsidP="00670AA1">
      <w:pPr>
        <w:spacing w:after="0"/>
        <w:rPr>
          <w:lang w:val="en-AU"/>
        </w:rPr>
      </w:pPr>
      <w:r>
        <w:rPr>
          <w:lang w:val="en-AU"/>
        </w:rPr>
        <w:t>Some examples deserving better explanation by practitioners follow.</w:t>
      </w:r>
    </w:p>
    <w:p w:rsidR="00670AA1" w:rsidRDefault="00670AA1" w:rsidP="00670AA1">
      <w:pPr>
        <w:spacing w:after="0"/>
        <w:rPr>
          <w:lang w:val="en-AU"/>
        </w:rPr>
      </w:pPr>
    </w:p>
    <w:p w:rsidR="00670AA1" w:rsidRDefault="007157A9" w:rsidP="00670AA1">
      <w:pPr>
        <w:pStyle w:val="Heading2"/>
        <w:rPr>
          <w:sz w:val="24"/>
          <w:szCs w:val="24"/>
          <w:lang w:val="en-AU"/>
        </w:rPr>
      </w:pPr>
      <w:r w:rsidRPr="009C6C18">
        <w:rPr>
          <w:i/>
          <w:sz w:val="22"/>
          <w:szCs w:val="22"/>
          <w:lang w:val="en-AU"/>
        </w:rPr>
        <w:t>‘</w:t>
      </w:r>
      <w:r w:rsidRPr="005531CC">
        <w:rPr>
          <w:i/>
          <w:sz w:val="24"/>
          <w:szCs w:val="24"/>
          <w:lang w:val="en-AU"/>
        </w:rPr>
        <w:t>The mistakes are all there waiting to be made’</w:t>
      </w:r>
      <w:r w:rsidR="00670AA1">
        <w:rPr>
          <w:i/>
          <w:sz w:val="24"/>
          <w:szCs w:val="24"/>
          <w:lang w:val="en-AU"/>
        </w:rPr>
        <w:t>;</w:t>
      </w:r>
      <w:r w:rsidR="00C145E0" w:rsidRPr="005531CC">
        <w:rPr>
          <w:sz w:val="24"/>
          <w:szCs w:val="24"/>
          <w:lang w:val="en-AU"/>
        </w:rPr>
        <w:t xml:space="preserve"> </w:t>
      </w:r>
      <w:r w:rsidRPr="005531CC">
        <w:rPr>
          <w:sz w:val="24"/>
          <w:szCs w:val="24"/>
          <w:lang w:val="en-AU"/>
        </w:rPr>
        <w:t>Savielly Tartakower</w:t>
      </w:r>
    </w:p>
    <w:p w:rsidR="0090295D" w:rsidRDefault="005576D0" w:rsidP="00670AA1">
      <w:pPr>
        <w:pStyle w:val="Heading3"/>
        <w:spacing w:before="0"/>
        <w:rPr>
          <w:lang w:val="en-AU"/>
        </w:rPr>
      </w:pPr>
      <w:r>
        <w:rPr>
          <w:lang w:val="en-AU"/>
        </w:rPr>
        <w:t xml:space="preserve">Example 1: </w:t>
      </w:r>
      <w:r w:rsidR="0090295D">
        <w:rPr>
          <w:lang w:val="en-AU"/>
        </w:rPr>
        <w:t>Back to front</w:t>
      </w:r>
    </w:p>
    <w:p w:rsidR="0006276A" w:rsidRDefault="0006276A" w:rsidP="00670AA1">
      <w:pPr>
        <w:spacing w:after="0"/>
        <w:rPr>
          <w:lang w:val="en-AU"/>
        </w:rPr>
      </w:pPr>
      <w:r>
        <w:rPr>
          <w:lang w:val="en-AU"/>
        </w:rPr>
        <w:t>In Australia, public transport has long been a visible</w:t>
      </w:r>
      <w:r w:rsidR="00E33A74">
        <w:rPr>
          <w:lang w:val="en-AU"/>
        </w:rPr>
        <w:t xml:space="preserve"> but necessary</w:t>
      </w:r>
      <w:r>
        <w:rPr>
          <w:lang w:val="en-AU"/>
        </w:rPr>
        <w:t xml:space="preserve"> drain on the public purse.</w:t>
      </w:r>
    </w:p>
    <w:p w:rsidR="00881473" w:rsidRDefault="00881473" w:rsidP="00670AA1">
      <w:pPr>
        <w:spacing w:after="0"/>
        <w:rPr>
          <w:lang w:val="en-AU"/>
        </w:rPr>
      </w:pPr>
      <w:r>
        <w:rPr>
          <w:lang w:val="en-AU"/>
        </w:rPr>
        <w:t xml:space="preserve">From the 1960s to the mid 1990s </w:t>
      </w:r>
      <w:r w:rsidR="0006276A">
        <w:rPr>
          <w:lang w:val="en-AU"/>
        </w:rPr>
        <w:t xml:space="preserve">growing car use and falling public transport patronage </w:t>
      </w:r>
      <w:r>
        <w:rPr>
          <w:lang w:val="en-AU"/>
        </w:rPr>
        <w:t xml:space="preserve">led to pressures on </w:t>
      </w:r>
      <w:r w:rsidR="0006276A">
        <w:rPr>
          <w:lang w:val="en-AU"/>
        </w:rPr>
        <w:t xml:space="preserve">governments to </w:t>
      </w:r>
      <w:r>
        <w:rPr>
          <w:lang w:val="en-AU"/>
        </w:rPr>
        <w:t>cut, or control growth in, public transport spending.  The government business/trading enterprise agenda starting in the mid 1980s offered some promise.</w:t>
      </w:r>
      <w:r w:rsidR="00496A04">
        <w:rPr>
          <w:lang w:val="en-AU"/>
        </w:rPr>
        <w:t xml:space="preserve">  </w:t>
      </w:r>
      <w:r w:rsidR="00AE32E7">
        <w:rPr>
          <w:lang w:val="en-AU"/>
        </w:rPr>
        <w:t xml:space="preserve">The State of </w:t>
      </w:r>
      <w:r>
        <w:rPr>
          <w:lang w:val="en-AU"/>
        </w:rPr>
        <w:t>NSW was among the world leaders of this agenda, writing papers and guidelines subsequently adopted by governments</w:t>
      </w:r>
      <w:r w:rsidR="006D7A1F">
        <w:rPr>
          <w:lang w:val="en-AU"/>
        </w:rPr>
        <w:t xml:space="preserve"> in Australia and</w:t>
      </w:r>
      <w:r>
        <w:rPr>
          <w:lang w:val="en-AU"/>
        </w:rPr>
        <w:t xml:space="preserve"> overseas</w:t>
      </w:r>
      <w:r w:rsidR="00670AA1">
        <w:rPr>
          <w:lang w:val="en-AU"/>
        </w:rPr>
        <w:t>.</w:t>
      </w:r>
      <w:r w:rsidR="001633E3">
        <w:rPr>
          <w:rStyle w:val="EndnoteReference"/>
          <w:lang w:val="en-AU"/>
        </w:rPr>
        <w:endnoteReference w:id="2"/>
      </w:r>
    </w:p>
    <w:p w:rsidR="00670AA1" w:rsidRDefault="00670AA1" w:rsidP="00670AA1">
      <w:pPr>
        <w:spacing w:after="0"/>
        <w:rPr>
          <w:lang w:val="en-AU"/>
        </w:rPr>
      </w:pPr>
    </w:p>
    <w:p w:rsidR="00877DE3" w:rsidRDefault="00881473" w:rsidP="00670AA1">
      <w:pPr>
        <w:spacing w:after="0"/>
        <w:rPr>
          <w:lang w:val="en-AU"/>
        </w:rPr>
      </w:pPr>
      <w:r>
        <w:rPr>
          <w:lang w:val="en-AU"/>
        </w:rPr>
        <w:t xml:space="preserve">The guidelines set a spectrum for public sector </w:t>
      </w:r>
      <w:r w:rsidR="0062123C">
        <w:rPr>
          <w:lang w:val="en-AU"/>
        </w:rPr>
        <w:t>control</w:t>
      </w:r>
      <w:r>
        <w:rPr>
          <w:lang w:val="en-AU"/>
        </w:rPr>
        <w:t xml:space="preserve"> of </w:t>
      </w:r>
      <w:r w:rsidR="0062123C">
        <w:rPr>
          <w:lang w:val="en-AU"/>
        </w:rPr>
        <w:t>organisations</w:t>
      </w:r>
      <w:r>
        <w:rPr>
          <w:lang w:val="en-AU"/>
        </w:rPr>
        <w:t xml:space="preserve">.  At one end, ‘core departments’ such as Treasuries (author of the guidelines) </w:t>
      </w:r>
      <w:r w:rsidR="006D7A1F">
        <w:rPr>
          <w:lang w:val="en-AU"/>
        </w:rPr>
        <w:t>should</w:t>
      </w:r>
      <w:r>
        <w:rPr>
          <w:lang w:val="en-AU"/>
        </w:rPr>
        <w:t xml:space="preserve"> be wholly within the government sector.  At the other end trading or for</w:t>
      </w:r>
      <w:r w:rsidR="006D7A1F">
        <w:rPr>
          <w:lang w:val="en-AU"/>
        </w:rPr>
        <w:t>-</w:t>
      </w:r>
      <w:r>
        <w:rPr>
          <w:lang w:val="en-AU"/>
        </w:rPr>
        <w:t>profit functions</w:t>
      </w:r>
      <w:r w:rsidR="005D23F1">
        <w:rPr>
          <w:lang w:val="en-AU"/>
        </w:rPr>
        <w:t xml:space="preserve"> with</w:t>
      </w:r>
      <w:r>
        <w:rPr>
          <w:lang w:val="en-AU"/>
        </w:rPr>
        <w:t xml:space="preserve"> private sector analogues should be privat</w:t>
      </w:r>
      <w:r w:rsidR="0062123C">
        <w:rPr>
          <w:lang w:val="en-AU"/>
        </w:rPr>
        <w:t>e businesses.  S</w:t>
      </w:r>
      <w:r>
        <w:rPr>
          <w:lang w:val="en-AU"/>
        </w:rPr>
        <w:t xml:space="preserve">tatutory authorities and statutory corporations </w:t>
      </w:r>
      <w:r w:rsidR="0062123C">
        <w:rPr>
          <w:lang w:val="en-AU"/>
        </w:rPr>
        <w:t xml:space="preserve">are in between; </w:t>
      </w:r>
      <w:r>
        <w:rPr>
          <w:lang w:val="en-AU"/>
        </w:rPr>
        <w:t>Figure 1</w:t>
      </w:r>
      <w:r w:rsidR="001633E3">
        <w:rPr>
          <w:lang w:val="en-AU"/>
        </w:rPr>
        <w:t>.</w:t>
      </w:r>
    </w:p>
    <w:p w:rsidR="00E613A3" w:rsidRDefault="00881473" w:rsidP="00670AA1">
      <w:pPr>
        <w:spacing w:after="0"/>
        <w:rPr>
          <w:noProof/>
          <w:lang w:eastAsia="en-GB"/>
        </w:rPr>
      </w:pPr>
      <w:r w:rsidRPr="00881473">
        <w:rPr>
          <w:b/>
          <w:lang w:val="en-AU"/>
        </w:rPr>
        <w:t xml:space="preserve">Figure 1: spectrum of public </w:t>
      </w:r>
      <w:r w:rsidR="00985247">
        <w:rPr>
          <w:b/>
          <w:lang w:val="en-AU"/>
        </w:rPr>
        <w:t xml:space="preserve">sector </w:t>
      </w:r>
      <w:r w:rsidRPr="00881473">
        <w:rPr>
          <w:b/>
          <w:lang w:val="en-AU"/>
        </w:rPr>
        <w:t>control</w:t>
      </w:r>
      <w:r w:rsidR="00E613A3">
        <w:rPr>
          <w:noProof/>
          <w:lang w:eastAsia="en-GB"/>
        </w:rPr>
        <w:drawing>
          <wp:inline distT="0" distB="0" distL="0" distR="0" wp14:anchorId="26681231" wp14:editId="60050D1E">
            <wp:extent cx="5971616" cy="113440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845" t="25353" r="4526" b="46967"/>
                    <a:stretch/>
                  </pic:blipFill>
                  <pic:spPr bwMode="auto">
                    <a:xfrm>
                      <a:off x="0" y="0"/>
                      <a:ext cx="6175110" cy="1173063"/>
                    </a:xfrm>
                    <a:prstGeom prst="rect">
                      <a:avLst/>
                    </a:prstGeom>
                    <a:ln>
                      <a:noFill/>
                    </a:ln>
                    <a:extLst>
                      <a:ext uri="{53640926-AAD7-44D8-BBD7-CCE9431645EC}">
                        <a14:shadowObscured xmlns:a14="http://schemas.microsoft.com/office/drawing/2010/main"/>
                      </a:ext>
                    </a:extLst>
                  </pic:spPr>
                </pic:pic>
              </a:graphicData>
            </a:graphic>
          </wp:inline>
        </w:drawing>
      </w:r>
    </w:p>
    <w:p w:rsidR="001633E3" w:rsidRDefault="00881473" w:rsidP="00670AA1">
      <w:pPr>
        <w:spacing w:after="0"/>
        <w:rPr>
          <w:lang w:val="en-AU"/>
        </w:rPr>
      </w:pPr>
      <w:r>
        <w:rPr>
          <w:lang w:val="en-AU"/>
        </w:rPr>
        <w:lastRenderedPageBreak/>
        <w:t>Determination of</w:t>
      </w:r>
      <w:r w:rsidR="00496A04">
        <w:rPr>
          <w:lang w:val="en-AU"/>
        </w:rPr>
        <w:t xml:space="preserve"> </w:t>
      </w:r>
      <w:r w:rsidR="00AE32E7">
        <w:rPr>
          <w:lang w:val="en-AU"/>
        </w:rPr>
        <w:t xml:space="preserve">a </w:t>
      </w:r>
      <w:r w:rsidR="00496A04">
        <w:rPr>
          <w:lang w:val="en-AU"/>
        </w:rPr>
        <w:t xml:space="preserve">public sector organisation’s </w:t>
      </w:r>
      <w:r>
        <w:rPr>
          <w:lang w:val="en-AU"/>
        </w:rPr>
        <w:t>place o</w:t>
      </w:r>
      <w:r w:rsidR="00985247">
        <w:rPr>
          <w:lang w:val="en-AU"/>
        </w:rPr>
        <w:t xml:space="preserve">n the spectrum </w:t>
      </w:r>
      <w:r w:rsidR="0062123C">
        <w:rPr>
          <w:lang w:val="en-AU"/>
        </w:rPr>
        <w:t xml:space="preserve">ideally </w:t>
      </w:r>
      <w:r w:rsidR="00985247">
        <w:rPr>
          <w:lang w:val="en-AU"/>
        </w:rPr>
        <w:t>depends</w:t>
      </w:r>
      <w:r w:rsidR="001633E3">
        <w:rPr>
          <w:lang w:val="en-AU"/>
        </w:rPr>
        <w:t xml:space="preserve"> </w:t>
      </w:r>
      <w:r>
        <w:rPr>
          <w:lang w:val="en-AU"/>
        </w:rPr>
        <w:t xml:space="preserve">on potential profitability; a profitable organisation </w:t>
      </w:r>
      <w:r w:rsidR="003C70E2">
        <w:rPr>
          <w:lang w:val="en-AU"/>
        </w:rPr>
        <w:t>ought to</w:t>
      </w:r>
      <w:r>
        <w:rPr>
          <w:lang w:val="en-AU"/>
        </w:rPr>
        <w:t xml:space="preserve"> be a corporation, an unprofitable one a statutory authority</w:t>
      </w:r>
      <w:r w:rsidR="00496A04">
        <w:rPr>
          <w:lang w:val="en-AU"/>
        </w:rPr>
        <w:t xml:space="preserve"> or a department</w:t>
      </w:r>
      <w:r>
        <w:rPr>
          <w:lang w:val="en-AU"/>
        </w:rPr>
        <w:t xml:space="preserve">.  </w:t>
      </w:r>
    </w:p>
    <w:p w:rsidR="00670AA1" w:rsidRDefault="00670AA1" w:rsidP="00670AA1">
      <w:pPr>
        <w:spacing w:after="0"/>
        <w:rPr>
          <w:lang w:val="en-AU"/>
        </w:rPr>
      </w:pPr>
    </w:p>
    <w:p w:rsidR="00881473" w:rsidRDefault="001633E3" w:rsidP="00670AA1">
      <w:pPr>
        <w:spacing w:after="0"/>
        <w:rPr>
          <w:lang w:val="en-AU"/>
        </w:rPr>
      </w:pPr>
      <w:r>
        <w:rPr>
          <w:lang w:val="en-AU"/>
        </w:rPr>
        <w:t xml:space="preserve">This </w:t>
      </w:r>
      <w:r w:rsidR="00496A04">
        <w:rPr>
          <w:lang w:val="en-AU"/>
        </w:rPr>
        <w:t>i</w:t>
      </w:r>
      <w:r>
        <w:rPr>
          <w:lang w:val="en-AU"/>
        </w:rPr>
        <w:t>s echoed in the competition principles agreement which ask</w:t>
      </w:r>
      <w:r w:rsidR="00496A04">
        <w:rPr>
          <w:lang w:val="en-AU"/>
        </w:rPr>
        <w:t>s</w:t>
      </w:r>
      <w:r>
        <w:rPr>
          <w:lang w:val="en-AU"/>
        </w:rPr>
        <w:t xml:space="preserve"> for consideration of separation of profitable from other functions.  Where separation </w:t>
      </w:r>
      <w:r w:rsidR="00D860F7">
        <w:rPr>
          <w:lang w:val="en-AU"/>
        </w:rPr>
        <w:t>i</w:t>
      </w:r>
      <w:r>
        <w:rPr>
          <w:lang w:val="en-AU"/>
        </w:rPr>
        <w:t xml:space="preserve">s too difficult due to </w:t>
      </w:r>
      <w:r w:rsidR="00D860F7">
        <w:rPr>
          <w:lang w:val="en-AU"/>
        </w:rPr>
        <w:t>common</w:t>
      </w:r>
      <w:r>
        <w:rPr>
          <w:lang w:val="en-AU"/>
        </w:rPr>
        <w:t xml:space="preserve"> costs, or because of a need for coordination or leadership, a statutory authority </w:t>
      </w:r>
      <w:r w:rsidR="0062123C">
        <w:rPr>
          <w:lang w:val="en-AU"/>
        </w:rPr>
        <w:t>i</w:t>
      </w:r>
      <w:r>
        <w:rPr>
          <w:lang w:val="en-AU"/>
        </w:rPr>
        <w:t>s preferred.</w:t>
      </w:r>
      <w:r>
        <w:rPr>
          <w:rStyle w:val="EndnoteReference"/>
          <w:lang w:val="en-AU"/>
        </w:rPr>
        <w:endnoteReference w:id="3"/>
      </w:r>
    </w:p>
    <w:p w:rsidR="00670AA1" w:rsidRDefault="00670AA1" w:rsidP="00670AA1">
      <w:pPr>
        <w:spacing w:after="0"/>
        <w:rPr>
          <w:lang w:val="en-AU"/>
        </w:rPr>
      </w:pPr>
    </w:p>
    <w:p w:rsidR="005D23F1" w:rsidRDefault="005D23F1" w:rsidP="00670AA1">
      <w:pPr>
        <w:spacing w:after="0"/>
        <w:rPr>
          <w:lang w:val="en-AU"/>
        </w:rPr>
      </w:pPr>
      <w:r>
        <w:rPr>
          <w:lang w:val="en-AU"/>
        </w:rPr>
        <w:t xml:space="preserve">The </w:t>
      </w:r>
      <w:r w:rsidR="008F2244">
        <w:rPr>
          <w:lang w:val="en-AU"/>
        </w:rPr>
        <w:t>Thredbo</w:t>
      </w:r>
      <w:r>
        <w:rPr>
          <w:lang w:val="en-AU"/>
        </w:rPr>
        <w:t xml:space="preserve"> series of conferences, organised by the Institute of Transport and Logistics and known by many transport advisers, add</w:t>
      </w:r>
      <w:r w:rsidR="00D860F7">
        <w:rPr>
          <w:lang w:val="en-AU"/>
        </w:rPr>
        <w:t>s</w:t>
      </w:r>
      <w:r>
        <w:rPr>
          <w:lang w:val="en-AU"/>
        </w:rPr>
        <w:t xml:space="preserve"> a further overlay in relation to urban public transport; the strategic-tactical-operational paradigm.  Strategic tasks need to remain in the public sector, operational matters c</w:t>
      </w:r>
      <w:r w:rsidR="00D860F7">
        <w:rPr>
          <w:lang w:val="en-AU"/>
        </w:rPr>
        <w:t>an</w:t>
      </w:r>
      <w:r>
        <w:rPr>
          <w:lang w:val="en-AU"/>
        </w:rPr>
        <w:t xml:space="preserve"> be contracted out, and tactical functions </w:t>
      </w:r>
      <w:r w:rsidR="00324187">
        <w:rPr>
          <w:lang w:val="en-AU"/>
        </w:rPr>
        <w:t>warrant</w:t>
      </w:r>
      <w:r>
        <w:rPr>
          <w:lang w:val="en-AU"/>
        </w:rPr>
        <w:t xml:space="preserve"> case by case review.</w:t>
      </w:r>
      <w:r>
        <w:rPr>
          <w:rStyle w:val="EndnoteReference"/>
          <w:lang w:val="en-AU"/>
        </w:rPr>
        <w:endnoteReference w:id="4"/>
      </w:r>
    </w:p>
    <w:p w:rsidR="00670AA1" w:rsidRDefault="00670AA1" w:rsidP="00670AA1">
      <w:pPr>
        <w:spacing w:after="0"/>
        <w:rPr>
          <w:lang w:val="en-AU"/>
        </w:rPr>
      </w:pPr>
    </w:p>
    <w:p w:rsidR="001633E3" w:rsidRDefault="00985247" w:rsidP="00670AA1">
      <w:pPr>
        <w:spacing w:after="0"/>
        <w:rPr>
          <w:lang w:val="en-AU"/>
        </w:rPr>
      </w:pPr>
      <w:r>
        <w:rPr>
          <w:lang w:val="en-AU"/>
        </w:rPr>
        <w:t>I</w:t>
      </w:r>
      <w:r w:rsidR="001633E3">
        <w:rPr>
          <w:lang w:val="en-AU"/>
        </w:rPr>
        <w:t xml:space="preserve">n 2003 </w:t>
      </w:r>
      <w:r>
        <w:rPr>
          <w:lang w:val="en-AU"/>
        </w:rPr>
        <w:t>the NSW</w:t>
      </w:r>
      <w:r w:rsidR="001633E3">
        <w:rPr>
          <w:lang w:val="en-AU"/>
        </w:rPr>
        <w:t xml:space="preserve"> government decided to corporatize the least potentially profitable and most complex transport service, the urban railway</w:t>
      </w:r>
      <w:r w:rsidR="005D23F1">
        <w:rPr>
          <w:lang w:val="en-AU"/>
        </w:rPr>
        <w:t xml:space="preserve">.  The railway </w:t>
      </w:r>
      <w:r w:rsidR="0062123C">
        <w:rPr>
          <w:lang w:val="en-AU"/>
        </w:rPr>
        <w:t>had</w:t>
      </w:r>
      <w:r w:rsidR="005D23F1">
        <w:rPr>
          <w:lang w:val="en-AU"/>
        </w:rPr>
        <w:t xml:space="preserve"> strategic </w:t>
      </w:r>
      <w:r w:rsidR="0062123C">
        <w:rPr>
          <w:lang w:val="en-AU"/>
        </w:rPr>
        <w:t>tasks</w:t>
      </w:r>
      <w:r>
        <w:rPr>
          <w:lang w:val="en-AU"/>
        </w:rPr>
        <w:t xml:space="preserve">.  A far more profitable and </w:t>
      </w:r>
      <w:r w:rsidR="005D23F1">
        <w:rPr>
          <w:lang w:val="en-AU"/>
        </w:rPr>
        <w:t>‘operational’</w:t>
      </w:r>
      <w:r>
        <w:rPr>
          <w:lang w:val="en-AU"/>
        </w:rPr>
        <w:t xml:space="preserve"> transport service</w:t>
      </w:r>
      <w:r w:rsidR="001633E3">
        <w:rPr>
          <w:lang w:val="en-AU"/>
        </w:rPr>
        <w:t xml:space="preserve">, eastern suburbs buses, remained as </w:t>
      </w:r>
      <w:r w:rsidR="0062123C">
        <w:rPr>
          <w:lang w:val="en-AU"/>
        </w:rPr>
        <w:t xml:space="preserve">(part of) </w:t>
      </w:r>
      <w:r w:rsidR="001633E3">
        <w:rPr>
          <w:lang w:val="en-AU"/>
        </w:rPr>
        <w:t xml:space="preserve">a statutory authority.  </w:t>
      </w:r>
      <w:r w:rsidR="00D860F7">
        <w:rPr>
          <w:lang w:val="en-AU"/>
        </w:rPr>
        <w:t xml:space="preserve">Compared with the </w:t>
      </w:r>
      <w:r w:rsidR="0062123C">
        <w:rPr>
          <w:lang w:val="en-AU"/>
        </w:rPr>
        <w:t>ideal</w:t>
      </w:r>
      <w:r w:rsidR="00D860F7">
        <w:rPr>
          <w:lang w:val="en-AU"/>
        </w:rPr>
        <w:t xml:space="preserve"> the result seemed back to front</w:t>
      </w:r>
      <w:r w:rsidR="001633E3">
        <w:rPr>
          <w:lang w:val="en-AU"/>
        </w:rPr>
        <w:t>.</w:t>
      </w:r>
      <w:r w:rsidR="007A5C7E">
        <w:rPr>
          <w:rStyle w:val="EndnoteReference"/>
          <w:lang w:val="en-AU"/>
        </w:rPr>
        <w:endnoteReference w:id="5"/>
      </w:r>
    </w:p>
    <w:p w:rsidR="00670AA1" w:rsidRDefault="00670AA1" w:rsidP="00670AA1">
      <w:pPr>
        <w:spacing w:after="0"/>
        <w:rPr>
          <w:lang w:val="en-AU"/>
        </w:rPr>
      </w:pPr>
    </w:p>
    <w:p w:rsidR="001633E3" w:rsidRDefault="007A5C7E" w:rsidP="00670AA1">
      <w:pPr>
        <w:spacing w:after="0"/>
        <w:rPr>
          <w:lang w:val="en-AU"/>
        </w:rPr>
      </w:pPr>
      <w:r>
        <w:rPr>
          <w:lang w:val="en-AU"/>
        </w:rPr>
        <w:t>Among the visible legacies is a</w:t>
      </w:r>
      <w:r w:rsidR="00D860F7">
        <w:rPr>
          <w:lang w:val="en-AU"/>
        </w:rPr>
        <w:t>n</w:t>
      </w:r>
      <w:r>
        <w:rPr>
          <w:lang w:val="en-AU"/>
        </w:rPr>
        <w:t xml:space="preserve"> </w:t>
      </w:r>
      <w:r w:rsidR="00D860F7">
        <w:rPr>
          <w:lang w:val="en-AU"/>
        </w:rPr>
        <w:t>odd</w:t>
      </w:r>
      <w:r>
        <w:rPr>
          <w:lang w:val="en-AU"/>
        </w:rPr>
        <w:t xml:space="preserve"> fare structure which </w:t>
      </w:r>
      <w:r w:rsidR="00D860F7">
        <w:rPr>
          <w:lang w:val="en-AU"/>
        </w:rPr>
        <w:t xml:space="preserve">likely </w:t>
      </w:r>
      <w:r w:rsidR="00423370">
        <w:rPr>
          <w:lang w:val="en-AU"/>
        </w:rPr>
        <w:t>contributed to the more-than-</w:t>
      </w:r>
      <w:r>
        <w:rPr>
          <w:lang w:val="en-AU"/>
        </w:rPr>
        <w:t xml:space="preserve">decade </w:t>
      </w:r>
      <w:r w:rsidR="00423370">
        <w:rPr>
          <w:lang w:val="en-AU"/>
        </w:rPr>
        <w:t>delay in</w:t>
      </w:r>
      <w:r>
        <w:rPr>
          <w:lang w:val="en-AU"/>
        </w:rPr>
        <w:t xml:space="preserve"> electronic ticketing.  Arguably there remain issues with the structure of public transport in NSW, but that </w:t>
      </w:r>
      <w:r w:rsidR="00D860F7">
        <w:rPr>
          <w:lang w:val="en-AU"/>
        </w:rPr>
        <w:t xml:space="preserve">may be </w:t>
      </w:r>
      <w:r>
        <w:rPr>
          <w:lang w:val="en-AU"/>
        </w:rPr>
        <w:t>for another article.</w:t>
      </w:r>
      <w:r w:rsidR="000275AE">
        <w:rPr>
          <w:rStyle w:val="EndnoteReference"/>
          <w:lang w:val="en-AU"/>
        </w:rPr>
        <w:endnoteReference w:id="6"/>
      </w:r>
    </w:p>
    <w:p w:rsidR="00670AA1" w:rsidRDefault="00670AA1" w:rsidP="00670AA1">
      <w:pPr>
        <w:spacing w:after="0"/>
        <w:rPr>
          <w:lang w:val="en-AU"/>
        </w:rPr>
      </w:pPr>
    </w:p>
    <w:p w:rsidR="00214374" w:rsidRDefault="0090295D" w:rsidP="00670AA1">
      <w:pPr>
        <w:pStyle w:val="Heading3"/>
        <w:spacing w:before="0"/>
        <w:rPr>
          <w:lang w:val="en-AU"/>
        </w:rPr>
      </w:pPr>
      <w:r>
        <w:rPr>
          <w:lang w:val="en-AU"/>
        </w:rPr>
        <w:t xml:space="preserve">Example 2: </w:t>
      </w:r>
      <w:r w:rsidR="00214374">
        <w:rPr>
          <w:lang w:val="en-AU"/>
        </w:rPr>
        <w:t>Independence</w:t>
      </w:r>
      <w:r>
        <w:rPr>
          <w:lang w:val="en-AU"/>
        </w:rPr>
        <w:t>?</w:t>
      </w:r>
    </w:p>
    <w:p w:rsidR="00774B86" w:rsidRDefault="007A5D49" w:rsidP="00670AA1">
      <w:pPr>
        <w:spacing w:after="0"/>
        <w:rPr>
          <w:lang w:val="en-AU"/>
        </w:rPr>
      </w:pPr>
      <w:r>
        <w:rPr>
          <w:lang w:val="en-AU"/>
        </w:rPr>
        <w:t xml:space="preserve">‘Independence’ is offered as a desirable quality </w:t>
      </w:r>
      <w:r w:rsidR="005330B1">
        <w:rPr>
          <w:lang w:val="en-AU"/>
        </w:rPr>
        <w:t>for</w:t>
      </w:r>
      <w:r>
        <w:rPr>
          <w:lang w:val="en-AU"/>
        </w:rPr>
        <w:t xml:space="preserve"> new public sector organisations.  T</w:t>
      </w:r>
      <w:r w:rsidR="003A49E4">
        <w:rPr>
          <w:lang w:val="en-AU"/>
        </w:rPr>
        <w:t xml:space="preserve">wo </w:t>
      </w:r>
      <w:r>
        <w:rPr>
          <w:lang w:val="en-AU"/>
        </w:rPr>
        <w:t>recent examples: the national rail safety regulator; Infrastructure Victoria.</w:t>
      </w:r>
      <w:r w:rsidR="00E45629">
        <w:rPr>
          <w:rStyle w:val="EndnoteReference"/>
          <w:lang w:val="en-AU"/>
        </w:rPr>
        <w:endnoteReference w:id="7"/>
      </w:r>
      <w:r>
        <w:rPr>
          <w:lang w:val="en-AU"/>
        </w:rPr>
        <w:t xml:space="preserve">  </w:t>
      </w:r>
    </w:p>
    <w:p w:rsidR="00670AA1" w:rsidRDefault="00670AA1" w:rsidP="00670AA1">
      <w:pPr>
        <w:spacing w:after="0"/>
        <w:rPr>
          <w:lang w:val="en-AU"/>
        </w:rPr>
      </w:pPr>
    </w:p>
    <w:p w:rsidR="007A5D49" w:rsidRDefault="007A5D49" w:rsidP="00670AA1">
      <w:pPr>
        <w:spacing w:after="0"/>
        <w:rPr>
          <w:lang w:val="en-AU"/>
        </w:rPr>
      </w:pPr>
      <w:r>
        <w:rPr>
          <w:lang w:val="en-AU"/>
        </w:rPr>
        <w:t xml:space="preserve">But: independence from whom or what?  The answer </w:t>
      </w:r>
      <w:r w:rsidR="004226BF">
        <w:rPr>
          <w:lang w:val="en-AU"/>
        </w:rPr>
        <w:t xml:space="preserve">given </w:t>
      </w:r>
      <w:r>
        <w:rPr>
          <w:lang w:val="en-AU"/>
        </w:rPr>
        <w:t xml:space="preserve">in each </w:t>
      </w:r>
      <w:r w:rsidR="00774B86">
        <w:rPr>
          <w:lang w:val="en-AU"/>
        </w:rPr>
        <w:t>example</w:t>
      </w:r>
      <w:r>
        <w:rPr>
          <w:lang w:val="en-AU"/>
        </w:rPr>
        <w:t xml:space="preserve">: executive government.  Yet this </w:t>
      </w:r>
      <w:r w:rsidR="0093343A">
        <w:rPr>
          <w:lang w:val="en-AU"/>
        </w:rPr>
        <w:t>can</w:t>
      </w:r>
      <w:r>
        <w:rPr>
          <w:lang w:val="en-AU"/>
        </w:rPr>
        <w:t xml:space="preserve"> only </w:t>
      </w:r>
      <w:r w:rsidR="0093343A">
        <w:rPr>
          <w:lang w:val="en-AU"/>
        </w:rPr>
        <w:t xml:space="preserve">ever be </w:t>
      </w:r>
      <w:r>
        <w:rPr>
          <w:lang w:val="en-AU"/>
        </w:rPr>
        <w:t xml:space="preserve">nominal </w:t>
      </w:r>
      <w:r w:rsidR="004631ED">
        <w:rPr>
          <w:lang w:val="en-AU"/>
        </w:rPr>
        <w:t>as</w:t>
      </w:r>
      <w:r>
        <w:rPr>
          <w:lang w:val="en-AU"/>
        </w:rPr>
        <w:t xml:space="preserve"> governments control the resources available to these organisations</w:t>
      </w:r>
      <w:r w:rsidR="004631ED">
        <w:rPr>
          <w:lang w:val="en-AU"/>
        </w:rPr>
        <w:t>.</w:t>
      </w:r>
      <w:r w:rsidR="005631CC">
        <w:rPr>
          <w:lang w:val="en-AU"/>
        </w:rPr>
        <w:t xml:space="preserve">  Displeasing the government may result in a funding cut.</w:t>
      </w:r>
      <w:r w:rsidR="006A3584">
        <w:rPr>
          <w:rStyle w:val="EndnoteReference"/>
          <w:lang w:val="en-AU"/>
        </w:rPr>
        <w:endnoteReference w:id="8"/>
      </w:r>
    </w:p>
    <w:p w:rsidR="00670AA1" w:rsidRDefault="00670AA1" w:rsidP="00670AA1">
      <w:pPr>
        <w:spacing w:after="0"/>
        <w:rPr>
          <w:lang w:val="en-AU"/>
        </w:rPr>
      </w:pPr>
    </w:p>
    <w:p w:rsidR="005631CC" w:rsidRDefault="00340D67" w:rsidP="00670AA1">
      <w:pPr>
        <w:spacing w:after="0"/>
        <w:rPr>
          <w:lang w:val="en-AU"/>
        </w:rPr>
      </w:pPr>
      <w:r>
        <w:rPr>
          <w:lang w:val="en-AU"/>
        </w:rPr>
        <w:t xml:space="preserve">The origins of this </w:t>
      </w:r>
      <w:r w:rsidR="005631CC">
        <w:rPr>
          <w:lang w:val="en-AU"/>
        </w:rPr>
        <w:t xml:space="preserve">version of ‘independence’ </w:t>
      </w:r>
      <w:r>
        <w:rPr>
          <w:lang w:val="en-AU"/>
        </w:rPr>
        <w:t>are unclear</w:t>
      </w:r>
      <w:r w:rsidR="005631CC">
        <w:rPr>
          <w:lang w:val="en-AU"/>
        </w:rPr>
        <w:t xml:space="preserve">.  </w:t>
      </w:r>
      <w:r w:rsidR="000A03B9">
        <w:rPr>
          <w:lang w:val="en-AU"/>
        </w:rPr>
        <w:t>W</w:t>
      </w:r>
      <w:r w:rsidR="005631CC">
        <w:rPr>
          <w:lang w:val="en-AU"/>
        </w:rPr>
        <w:t xml:space="preserve">ith </w:t>
      </w:r>
      <w:r w:rsidR="000A03B9">
        <w:rPr>
          <w:lang w:val="en-AU"/>
        </w:rPr>
        <w:t>two</w:t>
      </w:r>
      <w:r w:rsidR="005631CC">
        <w:rPr>
          <w:lang w:val="en-AU"/>
        </w:rPr>
        <w:t xml:space="preserve"> important exception</w:t>
      </w:r>
      <w:r w:rsidR="000A03B9">
        <w:rPr>
          <w:lang w:val="en-AU"/>
        </w:rPr>
        <w:t>s,</w:t>
      </w:r>
      <w:r w:rsidR="005631CC">
        <w:rPr>
          <w:lang w:val="en-AU"/>
        </w:rPr>
        <w:t xml:space="preserve"> discussed later, it </w:t>
      </w:r>
      <w:r w:rsidR="00D860F7">
        <w:rPr>
          <w:lang w:val="en-AU"/>
        </w:rPr>
        <w:t>is largely irrelevant</w:t>
      </w:r>
      <w:r w:rsidR="005631CC">
        <w:rPr>
          <w:lang w:val="en-AU"/>
        </w:rPr>
        <w:t>.</w:t>
      </w:r>
      <w:r w:rsidR="002F43A8">
        <w:rPr>
          <w:lang w:val="en-AU"/>
        </w:rPr>
        <w:t xml:space="preserve">  </w:t>
      </w:r>
      <w:r w:rsidR="00E42512">
        <w:rPr>
          <w:lang w:val="en-AU"/>
        </w:rPr>
        <w:t>I</w:t>
      </w:r>
      <w:r w:rsidR="005631CC">
        <w:rPr>
          <w:lang w:val="en-AU"/>
        </w:rPr>
        <w:t>t draws attention away from</w:t>
      </w:r>
      <w:r w:rsidR="00774B86">
        <w:rPr>
          <w:lang w:val="en-AU"/>
        </w:rPr>
        <w:t xml:space="preserve"> </w:t>
      </w:r>
      <w:r w:rsidR="006E1603">
        <w:rPr>
          <w:lang w:val="en-AU"/>
        </w:rPr>
        <w:t>the independence that is a foundation for</w:t>
      </w:r>
      <w:r w:rsidR="00774B86">
        <w:rPr>
          <w:lang w:val="en-AU"/>
        </w:rPr>
        <w:t xml:space="preserve"> good governance</w:t>
      </w:r>
      <w:r>
        <w:rPr>
          <w:lang w:val="en-AU"/>
        </w:rPr>
        <w:t xml:space="preserve"> and that</w:t>
      </w:r>
      <w:r w:rsidR="005631CC">
        <w:rPr>
          <w:lang w:val="en-AU"/>
        </w:rPr>
        <w:t xml:space="preserve"> echoes common law</w:t>
      </w:r>
      <w:r w:rsidR="004238AA">
        <w:rPr>
          <w:lang w:val="en-AU"/>
        </w:rPr>
        <w:t>:</w:t>
      </w:r>
      <w:r w:rsidR="005631CC">
        <w:rPr>
          <w:lang w:val="en-AU"/>
        </w:rPr>
        <w:t xml:space="preserve"> independen</w:t>
      </w:r>
      <w:r w:rsidR="00774B86">
        <w:rPr>
          <w:lang w:val="en-AU"/>
        </w:rPr>
        <w:t xml:space="preserve">ce of </w:t>
      </w:r>
      <w:r w:rsidR="00142D06">
        <w:rPr>
          <w:lang w:val="en-AU"/>
        </w:rPr>
        <w:t xml:space="preserve">public </w:t>
      </w:r>
      <w:r w:rsidR="00774B86">
        <w:rPr>
          <w:lang w:val="en-AU"/>
        </w:rPr>
        <w:t xml:space="preserve">decision making from </w:t>
      </w:r>
      <w:r w:rsidR="00142D06">
        <w:rPr>
          <w:lang w:val="en-AU"/>
        </w:rPr>
        <w:t xml:space="preserve">private </w:t>
      </w:r>
      <w:r w:rsidR="005631CC">
        <w:rPr>
          <w:lang w:val="en-AU"/>
        </w:rPr>
        <w:t>beneficiaries.</w:t>
      </w:r>
      <w:r w:rsidR="00142D06">
        <w:rPr>
          <w:lang w:val="en-AU"/>
        </w:rPr>
        <w:t xml:space="preserve">  Elimination of conflict </w:t>
      </w:r>
      <w:r w:rsidR="00F21940">
        <w:rPr>
          <w:lang w:val="en-AU"/>
        </w:rPr>
        <w:t xml:space="preserve">between </w:t>
      </w:r>
      <w:r w:rsidR="00142D06">
        <w:rPr>
          <w:lang w:val="en-AU"/>
        </w:rPr>
        <w:t>public duty and private interest</w:t>
      </w:r>
      <w:r>
        <w:rPr>
          <w:lang w:val="en-AU"/>
        </w:rPr>
        <w:t>.</w:t>
      </w:r>
      <w:r w:rsidR="00E45629">
        <w:rPr>
          <w:rStyle w:val="EndnoteReference"/>
          <w:lang w:val="en-AU"/>
        </w:rPr>
        <w:endnoteReference w:id="9"/>
      </w:r>
      <w:r w:rsidR="005631CC">
        <w:rPr>
          <w:lang w:val="en-AU"/>
        </w:rPr>
        <w:t xml:space="preserve">  </w:t>
      </w:r>
    </w:p>
    <w:p w:rsidR="00670AA1" w:rsidRDefault="00670AA1" w:rsidP="00670AA1">
      <w:pPr>
        <w:spacing w:after="0"/>
        <w:rPr>
          <w:lang w:val="en-AU"/>
        </w:rPr>
      </w:pPr>
    </w:p>
    <w:p w:rsidR="005631CC" w:rsidRDefault="005631CC" w:rsidP="00670AA1">
      <w:pPr>
        <w:spacing w:after="0"/>
        <w:rPr>
          <w:lang w:val="en-AU"/>
        </w:rPr>
      </w:pPr>
      <w:r>
        <w:rPr>
          <w:lang w:val="en-AU"/>
        </w:rPr>
        <w:t>In the case of rail safety regulation</w:t>
      </w:r>
      <w:r w:rsidR="004631ED">
        <w:rPr>
          <w:lang w:val="en-AU"/>
        </w:rPr>
        <w:t>:</w:t>
      </w:r>
      <w:r>
        <w:rPr>
          <w:lang w:val="en-AU"/>
        </w:rPr>
        <w:t xml:space="preserve"> independence from the rail industry.  In the case of infrastructure advisory organisations</w:t>
      </w:r>
      <w:r w:rsidR="004631ED">
        <w:rPr>
          <w:lang w:val="en-AU"/>
        </w:rPr>
        <w:t>:</w:t>
      </w:r>
      <w:r>
        <w:rPr>
          <w:lang w:val="en-AU"/>
        </w:rPr>
        <w:t xml:space="preserve"> independence from those who benefit from infrastructure decisions</w:t>
      </w:r>
      <w:r w:rsidR="00A55D55">
        <w:rPr>
          <w:lang w:val="en-AU"/>
        </w:rPr>
        <w:t>;</w:t>
      </w:r>
      <w:r>
        <w:rPr>
          <w:lang w:val="en-AU"/>
        </w:rPr>
        <w:t xml:space="preserve"> </w:t>
      </w:r>
      <w:r w:rsidR="000A03B9">
        <w:rPr>
          <w:lang w:val="en-AU"/>
        </w:rPr>
        <w:t xml:space="preserve">major </w:t>
      </w:r>
      <w:r>
        <w:rPr>
          <w:lang w:val="en-AU"/>
        </w:rPr>
        <w:t>construction and financ</w:t>
      </w:r>
      <w:r w:rsidR="000A03B9">
        <w:rPr>
          <w:lang w:val="en-AU"/>
        </w:rPr>
        <w:t>ing</w:t>
      </w:r>
      <w:r>
        <w:rPr>
          <w:lang w:val="en-AU"/>
        </w:rPr>
        <w:t xml:space="preserve"> firms for example.</w:t>
      </w:r>
      <w:r w:rsidR="00877DE3">
        <w:rPr>
          <w:lang w:val="en-AU"/>
        </w:rPr>
        <w:t xml:space="preserve">  This is not to suggest that the regulator and Infrastructure Victoria are in fact anything less than appropriately independent from such parties; rather the observation is that </w:t>
      </w:r>
      <w:r w:rsidR="00FC7ED3">
        <w:rPr>
          <w:lang w:val="en-AU"/>
        </w:rPr>
        <w:t>the</w:t>
      </w:r>
      <w:r w:rsidR="00877DE3">
        <w:rPr>
          <w:lang w:val="en-AU"/>
        </w:rPr>
        <w:t xml:space="preserve"> comments and arguments seem to ignore th</w:t>
      </w:r>
      <w:r w:rsidR="00F07589">
        <w:rPr>
          <w:lang w:val="en-AU"/>
        </w:rPr>
        <w:t>is</w:t>
      </w:r>
      <w:r w:rsidR="00877DE3">
        <w:rPr>
          <w:lang w:val="en-AU"/>
        </w:rPr>
        <w:t xml:space="preserve"> point.</w:t>
      </w:r>
      <w:r w:rsidR="006A3584">
        <w:rPr>
          <w:rStyle w:val="EndnoteReference"/>
          <w:lang w:val="en-AU"/>
        </w:rPr>
        <w:endnoteReference w:id="10"/>
      </w:r>
    </w:p>
    <w:p w:rsidR="00670AA1" w:rsidRDefault="00670AA1" w:rsidP="00670AA1">
      <w:pPr>
        <w:spacing w:after="0"/>
        <w:rPr>
          <w:lang w:val="en-AU"/>
        </w:rPr>
      </w:pPr>
    </w:p>
    <w:p w:rsidR="00F05DEC" w:rsidRDefault="00F05DEC" w:rsidP="00670AA1">
      <w:pPr>
        <w:pStyle w:val="Heading3"/>
        <w:spacing w:before="0"/>
        <w:rPr>
          <w:lang w:val="en-AU"/>
        </w:rPr>
      </w:pPr>
      <w:r>
        <w:rPr>
          <w:lang w:val="en-AU"/>
        </w:rPr>
        <w:t xml:space="preserve">Example </w:t>
      </w:r>
      <w:r w:rsidR="0090295D">
        <w:rPr>
          <w:lang w:val="en-AU"/>
        </w:rPr>
        <w:t>3</w:t>
      </w:r>
      <w:r>
        <w:rPr>
          <w:lang w:val="en-AU"/>
        </w:rPr>
        <w:t>: The impossible dream</w:t>
      </w:r>
      <w:r w:rsidR="009D16AD">
        <w:rPr>
          <w:lang w:val="en-AU"/>
        </w:rPr>
        <w:t>?</w:t>
      </w:r>
    </w:p>
    <w:p w:rsidR="00F05DEC" w:rsidRDefault="00F05DEC" w:rsidP="00670AA1">
      <w:pPr>
        <w:spacing w:after="0"/>
        <w:rPr>
          <w:lang w:val="en-AU"/>
        </w:rPr>
      </w:pPr>
      <w:r>
        <w:rPr>
          <w:lang w:val="en-AU"/>
        </w:rPr>
        <w:t xml:space="preserve">Rail gauge standardisation, or lack thereof, is the most notorious problem in Australian transport.  While some view </w:t>
      </w:r>
      <w:r w:rsidR="00D544AD">
        <w:rPr>
          <w:lang w:val="en-AU"/>
        </w:rPr>
        <w:t xml:space="preserve">the history </w:t>
      </w:r>
      <w:r>
        <w:rPr>
          <w:lang w:val="en-AU"/>
        </w:rPr>
        <w:t>as a</w:t>
      </w:r>
      <w:r w:rsidR="00A541B2">
        <w:rPr>
          <w:lang w:val="en-AU"/>
        </w:rPr>
        <w:t xml:space="preserve"> series of </w:t>
      </w:r>
      <w:r>
        <w:rPr>
          <w:lang w:val="en-AU"/>
        </w:rPr>
        <w:t xml:space="preserve">unfortunate </w:t>
      </w:r>
      <w:r w:rsidR="00A541B2">
        <w:rPr>
          <w:lang w:val="en-AU"/>
        </w:rPr>
        <w:t>events</w:t>
      </w:r>
      <w:r>
        <w:rPr>
          <w:lang w:val="en-AU"/>
        </w:rPr>
        <w:t xml:space="preserve">, more likely </w:t>
      </w:r>
      <w:r w:rsidR="009D16AD">
        <w:rPr>
          <w:lang w:val="en-AU"/>
        </w:rPr>
        <w:t xml:space="preserve">it </w:t>
      </w:r>
      <w:r w:rsidR="00A541B2">
        <w:rPr>
          <w:lang w:val="en-AU"/>
        </w:rPr>
        <w:t xml:space="preserve">included </w:t>
      </w:r>
      <w:r w:rsidR="009D16AD">
        <w:rPr>
          <w:lang w:val="en-AU"/>
        </w:rPr>
        <w:t>attempt</w:t>
      </w:r>
      <w:r w:rsidR="00A541B2">
        <w:rPr>
          <w:lang w:val="en-AU"/>
        </w:rPr>
        <w:t>s</w:t>
      </w:r>
      <w:r w:rsidR="009D16AD">
        <w:rPr>
          <w:lang w:val="en-AU"/>
        </w:rPr>
        <w:t xml:space="preserve"> to </w:t>
      </w:r>
      <w:r>
        <w:rPr>
          <w:lang w:val="en-AU"/>
        </w:rPr>
        <w:t xml:space="preserve">protect merchants in the different colonies.  </w:t>
      </w:r>
      <w:r w:rsidR="00AE32E7">
        <w:rPr>
          <w:lang w:val="en-AU"/>
        </w:rPr>
        <w:t>C</w:t>
      </w:r>
      <w:r>
        <w:rPr>
          <w:lang w:val="en-AU"/>
        </w:rPr>
        <w:t>onsequences remain to this day.</w:t>
      </w:r>
      <w:r w:rsidR="00E50456">
        <w:rPr>
          <w:rStyle w:val="EndnoteReference"/>
          <w:lang w:val="en-AU"/>
        </w:rPr>
        <w:endnoteReference w:id="11"/>
      </w:r>
      <w:r>
        <w:rPr>
          <w:lang w:val="en-AU"/>
        </w:rPr>
        <w:t xml:space="preserve">  </w:t>
      </w:r>
    </w:p>
    <w:p w:rsidR="00670AA1" w:rsidRDefault="00670AA1" w:rsidP="00670AA1">
      <w:pPr>
        <w:spacing w:after="0"/>
        <w:rPr>
          <w:lang w:val="en-AU"/>
        </w:rPr>
      </w:pPr>
    </w:p>
    <w:p w:rsidR="00670AA1" w:rsidRDefault="00984F52" w:rsidP="00670AA1">
      <w:pPr>
        <w:spacing w:after="0"/>
        <w:rPr>
          <w:lang w:val="en-AU"/>
        </w:rPr>
      </w:pPr>
      <w:r>
        <w:rPr>
          <w:lang w:val="en-AU"/>
        </w:rPr>
        <w:t xml:space="preserve">Why </w:t>
      </w:r>
      <w:r w:rsidR="0090295D">
        <w:rPr>
          <w:lang w:val="en-AU"/>
        </w:rPr>
        <w:t>doesn</w:t>
      </w:r>
      <w:r>
        <w:rPr>
          <w:lang w:val="en-AU"/>
        </w:rPr>
        <w:t>’t</w:t>
      </w:r>
      <w:r w:rsidR="00F05DEC">
        <w:rPr>
          <w:lang w:val="en-AU"/>
        </w:rPr>
        <w:t xml:space="preserve"> the Commonwealth step in</w:t>
      </w:r>
      <w:r w:rsidR="00877DE3">
        <w:rPr>
          <w:lang w:val="en-AU"/>
        </w:rPr>
        <w:t xml:space="preserve">; </w:t>
      </w:r>
      <w:r w:rsidR="009D16AD">
        <w:rPr>
          <w:lang w:val="en-AU"/>
        </w:rPr>
        <w:t xml:space="preserve">the Constitution </w:t>
      </w:r>
      <w:r w:rsidR="00877DE3">
        <w:rPr>
          <w:lang w:val="en-AU"/>
        </w:rPr>
        <w:t xml:space="preserve">does </w:t>
      </w:r>
      <w:r w:rsidR="009D16AD">
        <w:rPr>
          <w:lang w:val="en-AU"/>
        </w:rPr>
        <w:t xml:space="preserve">allocate some responsibility for railways to </w:t>
      </w:r>
      <w:r>
        <w:rPr>
          <w:lang w:val="en-AU"/>
        </w:rPr>
        <w:t>it</w:t>
      </w:r>
      <w:r w:rsidR="00423370">
        <w:rPr>
          <w:lang w:val="en-AU"/>
        </w:rPr>
        <w:t>.</w:t>
      </w:r>
      <w:r w:rsidR="00FC7ED3">
        <w:rPr>
          <w:lang w:val="en-AU"/>
        </w:rPr>
        <w:t xml:space="preserve">  </w:t>
      </w:r>
    </w:p>
    <w:p w:rsidR="005531CC" w:rsidRDefault="005531CC" w:rsidP="00670AA1">
      <w:pPr>
        <w:spacing w:after="0"/>
        <w:rPr>
          <w:lang w:val="en-AU"/>
        </w:rPr>
      </w:pPr>
      <w:r>
        <w:rPr>
          <w:lang w:val="en-AU"/>
        </w:rPr>
        <w:lastRenderedPageBreak/>
        <w:t xml:space="preserve">Standardisation projects included </w:t>
      </w:r>
      <w:r w:rsidR="009D16AD">
        <w:rPr>
          <w:lang w:val="en-AU"/>
        </w:rPr>
        <w:t>the transcontinental railway 19</w:t>
      </w:r>
      <w:r w:rsidR="00984F52">
        <w:rPr>
          <w:lang w:val="en-AU"/>
        </w:rPr>
        <w:t>17</w:t>
      </w:r>
      <w:r w:rsidR="00423370">
        <w:rPr>
          <w:lang w:val="en-AU"/>
        </w:rPr>
        <w:t>;</w:t>
      </w:r>
      <w:r w:rsidR="009D16AD">
        <w:rPr>
          <w:lang w:val="en-AU"/>
        </w:rPr>
        <w:t xml:space="preserve"> </w:t>
      </w:r>
      <w:r w:rsidR="00984F52">
        <w:rPr>
          <w:lang w:val="en-AU"/>
        </w:rPr>
        <w:t>NSW to Brisbane 1930</w:t>
      </w:r>
      <w:r w:rsidR="00423370">
        <w:rPr>
          <w:lang w:val="en-AU"/>
        </w:rPr>
        <w:t>;</w:t>
      </w:r>
      <w:r w:rsidR="00984F52">
        <w:rPr>
          <w:lang w:val="en-AU"/>
        </w:rPr>
        <w:t xml:space="preserve"> </w:t>
      </w:r>
      <w:r w:rsidR="009D16AD">
        <w:rPr>
          <w:lang w:val="en-AU"/>
        </w:rPr>
        <w:t xml:space="preserve">Albury to Melbourne </w:t>
      </w:r>
      <w:r w:rsidR="00984F52">
        <w:rPr>
          <w:lang w:val="en-AU"/>
        </w:rPr>
        <w:t>1962</w:t>
      </w:r>
      <w:r w:rsidR="00423370">
        <w:rPr>
          <w:lang w:val="en-AU"/>
        </w:rPr>
        <w:t>;</w:t>
      </w:r>
      <w:r w:rsidR="00984F52">
        <w:rPr>
          <w:lang w:val="en-AU"/>
        </w:rPr>
        <w:t xml:space="preserve"> Kalgoorlie to Perth 1969</w:t>
      </w:r>
      <w:r w:rsidR="00423370">
        <w:rPr>
          <w:lang w:val="en-AU"/>
        </w:rPr>
        <w:t>;</w:t>
      </w:r>
      <w:r w:rsidR="009D16AD">
        <w:rPr>
          <w:lang w:val="en-AU"/>
        </w:rPr>
        <w:t xml:space="preserve"> </w:t>
      </w:r>
      <w:r w:rsidR="00984F52">
        <w:rPr>
          <w:lang w:val="en-AU"/>
        </w:rPr>
        <w:t xml:space="preserve">Melbourne to </w:t>
      </w:r>
      <w:r w:rsidR="0090295D">
        <w:rPr>
          <w:lang w:val="en-AU"/>
        </w:rPr>
        <w:t xml:space="preserve">Adelaide </w:t>
      </w:r>
      <w:r w:rsidR="009D16AD">
        <w:rPr>
          <w:lang w:val="en-AU"/>
        </w:rPr>
        <w:t>19</w:t>
      </w:r>
      <w:r w:rsidR="00984F52">
        <w:rPr>
          <w:lang w:val="en-AU"/>
        </w:rPr>
        <w:t>96</w:t>
      </w:r>
      <w:r w:rsidR="009D16AD">
        <w:rPr>
          <w:lang w:val="en-AU"/>
        </w:rPr>
        <w:t>.</w:t>
      </w:r>
      <w:r>
        <w:rPr>
          <w:lang w:val="en-AU"/>
        </w:rPr>
        <w:t xml:space="preserve">  </w:t>
      </w:r>
      <w:r w:rsidR="00D544AD">
        <w:rPr>
          <w:lang w:val="en-AU"/>
        </w:rPr>
        <w:t xml:space="preserve">While much remains to be done </w:t>
      </w:r>
      <w:r w:rsidR="00D860F7">
        <w:rPr>
          <w:lang w:val="en-AU"/>
        </w:rPr>
        <w:t xml:space="preserve">the scene </w:t>
      </w:r>
      <w:r w:rsidR="00E22187">
        <w:rPr>
          <w:lang w:val="en-AU"/>
        </w:rPr>
        <w:t>has be</w:t>
      </w:r>
      <w:r w:rsidR="00D544AD">
        <w:rPr>
          <w:lang w:val="en-AU"/>
        </w:rPr>
        <w:t>come</w:t>
      </w:r>
      <w:r w:rsidR="009D16AD">
        <w:rPr>
          <w:lang w:val="en-AU"/>
        </w:rPr>
        <w:t xml:space="preserve"> quiet.</w:t>
      </w:r>
      <w:r w:rsidR="00FC7ED3">
        <w:rPr>
          <w:rStyle w:val="EndnoteReference"/>
          <w:lang w:val="en-AU"/>
        </w:rPr>
        <w:endnoteReference w:id="12"/>
      </w:r>
      <w:r w:rsidR="009D16AD">
        <w:rPr>
          <w:lang w:val="en-AU"/>
        </w:rPr>
        <w:t xml:space="preserve">  </w:t>
      </w:r>
    </w:p>
    <w:p w:rsidR="00670AA1" w:rsidRDefault="00670AA1" w:rsidP="00670AA1">
      <w:pPr>
        <w:spacing w:after="0"/>
        <w:rPr>
          <w:lang w:val="en-AU"/>
        </w:rPr>
      </w:pPr>
    </w:p>
    <w:p w:rsidR="009D16AD" w:rsidRDefault="00877DE3" w:rsidP="00670AA1">
      <w:pPr>
        <w:spacing w:after="0"/>
        <w:rPr>
          <w:lang w:val="en-AU"/>
        </w:rPr>
      </w:pPr>
      <w:r>
        <w:rPr>
          <w:lang w:val="en-AU"/>
        </w:rPr>
        <w:t xml:space="preserve">Instead of a </w:t>
      </w:r>
      <w:r w:rsidR="0090295D">
        <w:rPr>
          <w:lang w:val="en-AU"/>
        </w:rPr>
        <w:t>national</w:t>
      </w:r>
      <w:r w:rsidR="009D16AD">
        <w:rPr>
          <w:lang w:val="en-AU"/>
        </w:rPr>
        <w:t xml:space="preserve"> focus</w:t>
      </w:r>
      <w:r w:rsidR="0090295D">
        <w:rPr>
          <w:lang w:val="en-AU"/>
        </w:rPr>
        <w:t xml:space="preserve"> </w:t>
      </w:r>
      <w:r>
        <w:rPr>
          <w:lang w:val="en-AU"/>
        </w:rPr>
        <w:t>on investment for standardisation,</w:t>
      </w:r>
      <w:r w:rsidR="009D16AD">
        <w:rPr>
          <w:lang w:val="en-AU"/>
        </w:rPr>
        <w:t xml:space="preserve"> ‘regulatory reform’</w:t>
      </w:r>
      <w:r>
        <w:rPr>
          <w:lang w:val="en-AU"/>
        </w:rPr>
        <w:t xml:space="preserve"> has attracted much official attention</w:t>
      </w:r>
      <w:r w:rsidR="009D16AD">
        <w:rPr>
          <w:lang w:val="en-AU"/>
        </w:rPr>
        <w:t xml:space="preserve">.  </w:t>
      </w:r>
      <w:r w:rsidR="00D544AD">
        <w:rPr>
          <w:lang w:val="en-AU"/>
        </w:rPr>
        <w:t>Is</w:t>
      </w:r>
      <w:r w:rsidR="00A541B2">
        <w:rPr>
          <w:lang w:val="en-AU"/>
        </w:rPr>
        <w:t xml:space="preserve"> this </w:t>
      </w:r>
      <w:r w:rsidR="0090295D">
        <w:rPr>
          <w:lang w:val="en-AU"/>
        </w:rPr>
        <w:t>the path</w:t>
      </w:r>
      <w:r w:rsidR="009D16AD">
        <w:rPr>
          <w:lang w:val="en-AU"/>
        </w:rPr>
        <w:t xml:space="preserve"> to</w:t>
      </w:r>
      <w:r w:rsidR="00E22187">
        <w:rPr>
          <w:lang w:val="en-AU"/>
        </w:rPr>
        <w:t xml:space="preserve"> standardisation</w:t>
      </w:r>
      <w:r w:rsidR="00423370">
        <w:rPr>
          <w:lang w:val="en-AU"/>
        </w:rPr>
        <w:t>?</w:t>
      </w:r>
      <w:r w:rsidR="00E50456">
        <w:rPr>
          <w:rStyle w:val="EndnoteReference"/>
          <w:lang w:val="en-AU"/>
        </w:rPr>
        <w:endnoteReference w:id="13"/>
      </w:r>
    </w:p>
    <w:p w:rsidR="00670AA1" w:rsidRDefault="00670AA1" w:rsidP="00670AA1">
      <w:pPr>
        <w:spacing w:after="0"/>
        <w:rPr>
          <w:lang w:val="en-AU"/>
        </w:rPr>
      </w:pPr>
    </w:p>
    <w:p w:rsidR="001956E0" w:rsidRDefault="00877DE3" w:rsidP="00670AA1">
      <w:pPr>
        <w:spacing w:after="0"/>
        <w:rPr>
          <w:lang w:val="en-AU"/>
        </w:rPr>
      </w:pPr>
      <w:r>
        <w:rPr>
          <w:lang w:val="en-AU"/>
        </w:rPr>
        <w:t xml:space="preserve">If there is a belief that </w:t>
      </w:r>
      <w:r w:rsidR="00D544AD">
        <w:rPr>
          <w:lang w:val="en-AU"/>
        </w:rPr>
        <w:t xml:space="preserve">regulatory reform </w:t>
      </w:r>
      <w:r>
        <w:rPr>
          <w:lang w:val="en-AU"/>
        </w:rPr>
        <w:t xml:space="preserve">will solve much in railways, which is an ‘if’, then it is underpinned by </w:t>
      </w:r>
      <w:r w:rsidR="00D544AD">
        <w:rPr>
          <w:lang w:val="en-AU"/>
        </w:rPr>
        <w:t>m</w:t>
      </w:r>
      <w:r w:rsidR="009D16AD">
        <w:rPr>
          <w:lang w:val="en-AU"/>
        </w:rPr>
        <w:t>isunderstandings about public sector governance.  Governance is a system, and the relationship between government and enterprise depends on a range of instruments</w:t>
      </w:r>
      <w:r w:rsidR="00D544AD">
        <w:rPr>
          <w:lang w:val="en-AU"/>
        </w:rPr>
        <w:t>, not just regulation, as</w:t>
      </w:r>
      <w:r w:rsidR="009D16AD">
        <w:rPr>
          <w:lang w:val="en-AU"/>
        </w:rPr>
        <w:t xml:space="preserve"> shown in Figure </w:t>
      </w:r>
      <w:r w:rsidR="001633E3">
        <w:rPr>
          <w:lang w:val="en-AU"/>
        </w:rPr>
        <w:t>2</w:t>
      </w:r>
      <w:r w:rsidR="009D16AD">
        <w:rPr>
          <w:lang w:val="en-AU"/>
        </w:rPr>
        <w:t>.</w:t>
      </w:r>
      <w:r w:rsidR="0090295D">
        <w:rPr>
          <w:lang w:val="en-AU"/>
        </w:rPr>
        <w:t xml:space="preserve">  </w:t>
      </w:r>
    </w:p>
    <w:p w:rsidR="00670AA1" w:rsidRDefault="00670AA1" w:rsidP="00670AA1">
      <w:pPr>
        <w:spacing w:after="0"/>
        <w:rPr>
          <w:lang w:val="en-AU"/>
        </w:rPr>
      </w:pPr>
    </w:p>
    <w:p w:rsidR="009D16AD" w:rsidRPr="0090295D" w:rsidRDefault="009D16AD" w:rsidP="00670AA1">
      <w:pPr>
        <w:spacing w:after="0"/>
        <w:rPr>
          <w:b/>
          <w:lang w:val="en-AU"/>
        </w:rPr>
      </w:pPr>
      <w:r w:rsidRPr="0090295D">
        <w:rPr>
          <w:b/>
          <w:lang w:val="en-AU"/>
        </w:rPr>
        <w:t>F</w:t>
      </w:r>
      <w:r w:rsidR="001633E3">
        <w:rPr>
          <w:b/>
          <w:lang w:val="en-AU"/>
        </w:rPr>
        <w:t>igure 2</w:t>
      </w:r>
      <w:r w:rsidRPr="0090295D">
        <w:rPr>
          <w:b/>
          <w:lang w:val="en-AU"/>
        </w:rPr>
        <w:t>: governance instruments</w:t>
      </w:r>
      <w:r w:rsidR="001956E0">
        <w:rPr>
          <w:rStyle w:val="EndnoteReference"/>
          <w:lang w:val="en-AU"/>
        </w:rPr>
        <w:endnoteReference w:id="14"/>
      </w:r>
    </w:p>
    <w:p w:rsidR="00E22187" w:rsidRDefault="00E50456" w:rsidP="00670AA1">
      <w:pPr>
        <w:spacing w:after="0"/>
        <w:rPr>
          <w:lang w:val="en-AU"/>
        </w:rPr>
      </w:pPr>
      <w:r>
        <w:rPr>
          <w:noProof/>
          <w:lang w:eastAsia="en-GB"/>
        </w:rPr>
        <w:drawing>
          <wp:inline distT="0" distB="0" distL="0" distR="0" wp14:anchorId="69D695AE" wp14:editId="68391AA3">
            <wp:extent cx="5250815" cy="10287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4288" t="47227" r="33100" b="30608"/>
                    <a:stretch/>
                  </pic:blipFill>
                  <pic:spPr bwMode="auto">
                    <a:xfrm>
                      <a:off x="0" y="0"/>
                      <a:ext cx="5331999" cy="1044605"/>
                    </a:xfrm>
                    <a:prstGeom prst="rect">
                      <a:avLst/>
                    </a:prstGeom>
                    <a:ln>
                      <a:noFill/>
                    </a:ln>
                    <a:extLst>
                      <a:ext uri="{53640926-AAD7-44D8-BBD7-CCE9431645EC}">
                        <a14:shadowObscured xmlns:a14="http://schemas.microsoft.com/office/drawing/2010/main"/>
                      </a:ext>
                    </a:extLst>
                  </pic:spPr>
                </pic:pic>
              </a:graphicData>
            </a:graphic>
          </wp:inline>
        </w:drawing>
      </w:r>
    </w:p>
    <w:p w:rsidR="00F05DEC" w:rsidRDefault="00F05DEC" w:rsidP="00670AA1">
      <w:pPr>
        <w:pStyle w:val="Heading3"/>
        <w:spacing w:before="0"/>
        <w:rPr>
          <w:lang w:val="en-AU"/>
        </w:rPr>
      </w:pPr>
    </w:p>
    <w:p w:rsidR="00E64B0A" w:rsidRDefault="00E64B0A" w:rsidP="00670AA1">
      <w:pPr>
        <w:spacing w:after="0"/>
        <w:rPr>
          <w:lang w:val="en-AU"/>
        </w:rPr>
      </w:pPr>
      <w:r>
        <w:rPr>
          <w:lang w:val="en-AU"/>
        </w:rPr>
        <w:t xml:space="preserve">Regulatory reform is the main game in roads because in that sector regulation </w:t>
      </w:r>
      <w:r w:rsidR="00D544AD">
        <w:rPr>
          <w:lang w:val="en-AU"/>
        </w:rPr>
        <w:t>is</w:t>
      </w:r>
      <w:r>
        <w:rPr>
          <w:lang w:val="en-AU"/>
        </w:rPr>
        <w:t xml:space="preserve"> pervasive. </w:t>
      </w:r>
      <w:r w:rsidR="00D544AD">
        <w:rPr>
          <w:lang w:val="en-AU"/>
        </w:rPr>
        <w:t>R</w:t>
      </w:r>
      <w:r>
        <w:rPr>
          <w:lang w:val="en-AU"/>
        </w:rPr>
        <w:t>egulation prevents a market for road provision or use</w:t>
      </w:r>
      <w:r w:rsidR="00877DE3">
        <w:rPr>
          <w:lang w:val="en-AU"/>
        </w:rPr>
        <w:t xml:space="preserve"> and therefore </w:t>
      </w:r>
      <w:r>
        <w:rPr>
          <w:lang w:val="en-AU"/>
        </w:rPr>
        <w:t>is prescriptive.</w:t>
      </w:r>
      <w:r w:rsidR="00877DE3">
        <w:rPr>
          <w:lang w:val="en-AU"/>
        </w:rPr>
        <w:t xml:space="preserve">  </w:t>
      </w:r>
      <w:r w:rsidR="003F26F7">
        <w:rPr>
          <w:lang w:val="en-AU"/>
        </w:rPr>
        <w:t xml:space="preserve">But </w:t>
      </w:r>
      <w:r w:rsidR="00877DE3">
        <w:rPr>
          <w:lang w:val="en-AU"/>
        </w:rPr>
        <w:t xml:space="preserve">those </w:t>
      </w:r>
      <w:r w:rsidR="003F26F7">
        <w:rPr>
          <w:lang w:val="en-AU"/>
        </w:rPr>
        <w:t>facts are not applicable for</w:t>
      </w:r>
      <w:r w:rsidR="00877DE3">
        <w:rPr>
          <w:lang w:val="en-AU"/>
        </w:rPr>
        <w:t xml:space="preserve"> </w:t>
      </w:r>
      <w:r w:rsidR="00F92F8D">
        <w:rPr>
          <w:lang w:val="en-AU"/>
        </w:rPr>
        <w:t>railway</w:t>
      </w:r>
      <w:r w:rsidR="005531CC">
        <w:rPr>
          <w:lang w:val="en-AU"/>
        </w:rPr>
        <w:t>s.</w:t>
      </w:r>
      <w:r w:rsidR="00F92F8D">
        <w:rPr>
          <w:rStyle w:val="EndnoteReference"/>
          <w:lang w:val="en-AU"/>
        </w:rPr>
        <w:endnoteReference w:id="15"/>
      </w:r>
    </w:p>
    <w:p w:rsidR="00670AA1" w:rsidRDefault="00670AA1" w:rsidP="00670AA1">
      <w:pPr>
        <w:spacing w:after="0"/>
        <w:rPr>
          <w:lang w:val="en-AU"/>
        </w:rPr>
      </w:pPr>
    </w:p>
    <w:p w:rsidR="00C07AA2" w:rsidRDefault="00E64B0A" w:rsidP="00670AA1">
      <w:pPr>
        <w:spacing w:after="0"/>
        <w:rPr>
          <w:lang w:val="en-AU"/>
        </w:rPr>
      </w:pPr>
      <w:r>
        <w:rPr>
          <w:lang w:val="en-AU"/>
        </w:rPr>
        <w:t>R</w:t>
      </w:r>
      <w:r w:rsidR="001956E0">
        <w:rPr>
          <w:lang w:val="en-AU"/>
        </w:rPr>
        <w:t xml:space="preserve">egulatory ‘reform’ </w:t>
      </w:r>
      <w:r w:rsidR="00423370">
        <w:rPr>
          <w:lang w:val="en-AU"/>
        </w:rPr>
        <w:t xml:space="preserve">will </w:t>
      </w:r>
      <w:r w:rsidR="001956E0">
        <w:rPr>
          <w:lang w:val="en-AU"/>
        </w:rPr>
        <w:t xml:space="preserve">be inadequate to </w:t>
      </w:r>
      <w:r>
        <w:rPr>
          <w:lang w:val="en-AU"/>
        </w:rPr>
        <w:t>achieve results</w:t>
      </w:r>
      <w:r w:rsidR="00423370">
        <w:rPr>
          <w:lang w:val="en-AU"/>
        </w:rPr>
        <w:t xml:space="preserve"> </w:t>
      </w:r>
      <w:r>
        <w:rPr>
          <w:lang w:val="en-AU"/>
        </w:rPr>
        <w:t>such as</w:t>
      </w:r>
      <w:r w:rsidR="00F07589">
        <w:rPr>
          <w:lang w:val="en-AU"/>
        </w:rPr>
        <w:t xml:space="preserve"> rail</w:t>
      </w:r>
      <w:r>
        <w:rPr>
          <w:lang w:val="en-AU"/>
        </w:rPr>
        <w:t xml:space="preserve"> standardisation </w:t>
      </w:r>
      <w:r w:rsidR="00423370">
        <w:rPr>
          <w:lang w:val="en-AU"/>
        </w:rPr>
        <w:t xml:space="preserve">unless </w:t>
      </w:r>
      <w:r>
        <w:rPr>
          <w:lang w:val="en-AU"/>
        </w:rPr>
        <w:t>arrangements</w:t>
      </w:r>
      <w:r w:rsidR="00423370">
        <w:rPr>
          <w:lang w:val="en-AU"/>
        </w:rPr>
        <w:t xml:space="preserve"> for ownership, contracts and accounting are conducive to its effectiveness.</w:t>
      </w:r>
      <w:r w:rsidR="001956E0">
        <w:rPr>
          <w:lang w:val="en-AU"/>
        </w:rPr>
        <w:t xml:space="preserve">  </w:t>
      </w:r>
      <w:r w:rsidR="003F26F7">
        <w:rPr>
          <w:lang w:val="en-AU"/>
        </w:rPr>
        <w:t>A</w:t>
      </w:r>
      <w:r w:rsidR="00496A04">
        <w:rPr>
          <w:lang w:val="en-AU"/>
        </w:rPr>
        <w:t xml:space="preserve">rrangements for railways are not so conducive.  </w:t>
      </w:r>
      <w:r w:rsidR="00E22187">
        <w:rPr>
          <w:lang w:val="en-AU"/>
        </w:rPr>
        <w:t>A</w:t>
      </w:r>
      <w:r w:rsidR="00C07AA2">
        <w:rPr>
          <w:lang w:val="en-AU"/>
        </w:rPr>
        <w:t xml:space="preserve"> market for use and provision of railways has long existed.  </w:t>
      </w:r>
      <w:r w:rsidR="00D544AD">
        <w:rPr>
          <w:lang w:val="en-AU"/>
        </w:rPr>
        <w:t>Regulation is not pervasive in railways</w:t>
      </w:r>
      <w:r w:rsidR="0090295D">
        <w:rPr>
          <w:lang w:val="en-AU"/>
        </w:rPr>
        <w:t>;</w:t>
      </w:r>
      <w:r w:rsidR="00E22187">
        <w:rPr>
          <w:lang w:val="en-AU"/>
        </w:rPr>
        <w:t xml:space="preserve"> </w:t>
      </w:r>
      <w:r w:rsidR="00F07589">
        <w:rPr>
          <w:lang w:val="en-AU"/>
        </w:rPr>
        <w:t>de-</w:t>
      </w:r>
      <w:r w:rsidR="00C07AA2">
        <w:rPr>
          <w:lang w:val="en-AU"/>
        </w:rPr>
        <w:t>regulatory reform</w:t>
      </w:r>
      <w:r w:rsidR="00F07589">
        <w:rPr>
          <w:lang w:val="en-AU"/>
        </w:rPr>
        <w:t>s</w:t>
      </w:r>
      <w:r w:rsidR="00C07AA2">
        <w:rPr>
          <w:lang w:val="en-AU"/>
        </w:rPr>
        <w:t xml:space="preserve"> will not alter </w:t>
      </w:r>
      <w:r w:rsidR="00D544AD">
        <w:rPr>
          <w:lang w:val="en-AU"/>
        </w:rPr>
        <w:t xml:space="preserve">rail </w:t>
      </w:r>
      <w:r w:rsidR="00C07AA2">
        <w:rPr>
          <w:lang w:val="en-AU"/>
        </w:rPr>
        <w:t>markets.</w:t>
      </w:r>
      <w:r w:rsidR="001956E0">
        <w:rPr>
          <w:rStyle w:val="EndnoteReference"/>
          <w:lang w:val="en-AU"/>
        </w:rPr>
        <w:endnoteReference w:id="16"/>
      </w:r>
    </w:p>
    <w:p w:rsidR="00670AA1" w:rsidRDefault="00670AA1" w:rsidP="00670AA1">
      <w:pPr>
        <w:spacing w:after="0"/>
        <w:rPr>
          <w:lang w:val="en-AU"/>
        </w:rPr>
      </w:pPr>
    </w:p>
    <w:p w:rsidR="00C07AA2" w:rsidRDefault="00AE32E7" w:rsidP="00670AA1">
      <w:pPr>
        <w:spacing w:after="0"/>
        <w:rPr>
          <w:lang w:val="en-AU"/>
        </w:rPr>
      </w:pPr>
      <w:r>
        <w:rPr>
          <w:lang w:val="en-AU"/>
        </w:rPr>
        <w:t xml:space="preserve">Moreover, the existing style of rail transport regulation </w:t>
      </w:r>
      <w:r w:rsidR="00F07589">
        <w:rPr>
          <w:lang w:val="en-AU"/>
        </w:rPr>
        <w:t>reduces</w:t>
      </w:r>
      <w:r>
        <w:rPr>
          <w:lang w:val="en-AU"/>
        </w:rPr>
        <w:t xml:space="preserve"> reform </w:t>
      </w:r>
      <w:r w:rsidR="00F07589">
        <w:rPr>
          <w:lang w:val="en-AU"/>
        </w:rPr>
        <w:t>p</w:t>
      </w:r>
      <w:r>
        <w:rPr>
          <w:lang w:val="en-AU"/>
        </w:rPr>
        <w:t>oten</w:t>
      </w:r>
      <w:r w:rsidR="00F07589">
        <w:rPr>
          <w:lang w:val="en-AU"/>
        </w:rPr>
        <w:t>cy</w:t>
      </w:r>
      <w:r>
        <w:rPr>
          <w:lang w:val="en-AU"/>
        </w:rPr>
        <w:t xml:space="preserve">; </w:t>
      </w:r>
      <w:r w:rsidR="00C07AA2">
        <w:rPr>
          <w:lang w:val="en-AU"/>
        </w:rPr>
        <w:t xml:space="preserve">regulation </w:t>
      </w:r>
      <w:r w:rsidR="00F92F8D">
        <w:rPr>
          <w:lang w:val="en-AU"/>
        </w:rPr>
        <w:t xml:space="preserve">in Australia </w:t>
      </w:r>
      <w:r w:rsidR="006D7EB1">
        <w:rPr>
          <w:lang w:val="en-AU"/>
        </w:rPr>
        <w:t xml:space="preserve">is </w:t>
      </w:r>
      <w:r w:rsidR="00C07AA2">
        <w:rPr>
          <w:lang w:val="en-AU"/>
        </w:rPr>
        <w:t>‘permission’</w:t>
      </w:r>
      <w:r w:rsidR="00F92F8D">
        <w:rPr>
          <w:lang w:val="en-AU"/>
        </w:rPr>
        <w:t xml:space="preserve"> based</w:t>
      </w:r>
      <w:r>
        <w:rPr>
          <w:lang w:val="en-AU"/>
        </w:rPr>
        <w:t>,</w:t>
      </w:r>
      <w:r w:rsidR="00E22187">
        <w:rPr>
          <w:lang w:val="en-AU"/>
        </w:rPr>
        <w:t xml:space="preserve"> based on </w:t>
      </w:r>
      <w:r w:rsidR="00F92F8D">
        <w:rPr>
          <w:lang w:val="en-AU"/>
        </w:rPr>
        <w:t xml:space="preserve">an independent </w:t>
      </w:r>
      <w:r w:rsidR="00C07AA2">
        <w:rPr>
          <w:lang w:val="en-AU"/>
        </w:rPr>
        <w:t xml:space="preserve">assessment of </w:t>
      </w:r>
      <w:r w:rsidR="00F92F8D">
        <w:rPr>
          <w:lang w:val="en-AU"/>
        </w:rPr>
        <w:t xml:space="preserve">operating etc. </w:t>
      </w:r>
      <w:r w:rsidR="00C07AA2">
        <w:rPr>
          <w:lang w:val="en-AU"/>
        </w:rPr>
        <w:t>proposals put by industry.</w:t>
      </w:r>
      <w:r w:rsidR="00F92F8D">
        <w:rPr>
          <w:lang w:val="en-AU"/>
        </w:rPr>
        <w:t xml:space="preserve">  With very few exceptions, it does not mandate specific characteristics of operation.</w:t>
      </w:r>
      <w:r w:rsidR="00D544AD">
        <w:rPr>
          <w:lang w:val="en-AU"/>
        </w:rPr>
        <w:t xml:space="preserve">  </w:t>
      </w:r>
      <w:r w:rsidR="006D7EB1">
        <w:rPr>
          <w:lang w:val="en-AU"/>
        </w:rPr>
        <w:t>There are t</w:t>
      </w:r>
      <w:r w:rsidR="00B75870">
        <w:rPr>
          <w:lang w:val="en-AU"/>
        </w:rPr>
        <w:t>hree</w:t>
      </w:r>
      <w:r w:rsidR="006D7EB1">
        <w:rPr>
          <w:lang w:val="en-AU"/>
        </w:rPr>
        <w:t xml:space="preserve"> basic differences between </w:t>
      </w:r>
      <w:r w:rsidR="00D544AD">
        <w:rPr>
          <w:lang w:val="en-AU"/>
        </w:rPr>
        <w:t>rail ‘</w:t>
      </w:r>
      <w:r w:rsidR="006D7EB1">
        <w:rPr>
          <w:lang w:val="en-AU"/>
        </w:rPr>
        <w:t>permission</w:t>
      </w:r>
      <w:r w:rsidR="00D544AD">
        <w:rPr>
          <w:lang w:val="en-AU"/>
        </w:rPr>
        <w:t>’</w:t>
      </w:r>
      <w:r w:rsidR="006D7EB1">
        <w:rPr>
          <w:lang w:val="en-AU"/>
        </w:rPr>
        <w:t xml:space="preserve"> and </w:t>
      </w:r>
      <w:r w:rsidR="00D544AD">
        <w:rPr>
          <w:lang w:val="en-AU"/>
        </w:rPr>
        <w:t xml:space="preserve">‘road’ </w:t>
      </w:r>
      <w:r w:rsidR="006D7EB1">
        <w:rPr>
          <w:lang w:val="en-AU"/>
        </w:rPr>
        <w:t>prescriptive regulation.</w:t>
      </w:r>
    </w:p>
    <w:p w:rsidR="00670AA1" w:rsidRDefault="00670AA1" w:rsidP="00670AA1">
      <w:pPr>
        <w:spacing w:after="0"/>
        <w:rPr>
          <w:lang w:val="en-AU"/>
        </w:rPr>
      </w:pPr>
    </w:p>
    <w:p w:rsidR="00B75870" w:rsidRDefault="00F92F8D" w:rsidP="00670AA1">
      <w:pPr>
        <w:spacing w:after="0"/>
        <w:rPr>
          <w:lang w:val="en-AU"/>
        </w:rPr>
      </w:pPr>
      <w:r>
        <w:rPr>
          <w:lang w:val="en-AU"/>
        </w:rPr>
        <w:t>First, t</w:t>
      </w:r>
      <w:r w:rsidR="00C07AA2">
        <w:rPr>
          <w:lang w:val="en-AU"/>
        </w:rPr>
        <w:t xml:space="preserve">he visible financial cost of regulation and compliance is higher in a permission system because </w:t>
      </w:r>
      <w:r w:rsidR="00E22187">
        <w:rPr>
          <w:lang w:val="en-AU"/>
        </w:rPr>
        <w:t xml:space="preserve">industry </w:t>
      </w:r>
      <w:r w:rsidR="00C07AA2">
        <w:rPr>
          <w:lang w:val="en-AU"/>
        </w:rPr>
        <w:t xml:space="preserve">proposals need to be </w:t>
      </w:r>
      <w:r w:rsidR="00E22187">
        <w:rPr>
          <w:lang w:val="en-AU"/>
        </w:rPr>
        <w:t>assessed</w:t>
      </w:r>
      <w:r w:rsidR="0090295D">
        <w:rPr>
          <w:lang w:val="en-AU"/>
        </w:rPr>
        <w:t xml:space="preserve">.  </w:t>
      </w:r>
      <w:r>
        <w:rPr>
          <w:lang w:val="en-AU"/>
        </w:rPr>
        <w:t xml:space="preserve">But this appearance is deceptive; </w:t>
      </w:r>
      <w:r w:rsidR="00C07AA2">
        <w:rPr>
          <w:lang w:val="en-AU"/>
        </w:rPr>
        <w:t>the t</w:t>
      </w:r>
      <w:r w:rsidR="006D7EB1">
        <w:rPr>
          <w:lang w:val="en-AU"/>
        </w:rPr>
        <w:t>rue</w:t>
      </w:r>
      <w:r w:rsidR="00C07AA2">
        <w:rPr>
          <w:lang w:val="en-AU"/>
        </w:rPr>
        <w:t xml:space="preserve"> cost </w:t>
      </w:r>
      <w:r>
        <w:rPr>
          <w:lang w:val="en-AU"/>
        </w:rPr>
        <w:t>is less</w:t>
      </w:r>
      <w:r w:rsidR="00A06FE0">
        <w:rPr>
          <w:lang w:val="en-AU"/>
        </w:rPr>
        <w:t>,</w:t>
      </w:r>
      <w:r>
        <w:rPr>
          <w:lang w:val="en-AU"/>
        </w:rPr>
        <w:t xml:space="preserve"> often greatly </w:t>
      </w:r>
      <w:r w:rsidR="00C07AA2">
        <w:rPr>
          <w:lang w:val="en-AU"/>
        </w:rPr>
        <w:t>less</w:t>
      </w:r>
      <w:r>
        <w:rPr>
          <w:lang w:val="en-AU"/>
        </w:rPr>
        <w:t>,</w:t>
      </w:r>
      <w:r w:rsidR="00C07AA2">
        <w:rPr>
          <w:lang w:val="en-AU"/>
        </w:rPr>
        <w:t xml:space="preserve"> because an</w:t>
      </w:r>
      <w:r w:rsidR="00E22187">
        <w:rPr>
          <w:lang w:val="en-AU"/>
        </w:rPr>
        <w:t>y industry participant</w:t>
      </w:r>
      <w:r w:rsidR="00C07AA2">
        <w:rPr>
          <w:lang w:val="en-AU"/>
        </w:rPr>
        <w:t xml:space="preserve"> may choose s</w:t>
      </w:r>
      <w:r>
        <w:rPr>
          <w:lang w:val="en-AU"/>
        </w:rPr>
        <w:t>ystems or technologies most suit</w:t>
      </w:r>
      <w:r w:rsidR="00C07AA2">
        <w:rPr>
          <w:lang w:val="en-AU"/>
        </w:rPr>
        <w:t xml:space="preserve">able to it; </w:t>
      </w:r>
      <w:r w:rsidR="00E22187">
        <w:rPr>
          <w:lang w:val="en-AU"/>
        </w:rPr>
        <w:t xml:space="preserve">a choice unavailable in </w:t>
      </w:r>
      <w:r w:rsidR="00D544AD">
        <w:rPr>
          <w:lang w:val="en-AU"/>
        </w:rPr>
        <w:t xml:space="preserve">the </w:t>
      </w:r>
      <w:r w:rsidR="00C07AA2">
        <w:rPr>
          <w:lang w:val="en-AU"/>
        </w:rPr>
        <w:t xml:space="preserve">prescriptive </w:t>
      </w:r>
      <w:r w:rsidR="00D544AD">
        <w:rPr>
          <w:lang w:val="en-AU"/>
        </w:rPr>
        <w:t xml:space="preserve">roads </w:t>
      </w:r>
      <w:r w:rsidR="00C07AA2">
        <w:rPr>
          <w:lang w:val="en-AU"/>
        </w:rPr>
        <w:t xml:space="preserve">system.  </w:t>
      </w:r>
      <w:r>
        <w:rPr>
          <w:lang w:val="en-AU"/>
        </w:rPr>
        <w:t xml:space="preserve">Filling out forms </w:t>
      </w:r>
      <w:r w:rsidR="00A541B2">
        <w:rPr>
          <w:lang w:val="en-AU"/>
        </w:rPr>
        <w:t>may be</w:t>
      </w:r>
      <w:r>
        <w:rPr>
          <w:lang w:val="en-AU"/>
        </w:rPr>
        <w:t xml:space="preserve"> an</w:t>
      </w:r>
      <w:r w:rsidR="00C07AA2">
        <w:rPr>
          <w:lang w:val="en-AU"/>
        </w:rPr>
        <w:t xml:space="preserve"> inconvenience</w:t>
      </w:r>
      <w:r>
        <w:rPr>
          <w:lang w:val="en-AU"/>
        </w:rPr>
        <w:t xml:space="preserve">; </w:t>
      </w:r>
      <w:r w:rsidR="00A541B2">
        <w:rPr>
          <w:lang w:val="en-AU"/>
        </w:rPr>
        <w:t xml:space="preserve">but </w:t>
      </w:r>
      <w:r>
        <w:rPr>
          <w:lang w:val="en-AU"/>
        </w:rPr>
        <w:t>a straightjacket for operations would be a real cost</w:t>
      </w:r>
      <w:r w:rsidR="00F81276">
        <w:rPr>
          <w:lang w:val="en-AU"/>
        </w:rPr>
        <w:t>.</w:t>
      </w:r>
    </w:p>
    <w:p w:rsidR="00670AA1" w:rsidRDefault="00670AA1" w:rsidP="00670AA1">
      <w:pPr>
        <w:spacing w:after="0"/>
        <w:rPr>
          <w:lang w:val="en-AU"/>
        </w:rPr>
      </w:pPr>
    </w:p>
    <w:p w:rsidR="00C07AA2" w:rsidRDefault="00B75870" w:rsidP="00670AA1">
      <w:pPr>
        <w:spacing w:after="0"/>
        <w:rPr>
          <w:lang w:val="en-AU"/>
        </w:rPr>
      </w:pPr>
      <w:r>
        <w:rPr>
          <w:lang w:val="en-AU"/>
        </w:rPr>
        <w:t xml:space="preserve">Second, a change in permission </w:t>
      </w:r>
      <w:r w:rsidR="00A06FE0">
        <w:rPr>
          <w:lang w:val="en-AU"/>
        </w:rPr>
        <w:t>is</w:t>
      </w:r>
      <w:r>
        <w:rPr>
          <w:lang w:val="en-AU"/>
        </w:rPr>
        <w:t xml:space="preserve"> less costly than a change in prescription.  If government </w:t>
      </w:r>
      <w:r w:rsidR="00A06FE0">
        <w:rPr>
          <w:lang w:val="en-AU"/>
        </w:rPr>
        <w:t>participates in</w:t>
      </w:r>
      <w:r>
        <w:rPr>
          <w:lang w:val="en-AU"/>
        </w:rPr>
        <w:t xml:space="preserve"> industry a change in prescripti</w:t>
      </w:r>
      <w:r w:rsidR="002F43A8">
        <w:rPr>
          <w:lang w:val="en-AU"/>
        </w:rPr>
        <w:t>on</w:t>
      </w:r>
      <w:r>
        <w:rPr>
          <w:lang w:val="en-AU"/>
        </w:rPr>
        <w:t xml:space="preserve"> </w:t>
      </w:r>
      <w:r w:rsidR="00A541B2">
        <w:rPr>
          <w:lang w:val="en-AU"/>
        </w:rPr>
        <w:t>means</w:t>
      </w:r>
      <w:r>
        <w:rPr>
          <w:lang w:val="en-AU"/>
        </w:rPr>
        <w:t xml:space="preserve"> cost shifting; if national regulations allow heavier trucks on local roads, councils bear the cost of decisions made elsewhere.</w:t>
      </w:r>
      <w:r>
        <w:rPr>
          <w:rStyle w:val="EndnoteReference"/>
          <w:lang w:val="en-AU"/>
        </w:rPr>
        <w:endnoteReference w:id="17"/>
      </w:r>
      <w:r>
        <w:rPr>
          <w:lang w:val="en-AU"/>
        </w:rPr>
        <w:t xml:space="preserve">  </w:t>
      </w:r>
      <w:r w:rsidR="00F92F8D">
        <w:rPr>
          <w:lang w:val="en-AU"/>
        </w:rPr>
        <w:t xml:space="preserve"> </w:t>
      </w:r>
    </w:p>
    <w:p w:rsidR="00670AA1" w:rsidRDefault="00670AA1" w:rsidP="00670AA1">
      <w:pPr>
        <w:spacing w:after="0"/>
        <w:rPr>
          <w:lang w:val="en-AU"/>
        </w:rPr>
      </w:pPr>
    </w:p>
    <w:p w:rsidR="005531CC" w:rsidRDefault="00B75870" w:rsidP="00670AA1">
      <w:pPr>
        <w:spacing w:after="0"/>
        <w:rPr>
          <w:lang w:val="en-AU"/>
        </w:rPr>
      </w:pPr>
      <w:r>
        <w:rPr>
          <w:lang w:val="en-AU"/>
        </w:rPr>
        <w:t>Third</w:t>
      </w:r>
      <w:r w:rsidR="00F81276">
        <w:rPr>
          <w:lang w:val="en-AU"/>
        </w:rPr>
        <w:t xml:space="preserve">, </w:t>
      </w:r>
      <w:r w:rsidR="00A812A4">
        <w:rPr>
          <w:lang w:val="en-AU"/>
        </w:rPr>
        <w:t xml:space="preserve">a regulator in a permission system is unable to </w:t>
      </w:r>
      <w:r w:rsidR="00E22187">
        <w:rPr>
          <w:lang w:val="en-AU"/>
        </w:rPr>
        <w:t>promote industry</w:t>
      </w:r>
      <w:r w:rsidR="00A812A4">
        <w:rPr>
          <w:lang w:val="en-AU"/>
        </w:rPr>
        <w:t xml:space="preserve"> harmonisation</w:t>
      </w:r>
      <w:r w:rsidR="00CE6FED">
        <w:rPr>
          <w:lang w:val="en-AU"/>
        </w:rPr>
        <w:t>; th</w:t>
      </w:r>
      <w:r w:rsidR="00A06FE0">
        <w:rPr>
          <w:lang w:val="en-AU"/>
        </w:rPr>
        <w:t>e</w:t>
      </w:r>
      <w:r w:rsidR="00CE6FED">
        <w:rPr>
          <w:lang w:val="en-AU"/>
        </w:rPr>
        <w:t xml:space="preserve"> </w:t>
      </w:r>
      <w:r w:rsidR="00A812A4">
        <w:rPr>
          <w:lang w:val="en-AU"/>
        </w:rPr>
        <w:t xml:space="preserve">system </w:t>
      </w:r>
      <w:r w:rsidR="00CE6FED">
        <w:rPr>
          <w:lang w:val="en-AU"/>
        </w:rPr>
        <w:t>allows</w:t>
      </w:r>
      <w:r w:rsidR="00496A04">
        <w:rPr>
          <w:lang w:val="en-AU"/>
        </w:rPr>
        <w:t xml:space="preserve"> difference within industry</w:t>
      </w:r>
      <w:r w:rsidR="00A812A4">
        <w:rPr>
          <w:lang w:val="en-AU"/>
        </w:rPr>
        <w:t xml:space="preserve">.  </w:t>
      </w:r>
      <w:r w:rsidR="002F43A8">
        <w:rPr>
          <w:lang w:val="en-AU"/>
        </w:rPr>
        <w:t>Firms</w:t>
      </w:r>
      <w:r w:rsidR="00E22187">
        <w:rPr>
          <w:lang w:val="en-AU"/>
        </w:rPr>
        <w:t xml:space="preserve"> </w:t>
      </w:r>
      <w:r w:rsidR="00CE6FED">
        <w:rPr>
          <w:lang w:val="en-AU"/>
        </w:rPr>
        <w:t xml:space="preserve">naturally </w:t>
      </w:r>
      <w:r w:rsidR="002F43A8">
        <w:rPr>
          <w:lang w:val="en-AU"/>
        </w:rPr>
        <w:t>seek to create</w:t>
      </w:r>
      <w:r w:rsidR="00A812A4">
        <w:rPr>
          <w:lang w:val="en-AU"/>
        </w:rPr>
        <w:t xml:space="preserve"> </w:t>
      </w:r>
      <w:r w:rsidR="00CE6FED">
        <w:rPr>
          <w:lang w:val="en-AU"/>
        </w:rPr>
        <w:t>difference</w:t>
      </w:r>
      <w:r w:rsidR="00E22187">
        <w:rPr>
          <w:lang w:val="en-AU"/>
        </w:rPr>
        <w:t>, ‘breaks of gauge’</w:t>
      </w:r>
      <w:r w:rsidR="00CE6FED">
        <w:rPr>
          <w:lang w:val="en-AU"/>
        </w:rPr>
        <w:t>, as a form of p</w:t>
      </w:r>
      <w:r w:rsidR="00E91A3D">
        <w:rPr>
          <w:lang w:val="en-AU"/>
        </w:rPr>
        <w:t>roduct differentiation</w:t>
      </w:r>
      <w:r w:rsidR="00E22187">
        <w:rPr>
          <w:lang w:val="en-AU"/>
        </w:rPr>
        <w:t xml:space="preserve"> in </w:t>
      </w:r>
      <w:r w:rsidR="00A06FE0">
        <w:rPr>
          <w:lang w:val="en-AU"/>
        </w:rPr>
        <w:t>any</w:t>
      </w:r>
      <w:r w:rsidR="00E22187">
        <w:rPr>
          <w:lang w:val="en-AU"/>
        </w:rPr>
        <w:t xml:space="preserve"> </w:t>
      </w:r>
      <w:r w:rsidR="00A812A4">
        <w:rPr>
          <w:lang w:val="en-AU"/>
        </w:rPr>
        <w:t>industr</w:t>
      </w:r>
      <w:r w:rsidR="00A06FE0">
        <w:rPr>
          <w:lang w:val="en-AU"/>
        </w:rPr>
        <w:t>y</w:t>
      </w:r>
      <w:r w:rsidR="00A812A4">
        <w:rPr>
          <w:lang w:val="en-AU"/>
        </w:rPr>
        <w:t xml:space="preserve"> eg. V</w:t>
      </w:r>
      <w:r w:rsidR="00E22187">
        <w:rPr>
          <w:lang w:val="en-AU"/>
        </w:rPr>
        <w:t>HS</w:t>
      </w:r>
      <w:r w:rsidR="00A812A4">
        <w:rPr>
          <w:lang w:val="en-AU"/>
        </w:rPr>
        <w:t xml:space="preserve"> and </w:t>
      </w:r>
      <w:r w:rsidR="00E22187">
        <w:rPr>
          <w:lang w:val="en-AU"/>
        </w:rPr>
        <w:t>B</w:t>
      </w:r>
      <w:r w:rsidR="00A812A4">
        <w:rPr>
          <w:lang w:val="en-AU"/>
        </w:rPr>
        <w:t>eta video tapes.</w:t>
      </w:r>
      <w:r w:rsidR="00CE6FED">
        <w:rPr>
          <w:lang w:val="en-AU"/>
        </w:rPr>
        <w:t xml:space="preserve">  </w:t>
      </w:r>
      <w:r w:rsidR="00A812A4">
        <w:rPr>
          <w:lang w:val="en-AU"/>
        </w:rPr>
        <w:t xml:space="preserve">  </w:t>
      </w:r>
    </w:p>
    <w:p w:rsidR="005531CC" w:rsidRDefault="0006276A" w:rsidP="00670AA1">
      <w:pPr>
        <w:spacing w:after="0"/>
        <w:rPr>
          <w:lang w:val="en-AU"/>
        </w:rPr>
      </w:pPr>
      <w:r>
        <w:rPr>
          <w:lang w:val="en-AU"/>
        </w:rPr>
        <w:lastRenderedPageBreak/>
        <w:t>D</w:t>
      </w:r>
      <w:r w:rsidR="006B5365">
        <w:rPr>
          <w:lang w:val="en-AU"/>
        </w:rPr>
        <w:t xml:space="preserve">espite </w:t>
      </w:r>
      <w:r w:rsidR="0090295D">
        <w:rPr>
          <w:lang w:val="en-AU"/>
        </w:rPr>
        <w:t>beliefs</w:t>
      </w:r>
      <w:r w:rsidR="006B5365">
        <w:rPr>
          <w:lang w:val="en-AU"/>
        </w:rPr>
        <w:t xml:space="preserve">, </w:t>
      </w:r>
      <w:r w:rsidR="00D544AD">
        <w:rPr>
          <w:lang w:val="en-AU"/>
        </w:rPr>
        <w:t xml:space="preserve">rail </w:t>
      </w:r>
      <w:r w:rsidR="006B5365">
        <w:rPr>
          <w:lang w:val="en-AU"/>
        </w:rPr>
        <w:t xml:space="preserve">reform cannot improve, and </w:t>
      </w:r>
      <w:r w:rsidR="00B75870">
        <w:rPr>
          <w:lang w:val="en-AU"/>
        </w:rPr>
        <w:t>may further embed</w:t>
      </w:r>
      <w:r w:rsidR="00DE697A">
        <w:rPr>
          <w:lang w:val="en-AU"/>
        </w:rPr>
        <w:t>,</w:t>
      </w:r>
      <w:r w:rsidR="006B5365">
        <w:rPr>
          <w:lang w:val="en-AU"/>
        </w:rPr>
        <w:t xml:space="preserve"> the gauge standardisation problem.  </w:t>
      </w:r>
      <w:r w:rsidR="006D7EB1">
        <w:rPr>
          <w:lang w:val="en-AU"/>
        </w:rPr>
        <w:t>Why</w:t>
      </w:r>
      <w:r>
        <w:rPr>
          <w:lang w:val="en-AU"/>
        </w:rPr>
        <w:t xml:space="preserve"> the belief</w:t>
      </w:r>
      <w:r w:rsidR="006D7EB1">
        <w:rPr>
          <w:lang w:val="en-AU"/>
        </w:rPr>
        <w:t xml:space="preserve"> in rail regulatory reform</w:t>
      </w:r>
      <w:r>
        <w:rPr>
          <w:lang w:val="en-AU"/>
        </w:rPr>
        <w:t>?  Three possibilities come to mind: a roads mindset;</w:t>
      </w:r>
      <w:r w:rsidR="00B75870">
        <w:rPr>
          <w:lang w:val="en-AU"/>
        </w:rPr>
        <w:t xml:space="preserve"> ignorance;</w:t>
      </w:r>
      <w:r>
        <w:rPr>
          <w:lang w:val="en-AU"/>
        </w:rPr>
        <w:t xml:space="preserve"> avoidance. O</w:t>
      </w:r>
      <w:r w:rsidR="00B75870">
        <w:rPr>
          <w:lang w:val="en-AU"/>
        </w:rPr>
        <w:t>thers are in a better position to comment on motives</w:t>
      </w:r>
      <w:r w:rsidR="00A06FE0">
        <w:rPr>
          <w:lang w:val="en-AU"/>
        </w:rPr>
        <w:t>;</w:t>
      </w:r>
      <w:r w:rsidR="002F43A8">
        <w:rPr>
          <w:lang w:val="en-AU"/>
        </w:rPr>
        <w:t xml:space="preserve"> y</w:t>
      </w:r>
      <w:r w:rsidR="00EB5D82">
        <w:rPr>
          <w:lang w:val="en-AU"/>
        </w:rPr>
        <w:t xml:space="preserve">et the national appetite for standardisation </w:t>
      </w:r>
      <w:r w:rsidR="00A06FE0">
        <w:rPr>
          <w:lang w:val="en-AU"/>
        </w:rPr>
        <w:t xml:space="preserve">did </w:t>
      </w:r>
      <w:r w:rsidR="00EB5D82">
        <w:rPr>
          <w:lang w:val="en-AU"/>
        </w:rPr>
        <w:t>wane as the impotence of rail regulation became more apparent.</w:t>
      </w:r>
    </w:p>
    <w:p w:rsidR="00670AA1" w:rsidRDefault="00670AA1" w:rsidP="00670AA1">
      <w:pPr>
        <w:spacing w:after="0"/>
        <w:rPr>
          <w:lang w:val="en-AU"/>
        </w:rPr>
      </w:pPr>
    </w:p>
    <w:p w:rsidR="0006276A" w:rsidRDefault="005531CC" w:rsidP="00670AA1">
      <w:pPr>
        <w:spacing w:after="0"/>
        <w:rPr>
          <w:lang w:val="en-AU"/>
        </w:rPr>
      </w:pPr>
      <w:r>
        <w:rPr>
          <w:lang w:val="en-AU"/>
        </w:rPr>
        <w:t xml:space="preserve">Whatever the reason, standardisation by regulatory reform </w:t>
      </w:r>
      <w:r w:rsidR="00907A1B">
        <w:rPr>
          <w:lang w:val="en-AU"/>
        </w:rPr>
        <w:t>seem</w:t>
      </w:r>
      <w:r>
        <w:rPr>
          <w:lang w:val="en-AU"/>
        </w:rPr>
        <w:t xml:space="preserve">s the impossible dream. </w:t>
      </w:r>
      <w:r w:rsidR="006D7EB1">
        <w:rPr>
          <w:rStyle w:val="EndnoteReference"/>
          <w:lang w:val="en-AU"/>
        </w:rPr>
        <w:endnoteReference w:id="18"/>
      </w:r>
      <w:r w:rsidR="0006276A">
        <w:rPr>
          <w:lang w:val="en-AU"/>
        </w:rPr>
        <w:t xml:space="preserve">  </w:t>
      </w:r>
    </w:p>
    <w:p w:rsidR="00670AA1" w:rsidRDefault="00670AA1" w:rsidP="00670AA1">
      <w:pPr>
        <w:spacing w:after="0"/>
        <w:rPr>
          <w:lang w:val="en-AU"/>
        </w:rPr>
      </w:pPr>
    </w:p>
    <w:p w:rsidR="005631CC" w:rsidRDefault="005576D0" w:rsidP="00670AA1">
      <w:pPr>
        <w:pStyle w:val="Heading3"/>
        <w:spacing w:before="0"/>
        <w:rPr>
          <w:lang w:val="en-AU"/>
        </w:rPr>
      </w:pPr>
      <w:r>
        <w:rPr>
          <w:lang w:val="en-AU"/>
        </w:rPr>
        <w:t xml:space="preserve">Example </w:t>
      </w:r>
      <w:r w:rsidR="0006276A">
        <w:rPr>
          <w:lang w:val="en-AU"/>
        </w:rPr>
        <w:t>4</w:t>
      </w:r>
      <w:r>
        <w:rPr>
          <w:lang w:val="en-AU"/>
        </w:rPr>
        <w:t xml:space="preserve">: </w:t>
      </w:r>
      <w:r w:rsidR="00193332">
        <w:rPr>
          <w:lang w:val="en-AU"/>
        </w:rPr>
        <w:t xml:space="preserve">Right idea, wrong </w:t>
      </w:r>
      <w:r w:rsidR="00D860F7">
        <w:rPr>
          <w:lang w:val="en-AU"/>
        </w:rPr>
        <w:t>context?</w:t>
      </w:r>
    </w:p>
    <w:p w:rsidR="005631CC" w:rsidRDefault="002F43A8" w:rsidP="00670AA1">
      <w:pPr>
        <w:spacing w:after="0"/>
        <w:rPr>
          <w:lang w:val="en-AU"/>
        </w:rPr>
      </w:pPr>
      <w:r>
        <w:rPr>
          <w:lang w:val="en-AU"/>
        </w:rPr>
        <w:t>S</w:t>
      </w:r>
      <w:r w:rsidR="00404F06">
        <w:rPr>
          <w:lang w:val="en-AU"/>
        </w:rPr>
        <w:t xml:space="preserve">ince the mid 1980s the idea of </w:t>
      </w:r>
      <w:r w:rsidR="005330B1">
        <w:rPr>
          <w:lang w:val="en-AU"/>
        </w:rPr>
        <w:t>making</w:t>
      </w:r>
      <w:r w:rsidR="00404F06">
        <w:rPr>
          <w:lang w:val="en-AU"/>
        </w:rPr>
        <w:t xml:space="preserve"> public</w:t>
      </w:r>
      <w:r w:rsidR="005330B1">
        <w:rPr>
          <w:lang w:val="en-AU"/>
        </w:rPr>
        <w:t xml:space="preserve"> sector </w:t>
      </w:r>
      <w:r w:rsidR="00404F06">
        <w:rPr>
          <w:lang w:val="en-AU"/>
        </w:rPr>
        <w:t xml:space="preserve">organisations </w:t>
      </w:r>
      <w:r w:rsidR="005330B1">
        <w:rPr>
          <w:lang w:val="en-AU"/>
        </w:rPr>
        <w:t>like</w:t>
      </w:r>
      <w:r w:rsidR="00404F06">
        <w:rPr>
          <w:lang w:val="en-AU"/>
        </w:rPr>
        <w:t xml:space="preserve"> corporations has grown in popularity in Australia.  This includes the government business enterprise agenda</w:t>
      </w:r>
      <w:r w:rsidR="000A03B9">
        <w:rPr>
          <w:lang w:val="en-AU"/>
        </w:rPr>
        <w:t>.</w:t>
      </w:r>
      <w:r w:rsidR="00E45629">
        <w:rPr>
          <w:rStyle w:val="EndnoteReference"/>
          <w:lang w:val="en-AU"/>
        </w:rPr>
        <w:endnoteReference w:id="19"/>
      </w:r>
    </w:p>
    <w:p w:rsidR="00670AA1" w:rsidRDefault="00670AA1" w:rsidP="00670AA1">
      <w:pPr>
        <w:spacing w:after="0"/>
        <w:rPr>
          <w:lang w:val="en-AU"/>
        </w:rPr>
      </w:pPr>
    </w:p>
    <w:p w:rsidR="000A03B9" w:rsidRDefault="00014102" w:rsidP="00670AA1">
      <w:pPr>
        <w:spacing w:after="0"/>
        <w:rPr>
          <w:lang w:val="en-AU"/>
        </w:rPr>
      </w:pPr>
      <w:r>
        <w:rPr>
          <w:lang w:val="en-AU"/>
        </w:rPr>
        <w:t xml:space="preserve">The </w:t>
      </w:r>
      <w:r w:rsidR="002F43A8">
        <w:rPr>
          <w:lang w:val="en-AU"/>
        </w:rPr>
        <w:t xml:space="preserve">idea is </w:t>
      </w:r>
      <w:r>
        <w:rPr>
          <w:lang w:val="en-AU"/>
        </w:rPr>
        <w:t xml:space="preserve">to </w:t>
      </w:r>
      <w:r w:rsidR="00A55D55">
        <w:rPr>
          <w:lang w:val="en-AU"/>
        </w:rPr>
        <w:t>separate</w:t>
      </w:r>
      <w:r>
        <w:rPr>
          <w:lang w:val="en-AU"/>
        </w:rPr>
        <w:t xml:space="preserve"> ownership </w:t>
      </w:r>
      <w:r w:rsidR="00A55D55">
        <w:rPr>
          <w:lang w:val="en-AU"/>
        </w:rPr>
        <w:t>from</w:t>
      </w:r>
      <w:r>
        <w:rPr>
          <w:lang w:val="en-AU"/>
        </w:rPr>
        <w:t xml:space="preserve"> direct control as is </w:t>
      </w:r>
      <w:r w:rsidR="006E1603">
        <w:rPr>
          <w:lang w:val="en-AU"/>
        </w:rPr>
        <w:t xml:space="preserve">the </w:t>
      </w:r>
      <w:r>
        <w:rPr>
          <w:lang w:val="en-AU"/>
        </w:rPr>
        <w:t>case in p</w:t>
      </w:r>
      <w:r w:rsidR="006E1603">
        <w:rPr>
          <w:lang w:val="en-AU"/>
        </w:rPr>
        <w:t>ublicly listed</w:t>
      </w:r>
      <w:r>
        <w:rPr>
          <w:lang w:val="en-AU"/>
        </w:rPr>
        <w:t xml:space="preserve"> co</w:t>
      </w:r>
      <w:r w:rsidR="00193332">
        <w:rPr>
          <w:lang w:val="en-AU"/>
        </w:rPr>
        <w:t>mpanies</w:t>
      </w:r>
      <w:r>
        <w:rPr>
          <w:lang w:val="en-AU"/>
        </w:rPr>
        <w:t>.</w:t>
      </w:r>
      <w:r w:rsidR="006E1603">
        <w:rPr>
          <w:lang w:val="en-AU"/>
        </w:rPr>
        <w:t xml:space="preserve">  Separation of</w:t>
      </w:r>
      <w:r w:rsidR="00E176BA">
        <w:rPr>
          <w:lang w:val="en-AU"/>
        </w:rPr>
        <w:t>:</w:t>
      </w:r>
      <w:r w:rsidR="006E1603">
        <w:rPr>
          <w:lang w:val="en-AU"/>
        </w:rPr>
        <w:t xml:space="preserve"> shareholders</w:t>
      </w:r>
      <w:r w:rsidR="00E176BA">
        <w:rPr>
          <w:lang w:val="en-AU"/>
        </w:rPr>
        <w:t>;</w:t>
      </w:r>
      <w:r w:rsidR="006E1603">
        <w:rPr>
          <w:lang w:val="en-AU"/>
        </w:rPr>
        <w:t xml:space="preserve"> </w:t>
      </w:r>
      <w:r w:rsidR="000A03B9">
        <w:rPr>
          <w:lang w:val="en-AU"/>
        </w:rPr>
        <w:t>directors (</w:t>
      </w:r>
      <w:r w:rsidR="006E1603">
        <w:rPr>
          <w:lang w:val="en-AU"/>
        </w:rPr>
        <w:t>board</w:t>
      </w:r>
      <w:r w:rsidR="000A03B9">
        <w:rPr>
          <w:lang w:val="en-AU"/>
        </w:rPr>
        <w:t>)</w:t>
      </w:r>
      <w:r w:rsidR="00E176BA">
        <w:rPr>
          <w:lang w:val="en-AU"/>
        </w:rPr>
        <w:t xml:space="preserve">; </w:t>
      </w:r>
      <w:r w:rsidR="006E1603">
        <w:rPr>
          <w:lang w:val="en-AU"/>
        </w:rPr>
        <w:t>management.</w:t>
      </w:r>
      <w:r w:rsidR="004631ED">
        <w:rPr>
          <w:lang w:val="en-AU"/>
        </w:rPr>
        <w:t xml:space="preserve">  </w:t>
      </w:r>
      <w:r w:rsidR="000A03B9">
        <w:rPr>
          <w:lang w:val="en-AU"/>
        </w:rPr>
        <w:t xml:space="preserve">This is one exception where independence </w:t>
      </w:r>
      <w:r w:rsidR="005330B1">
        <w:rPr>
          <w:lang w:val="en-AU"/>
        </w:rPr>
        <w:t>from</w:t>
      </w:r>
      <w:r w:rsidR="000A03B9">
        <w:rPr>
          <w:lang w:val="en-AU"/>
        </w:rPr>
        <w:t xml:space="preserve"> executive government</w:t>
      </w:r>
      <w:r w:rsidR="005330B1">
        <w:rPr>
          <w:lang w:val="en-AU"/>
        </w:rPr>
        <w:t xml:space="preserve"> is important</w:t>
      </w:r>
      <w:r w:rsidR="000A03B9">
        <w:rPr>
          <w:lang w:val="en-AU"/>
        </w:rPr>
        <w:t>.</w:t>
      </w:r>
      <w:r w:rsidR="00E176BA">
        <w:rPr>
          <w:rStyle w:val="EndnoteReference"/>
          <w:lang w:val="en-AU"/>
        </w:rPr>
        <w:endnoteReference w:id="20"/>
      </w:r>
      <w:r w:rsidR="000A03B9">
        <w:rPr>
          <w:lang w:val="en-AU"/>
        </w:rPr>
        <w:t xml:space="preserve">  </w:t>
      </w:r>
    </w:p>
    <w:p w:rsidR="00670AA1" w:rsidRDefault="00670AA1" w:rsidP="00670AA1">
      <w:pPr>
        <w:spacing w:after="0"/>
        <w:rPr>
          <w:lang w:val="en-AU"/>
        </w:rPr>
      </w:pPr>
    </w:p>
    <w:p w:rsidR="00DD47CE" w:rsidRDefault="006E1603" w:rsidP="00670AA1">
      <w:pPr>
        <w:spacing w:after="0"/>
        <w:rPr>
          <w:lang w:val="en-AU"/>
        </w:rPr>
      </w:pPr>
      <w:r>
        <w:rPr>
          <w:lang w:val="en-AU"/>
        </w:rPr>
        <w:t xml:space="preserve">The </w:t>
      </w:r>
      <w:r w:rsidR="004631ED">
        <w:rPr>
          <w:lang w:val="en-AU"/>
        </w:rPr>
        <w:t xml:space="preserve">agenda </w:t>
      </w:r>
      <w:r w:rsidR="00700FDA">
        <w:rPr>
          <w:lang w:val="en-AU"/>
        </w:rPr>
        <w:t>deals with</w:t>
      </w:r>
      <w:r w:rsidR="004631ED">
        <w:rPr>
          <w:lang w:val="en-AU"/>
        </w:rPr>
        <w:t xml:space="preserve"> organisations that</w:t>
      </w:r>
      <w:r w:rsidR="00E176BA">
        <w:rPr>
          <w:lang w:val="en-AU"/>
        </w:rPr>
        <w:t>:</w:t>
      </w:r>
      <w:r w:rsidR="004631ED">
        <w:rPr>
          <w:lang w:val="en-AU"/>
        </w:rPr>
        <w:t xml:space="preserve"> </w:t>
      </w:r>
      <w:r w:rsidR="003B3FC3">
        <w:rPr>
          <w:lang w:val="en-AU"/>
        </w:rPr>
        <w:t>charge for goods or services</w:t>
      </w:r>
      <w:r w:rsidR="00E176BA">
        <w:rPr>
          <w:lang w:val="en-AU"/>
        </w:rPr>
        <w:t>;</w:t>
      </w:r>
      <w:r>
        <w:rPr>
          <w:lang w:val="en-AU"/>
        </w:rPr>
        <w:t xml:space="preserve"> compete with other firms</w:t>
      </w:r>
      <w:r w:rsidR="00E176BA">
        <w:rPr>
          <w:lang w:val="en-AU"/>
        </w:rPr>
        <w:t>;</w:t>
      </w:r>
      <w:r w:rsidR="004631ED">
        <w:rPr>
          <w:lang w:val="en-AU"/>
        </w:rPr>
        <w:t xml:space="preserve"> receive </w:t>
      </w:r>
      <w:r w:rsidR="00A06FE0">
        <w:rPr>
          <w:lang w:val="en-AU"/>
        </w:rPr>
        <w:t>money from other than its owning government</w:t>
      </w:r>
      <w:r w:rsidR="004631ED">
        <w:rPr>
          <w:lang w:val="en-AU"/>
        </w:rPr>
        <w:t>.</w:t>
      </w:r>
      <w:r>
        <w:rPr>
          <w:lang w:val="en-AU"/>
        </w:rPr>
        <w:t xml:space="preserve"> </w:t>
      </w:r>
      <w:r w:rsidR="003B3FC3">
        <w:rPr>
          <w:lang w:val="en-AU"/>
        </w:rPr>
        <w:t xml:space="preserve"> It</w:t>
      </w:r>
      <w:r w:rsidR="001F3516">
        <w:rPr>
          <w:lang w:val="en-AU"/>
        </w:rPr>
        <w:t xml:space="preserve"> is about</w:t>
      </w:r>
      <w:r w:rsidR="006E1FBB">
        <w:rPr>
          <w:lang w:val="en-AU"/>
        </w:rPr>
        <w:t xml:space="preserve"> </w:t>
      </w:r>
      <w:r w:rsidR="005330B1">
        <w:rPr>
          <w:lang w:val="en-AU"/>
        </w:rPr>
        <w:t xml:space="preserve">organisations involved in </w:t>
      </w:r>
      <w:r w:rsidR="001F3516">
        <w:rPr>
          <w:lang w:val="en-AU"/>
        </w:rPr>
        <w:t xml:space="preserve">business.  </w:t>
      </w:r>
      <w:r w:rsidR="004631ED">
        <w:rPr>
          <w:lang w:val="en-AU"/>
        </w:rPr>
        <w:t>T</w:t>
      </w:r>
      <w:r w:rsidR="003B3FC3">
        <w:rPr>
          <w:lang w:val="en-AU"/>
        </w:rPr>
        <w:t>o limit</w:t>
      </w:r>
      <w:r>
        <w:rPr>
          <w:lang w:val="en-AU"/>
        </w:rPr>
        <w:t xml:space="preserve"> </w:t>
      </w:r>
      <w:r w:rsidR="006E1FBB">
        <w:rPr>
          <w:lang w:val="en-AU"/>
        </w:rPr>
        <w:t xml:space="preserve">government </w:t>
      </w:r>
      <w:r>
        <w:rPr>
          <w:lang w:val="en-AU"/>
        </w:rPr>
        <w:t>financial liabilitie</w:t>
      </w:r>
      <w:r w:rsidR="006E1FBB">
        <w:rPr>
          <w:lang w:val="en-AU"/>
        </w:rPr>
        <w:t>s</w:t>
      </w:r>
      <w:r w:rsidR="001F3516">
        <w:rPr>
          <w:lang w:val="en-AU"/>
        </w:rPr>
        <w:t xml:space="preserve"> such businesses</w:t>
      </w:r>
      <w:r w:rsidR="004631ED">
        <w:rPr>
          <w:lang w:val="en-AU"/>
        </w:rPr>
        <w:t xml:space="preserve"> </w:t>
      </w:r>
      <w:r>
        <w:rPr>
          <w:lang w:val="en-AU"/>
        </w:rPr>
        <w:t xml:space="preserve">hold money on their own account.  </w:t>
      </w:r>
      <w:r w:rsidR="003B3FC3">
        <w:rPr>
          <w:lang w:val="en-AU"/>
        </w:rPr>
        <w:t>B</w:t>
      </w:r>
      <w:r w:rsidR="00DD47CE">
        <w:rPr>
          <w:lang w:val="en-AU"/>
        </w:rPr>
        <w:t>oard members should not represent the government</w:t>
      </w:r>
      <w:r w:rsidR="004631ED">
        <w:rPr>
          <w:lang w:val="en-AU"/>
        </w:rPr>
        <w:t xml:space="preserve">.  </w:t>
      </w:r>
      <w:r w:rsidR="003B3FC3">
        <w:rPr>
          <w:lang w:val="en-AU"/>
        </w:rPr>
        <w:t>T</w:t>
      </w:r>
      <w:r w:rsidR="004631ED">
        <w:rPr>
          <w:lang w:val="en-AU"/>
        </w:rPr>
        <w:t>herefore the board</w:t>
      </w:r>
      <w:r w:rsidR="003B3FC3">
        <w:rPr>
          <w:lang w:val="en-AU"/>
        </w:rPr>
        <w:t>,</w:t>
      </w:r>
      <w:r w:rsidR="004631ED">
        <w:rPr>
          <w:lang w:val="en-AU"/>
        </w:rPr>
        <w:t xml:space="preserve"> rather than government</w:t>
      </w:r>
      <w:r w:rsidR="003B3FC3">
        <w:rPr>
          <w:lang w:val="en-AU"/>
        </w:rPr>
        <w:t>,</w:t>
      </w:r>
      <w:r w:rsidR="00DD47CE">
        <w:rPr>
          <w:lang w:val="en-AU"/>
        </w:rPr>
        <w:t xml:space="preserve"> appoint</w:t>
      </w:r>
      <w:r w:rsidR="00DD3405">
        <w:rPr>
          <w:lang w:val="en-AU"/>
        </w:rPr>
        <w:t>s</w:t>
      </w:r>
      <w:r w:rsidR="00DD47CE">
        <w:rPr>
          <w:lang w:val="en-AU"/>
        </w:rPr>
        <w:t xml:space="preserve"> management.  </w:t>
      </w:r>
      <w:r w:rsidR="001F3516">
        <w:rPr>
          <w:lang w:val="en-AU"/>
        </w:rPr>
        <w:t>Let managers manage.</w:t>
      </w:r>
    </w:p>
    <w:p w:rsidR="00670AA1" w:rsidRDefault="00670AA1" w:rsidP="00670AA1">
      <w:pPr>
        <w:spacing w:after="0"/>
        <w:rPr>
          <w:lang w:val="en-AU"/>
        </w:rPr>
      </w:pPr>
    </w:p>
    <w:p w:rsidR="006E1603" w:rsidRDefault="00DD47CE" w:rsidP="00670AA1">
      <w:pPr>
        <w:spacing w:after="0"/>
        <w:rPr>
          <w:lang w:val="en-AU"/>
        </w:rPr>
      </w:pPr>
      <w:r>
        <w:rPr>
          <w:lang w:val="en-AU"/>
        </w:rPr>
        <w:t>The logic</w:t>
      </w:r>
      <w:r w:rsidR="003B3FC3">
        <w:rPr>
          <w:lang w:val="en-AU"/>
        </w:rPr>
        <w:t>:</w:t>
      </w:r>
      <w:r w:rsidR="0021352B">
        <w:rPr>
          <w:lang w:val="en-AU"/>
        </w:rPr>
        <w:t xml:space="preserve"> </w:t>
      </w:r>
      <w:r w:rsidR="000A03B9">
        <w:rPr>
          <w:lang w:val="en-AU"/>
        </w:rPr>
        <w:t>fu</w:t>
      </w:r>
      <w:r w:rsidR="001F3516">
        <w:rPr>
          <w:lang w:val="en-AU"/>
        </w:rPr>
        <w:t>nction determin</w:t>
      </w:r>
      <w:r w:rsidR="003B3FC3">
        <w:rPr>
          <w:lang w:val="en-AU"/>
        </w:rPr>
        <w:t>es</w:t>
      </w:r>
      <w:r w:rsidR="006E1FBB">
        <w:rPr>
          <w:lang w:val="en-AU"/>
        </w:rPr>
        <w:t xml:space="preserve"> </w:t>
      </w:r>
      <w:r w:rsidR="001F3516">
        <w:rPr>
          <w:lang w:val="en-AU"/>
        </w:rPr>
        <w:t>f</w:t>
      </w:r>
      <w:r w:rsidR="0021352B">
        <w:rPr>
          <w:lang w:val="en-AU"/>
        </w:rPr>
        <w:t>orm</w:t>
      </w:r>
      <w:r w:rsidR="006E1FBB">
        <w:rPr>
          <w:lang w:val="en-AU"/>
        </w:rPr>
        <w:t>.  A</w:t>
      </w:r>
      <w:r w:rsidR="0021352B">
        <w:rPr>
          <w:lang w:val="en-AU"/>
        </w:rPr>
        <w:t xml:space="preserve"> </w:t>
      </w:r>
      <w:r w:rsidR="001F3516">
        <w:rPr>
          <w:lang w:val="en-AU"/>
        </w:rPr>
        <w:t xml:space="preserve">business </w:t>
      </w:r>
      <w:r w:rsidR="00A541B2">
        <w:rPr>
          <w:lang w:val="en-AU"/>
        </w:rPr>
        <w:t xml:space="preserve">or trading </w:t>
      </w:r>
      <w:r w:rsidR="0021352B">
        <w:rPr>
          <w:lang w:val="en-AU"/>
        </w:rPr>
        <w:t>function</w:t>
      </w:r>
      <w:r>
        <w:rPr>
          <w:lang w:val="en-AU"/>
        </w:rPr>
        <w:t xml:space="preserve"> </w:t>
      </w:r>
      <w:r w:rsidR="0021352B">
        <w:rPr>
          <w:lang w:val="en-AU"/>
        </w:rPr>
        <w:t>lead</w:t>
      </w:r>
      <w:r w:rsidR="003B3FC3">
        <w:rPr>
          <w:lang w:val="en-AU"/>
        </w:rPr>
        <w:t xml:space="preserve">s </w:t>
      </w:r>
      <w:r w:rsidR="0021352B">
        <w:rPr>
          <w:lang w:val="en-AU"/>
        </w:rPr>
        <w:t xml:space="preserve">to </w:t>
      </w:r>
      <w:r>
        <w:rPr>
          <w:lang w:val="en-AU"/>
        </w:rPr>
        <w:t>financial distance from government</w:t>
      </w:r>
      <w:r w:rsidR="00E176BA">
        <w:rPr>
          <w:lang w:val="en-AU"/>
        </w:rPr>
        <w:t>;</w:t>
      </w:r>
      <w:r w:rsidR="00586E03">
        <w:rPr>
          <w:lang w:val="en-AU"/>
        </w:rPr>
        <w:t xml:space="preserve"> </w:t>
      </w:r>
      <w:r w:rsidR="00E176BA">
        <w:rPr>
          <w:lang w:val="en-AU"/>
        </w:rPr>
        <w:t xml:space="preserve">it needs </w:t>
      </w:r>
      <w:r w:rsidR="00253C0C">
        <w:rPr>
          <w:lang w:val="en-AU"/>
        </w:rPr>
        <w:t xml:space="preserve">a board </w:t>
      </w:r>
      <w:r w:rsidR="00586E03">
        <w:rPr>
          <w:lang w:val="en-AU"/>
        </w:rPr>
        <w:t>without</w:t>
      </w:r>
      <w:r w:rsidR="00253C0C">
        <w:rPr>
          <w:lang w:val="en-AU"/>
        </w:rPr>
        <w:t xml:space="preserve"> government representatives</w:t>
      </w:r>
      <w:r w:rsidR="003B3FC3">
        <w:rPr>
          <w:lang w:val="en-AU"/>
        </w:rPr>
        <w:t xml:space="preserve"> </w:t>
      </w:r>
      <w:r w:rsidR="00586E03">
        <w:rPr>
          <w:lang w:val="en-AU"/>
        </w:rPr>
        <w:t>that</w:t>
      </w:r>
      <w:r w:rsidR="003B3FC3">
        <w:rPr>
          <w:lang w:val="en-AU"/>
        </w:rPr>
        <w:t xml:space="preserve"> </w:t>
      </w:r>
      <w:r>
        <w:rPr>
          <w:lang w:val="en-AU"/>
        </w:rPr>
        <w:t>appoint</w:t>
      </w:r>
      <w:r w:rsidR="003B3FC3">
        <w:rPr>
          <w:lang w:val="en-AU"/>
        </w:rPr>
        <w:t xml:space="preserve">s </w:t>
      </w:r>
      <w:r w:rsidR="000A03B9">
        <w:rPr>
          <w:lang w:val="en-AU"/>
        </w:rPr>
        <w:t>management</w:t>
      </w:r>
      <w:r w:rsidR="003B3FC3">
        <w:rPr>
          <w:lang w:val="en-AU"/>
        </w:rPr>
        <w:t>.</w:t>
      </w:r>
    </w:p>
    <w:p w:rsidR="0021352B" w:rsidRDefault="0021352B" w:rsidP="00670AA1">
      <w:pPr>
        <w:spacing w:after="0"/>
        <w:rPr>
          <w:lang w:val="en-AU"/>
        </w:rPr>
      </w:pPr>
      <w:r>
        <w:rPr>
          <w:lang w:val="en-AU"/>
        </w:rPr>
        <w:t xml:space="preserve">In contrast, the </w:t>
      </w:r>
      <w:r w:rsidR="005576D0">
        <w:rPr>
          <w:lang w:val="en-AU"/>
        </w:rPr>
        <w:t>argument for the governance of</w:t>
      </w:r>
      <w:r>
        <w:rPr>
          <w:lang w:val="en-AU"/>
        </w:rPr>
        <w:t xml:space="preserve"> the new </w:t>
      </w:r>
      <w:r w:rsidR="005576D0">
        <w:rPr>
          <w:lang w:val="en-AU"/>
        </w:rPr>
        <w:t>I</w:t>
      </w:r>
      <w:r>
        <w:rPr>
          <w:lang w:val="en-AU"/>
        </w:rPr>
        <w:t xml:space="preserve">nfrastructure Australia </w:t>
      </w:r>
      <w:r w:rsidR="00907A1B">
        <w:rPr>
          <w:lang w:val="en-AU"/>
        </w:rPr>
        <w:t xml:space="preserve">seemed to </w:t>
      </w:r>
      <w:r w:rsidR="005576D0">
        <w:rPr>
          <w:lang w:val="en-AU"/>
        </w:rPr>
        <w:t xml:space="preserve">put this in </w:t>
      </w:r>
      <w:r>
        <w:rPr>
          <w:lang w:val="en-AU"/>
        </w:rPr>
        <w:t>reverse</w:t>
      </w:r>
      <w:r w:rsidR="001F3516">
        <w:rPr>
          <w:lang w:val="en-AU"/>
        </w:rPr>
        <w:t>:</w:t>
      </w:r>
      <w:r>
        <w:rPr>
          <w:lang w:val="en-AU"/>
        </w:rPr>
        <w:t xml:space="preserve"> </w:t>
      </w:r>
      <w:r w:rsidR="006E1FBB">
        <w:rPr>
          <w:lang w:val="en-AU"/>
        </w:rPr>
        <w:t xml:space="preserve">the </w:t>
      </w:r>
      <w:r>
        <w:rPr>
          <w:lang w:val="en-AU"/>
        </w:rPr>
        <w:t xml:space="preserve">board </w:t>
      </w:r>
      <w:r w:rsidR="006E1FBB">
        <w:rPr>
          <w:lang w:val="en-AU"/>
        </w:rPr>
        <w:t xml:space="preserve">should </w:t>
      </w:r>
      <w:r>
        <w:rPr>
          <w:lang w:val="en-AU"/>
        </w:rPr>
        <w:t xml:space="preserve">appoint </w:t>
      </w:r>
      <w:r w:rsidR="003B3FC3">
        <w:rPr>
          <w:lang w:val="en-AU"/>
        </w:rPr>
        <w:t xml:space="preserve">a </w:t>
      </w:r>
      <w:r w:rsidR="00C7029F">
        <w:rPr>
          <w:lang w:val="en-AU"/>
        </w:rPr>
        <w:t xml:space="preserve">new </w:t>
      </w:r>
      <w:r w:rsidR="000A03B9">
        <w:rPr>
          <w:lang w:val="en-AU"/>
        </w:rPr>
        <w:t>chief execu</w:t>
      </w:r>
      <w:r w:rsidR="00536E85">
        <w:rPr>
          <w:lang w:val="en-AU"/>
        </w:rPr>
        <w:t>t</w:t>
      </w:r>
      <w:r w:rsidR="000A03B9">
        <w:rPr>
          <w:lang w:val="en-AU"/>
        </w:rPr>
        <w:t>ive</w:t>
      </w:r>
      <w:r>
        <w:rPr>
          <w:lang w:val="en-AU"/>
        </w:rPr>
        <w:t xml:space="preserve">, </w:t>
      </w:r>
      <w:r w:rsidR="006E1FBB">
        <w:rPr>
          <w:lang w:val="en-AU"/>
        </w:rPr>
        <w:t xml:space="preserve">hence </w:t>
      </w:r>
      <w:r w:rsidR="00DD3405">
        <w:rPr>
          <w:lang w:val="en-AU"/>
        </w:rPr>
        <w:t>a</w:t>
      </w:r>
      <w:r w:rsidR="006E1FBB">
        <w:rPr>
          <w:lang w:val="en-AU"/>
        </w:rPr>
        <w:t xml:space="preserve"> need</w:t>
      </w:r>
      <w:r w:rsidR="003B3FC3">
        <w:rPr>
          <w:lang w:val="en-AU"/>
        </w:rPr>
        <w:t xml:space="preserve"> for</w:t>
      </w:r>
      <w:r>
        <w:rPr>
          <w:lang w:val="en-AU"/>
        </w:rPr>
        <w:t xml:space="preserve"> financial distance </w:t>
      </w:r>
      <w:r w:rsidR="006E1FBB">
        <w:rPr>
          <w:lang w:val="en-AU"/>
        </w:rPr>
        <w:t xml:space="preserve">from </w:t>
      </w:r>
      <w:r>
        <w:rPr>
          <w:lang w:val="en-AU"/>
        </w:rPr>
        <w:t>government</w:t>
      </w:r>
      <w:r w:rsidR="001F3516">
        <w:rPr>
          <w:lang w:val="en-AU"/>
        </w:rPr>
        <w:t xml:space="preserve">.  </w:t>
      </w:r>
      <w:r w:rsidR="00F82F5C">
        <w:rPr>
          <w:lang w:val="en-AU"/>
        </w:rPr>
        <w:t>But</w:t>
      </w:r>
      <w:r>
        <w:rPr>
          <w:lang w:val="en-AU"/>
        </w:rPr>
        <w:t xml:space="preserve"> </w:t>
      </w:r>
      <w:r w:rsidR="006E1FBB">
        <w:rPr>
          <w:lang w:val="en-AU"/>
        </w:rPr>
        <w:t>Infrastructure Australia</w:t>
      </w:r>
      <w:r w:rsidR="001F3516">
        <w:rPr>
          <w:lang w:val="en-AU"/>
        </w:rPr>
        <w:t xml:space="preserve"> </w:t>
      </w:r>
      <w:r w:rsidR="00DD3405">
        <w:rPr>
          <w:lang w:val="en-AU"/>
        </w:rPr>
        <w:t xml:space="preserve">is fully </w:t>
      </w:r>
      <w:r>
        <w:rPr>
          <w:lang w:val="en-AU"/>
        </w:rPr>
        <w:t xml:space="preserve">reliant on </w:t>
      </w:r>
      <w:r w:rsidR="00586E03">
        <w:rPr>
          <w:lang w:val="en-AU"/>
        </w:rPr>
        <w:t>Commonwealth</w:t>
      </w:r>
      <w:r>
        <w:rPr>
          <w:lang w:val="en-AU"/>
        </w:rPr>
        <w:t xml:space="preserve"> funding.  </w:t>
      </w:r>
      <w:r w:rsidR="00F82F5C">
        <w:rPr>
          <w:lang w:val="en-AU"/>
        </w:rPr>
        <w:t>Are you as c</w:t>
      </w:r>
      <w:r>
        <w:rPr>
          <w:lang w:val="en-AU"/>
        </w:rPr>
        <w:t>onfus</w:t>
      </w:r>
      <w:r w:rsidR="00DD3405">
        <w:rPr>
          <w:lang w:val="en-AU"/>
        </w:rPr>
        <w:t>ed</w:t>
      </w:r>
      <w:r w:rsidR="00F82F5C">
        <w:rPr>
          <w:lang w:val="en-AU"/>
        </w:rPr>
        <w:t xml:space="preserve"> as the author</w:t>
      </w:r>
      <w:r w:rsidR="000C16D8">
        <w:rPr>
          <w:lang w:val="en-AU"/>
        </w:rPr>
        <w:t xml:space="preserve"> yet</w:t>
      </w:r>
      <w:r w:rsidR="00DD3405">
        <w:rPr>
          <w:lang w:val="en-AU"/>
        </w:rPr>
        <w:t>?</w:t>
      </w:r>
      <w:r w:rsidR="00ED2DAB">
        <w:rPr>
          <w:lang w:val="en-AU"/>
        </w:rPr>
        <w:t xml:space="preserve">  </w:t>
      </w:r>
      <w:r>
        <w:rPr>
          <w:lang w:val="en-AU"/>
        </w:rPr>
        <w:t xml:space="preserve">   </w:t>
      </w:r>
    </w:p>
    <w:p w:rsidR="00670AA1" w:rsidRDefault="00670AA1" w:rsidP="00670AA1">
      <w:pPr>
        <w:spacing w:after="0"/>
        <w:rPr>
          <w:lang w:val="en-AU"/>
        </w:rPr>
      </w:pPr>
    </w:p>
    <w:p w:rsidR="00DD47CE" w:rsidRDefault="0082014E" w:rsidP="00670AA1">
      <w:pPr>
        <w:spacing w:after="0"/>
        <w:rPr>
          <w:lang w:val="en-AU"/>
        </w:rPr>
      </w:pPr>
      <w:r>
        <w:rPr>
          <w:lang w:val="en-AU"/>
        </w:rPr>
        <w:t>Th</w:t>
      </w:r>
      <w:r w:rsidR="00273FBE">
        <w:rPr>
          <w:lang w:val="en-AU"/>
        </w:rPr>
        <w:t>ese</w:t>
      </w:r>
      <w:r w:rsidR="006E1FBB">
        <w:rPr>
          <w:lang w:val="en-AU"/>
        </w:rPr>
        <w:t xml:space="preserve"> aspect</w:t>
      </w:r>
      <w:r w:rsidR="00273FBE">
        <w:rPr>
          <w:lang w:val="en-AU"/>
        </w:rPr>
        <w:t>s</w:t>
      </w:r>
      <w:r w:rsidR="006E1FBB">
        <w:rPr>
          <w:lang w:val="en-AU"/>
        </w:rPr>
        <w:t xml:space="preserve"> of governance </w:t>
      </w:r>
      <w:r w:rsidR="00273FBE">
        <w:rPr>
          <w:lang w:val="en-AU"/>
        </w:rPr>
        <w:t>for</w:t>
      </w:r>
      <w:r w:rsidR="006E1FBB">
        <w:rPr>
          <w:lang w:val="en-AU"/>
        </w:rPr>
        <w:t xml:space="preserve"> Infrastructure Australia w</w:t>
      </w:r>
      <w:r w:rsidR="00273FBE">
        <w:rPr>
          <w:lang w:val="en-AU"/>
        </w:rPr>
        <w:t>ere</w:t>
      </w:r>
      <w:r>
        <w:rPr>
          <w:lang w:val="en-AU"/>
        </w:rPr>
        <w:t xml:space="preserve"> </w:t>
      </w:r>
      <w:r w:rsidR="006E1FBB">
        <w:rPr>
          <w:lang w:val="en-AU"/>
        </w:rPr>
        <w:t xml:space="preserve">set out in the </w:t>
      </w:r>
      <w:r>
        <w:rPr>
          <w:lang w:val="en-AU"/>
        </w:rPr>
        <w:t>Coalition</w:t>
      </w:r>
      <w:r w:rsidR="005218FE">
        <w:rPr>
          <w:lang w:val="en-AU"/>
        </w:rPr>
        <w:t>’s</w:t>
      </w:r>
      <w:r>
        <w:rPr>
          <w:lang w:val="en-AU"/>
        </w:rPr>
        <w:t xml:space="preserve"> </w:t>
      </w:r>
      <w:r w:rsidR="006E1FBB">
        <w:rPr>
          <w:lang w:val="en-AU"/>
        </w:rPr>
        <w:t xml:space="preserve">2013 election </w:t>
      </w:r>
      <w:r>
        <w:rPr>
          <w:lang w:val="en-AU"/>
        </w:rPr>
        <w:t xml:space="preserve">Platform.  </w:t>
      </w:r>
      <w:r w:rsidR="002F43A8">
        <w:rPr>
          <w:lang w:val="en-AU"/>
        </w:rPr>
        <w:t>‘B</w:t>
      </w:r>
      <w:r>
        <w:rPr>
          <w:lang w:val="en-AU"/>
        </w:rPr>
        <w:t>oards</w:t>
      </w:r>
      <w:r w:rsidR="002F43A8">
        <w:rPr>
          <w:lang w:val="en-AU"/>
        </w:rPr>
        <w:t>’</w:t>
      </w:r>
      <w:r w:rsidR="005330B1">
        <w:rPr>
          <w:lang w:val="en-AU"/>
        </w:rPr>
        <w:t xml:space="preserve"> and</w:t>
      </w:r>
      <w:r>
        <w:rPr>
          <w:lang w:val="en-AU"/>
        </w:rPr>
        <w:t xml:space="preserve"> </w:t>
      </w:r>
      <w:r w:rsidR="002F43A8">
        <w:rPr>
          <w:lang w:val="en-AU"/>
        </w:rPr>
        <w:t>‘</w:t>
      </w:r>
      <w:r w:rsidR="00273FBE">
        <w:rPr>
          <w:lang w:val="en-AU"/>
        </w:rPr>
        <w:t>government</w:t>
      </w:r>
      <w:r w:rsidR="00362F48">
        <w:rPr>
          <w:lang w:val="en-AU"/>
        </w:rPr>
        <w:t>-as-</w:t>
      </w:r>
      <w:r w:rsidR="00273FBE">
        <w:rPr>
          <w:lang w:val="en-AU"/>
        </w:rPr>
        <w:t>business</w:t>
      </w:r>
      <w:r w:rsidR="002F43A8">
        <w:rPr>
          <w:lang w:val="en-AU"/>
        </w:rPr>
        <w:t>’</w:t>
      </w:r>
      <w:r w:rsidR="00273FBE">
        <w:rPr>
          <w:lang w:val="en-AU"/>
        </w:rPr>
        <w:t xml:space="preserve"> </w:t>
      </w:r>
      <w:r w:rsidR="005330B1">
        <w:rPr>
          <w:lang w:val="en-AU"/>
        </w:rPr>
        <w:t xml:space="preserve">might be as attractive to conservatives as their </w:t>
      </w:r>
      <w:r>
        <w:rPr>
          <w:lang w:val="en-AU"/>
        </w:rPr>
        <w:t xml:space="preserve">dislike of </w:t>
      </w:r>
      <w:r w:rsidR="005330B1">
        <w:rPr>
          <w:lang w:val="en-AU"/>
        </w:rPr>
        <w:t xml:space="preserve">the </w:t>
      </w:r>
      <w:r w:rsidR="005531CC">
        <w:rPr>
          <w:lang w:val="en-AU"/>
        </w:rPr>
        <w:t>big government</w:t>
      </w:r>
      <w:r>
        <w:rPr>
          <w:lang w:val="en-AU"/>
        </w:rPr>
        <w:t xml:space="preserve">.  But </w:t>
      </w:r>
      <w:r w:rsidR="003A49E4">
        <w:rPr>
          <w:lang w:val="en-AU"/>
        </w:rPr>
        <w:t>to the author it seems</w:t>
      </w:r>
      <w:r w:rsidR="00273FBE">
        <w:rPr>
          <w:lang w:val="en-AU"/>
        </w:rPr>
        <w:t xml:space="preserve"> odd that the platform included </w:t>
      </w:r>
      <w:r w:rsidR="000C16D8">
        <w:rPr>
          <w:lang w:val="en-AU"/>
        </w:rPr>
        <w:t xml:space="preserve">this </w:t>
      </w:r>
      <w:r w:rsidR="00C7029F">
        <w:rPr>
          <w:lang w:val="en-AU"/>
        </w:rPr>
        <w:t>detail</w:t>
      </w:r>
      <w:r w:rsidR="000C16D8">
        <w:rPr>
          <w:lang w:val="en-AU"/>
        </w:rPr>
        <w:t>,</w:t>
      </w:r>
      <w:r>
        <w:rPr>
          <w:lang w:val="en-AU"/>
        </w:rPr>
        <w:t xml:space="preserve"> of no obvious electoral </w:t>
      </w:r>
      <w:r w:rsidR="00E91A3D">
        <w:rPr>
          <w:lang w:val="en-AU"/>
        </w:rPr>
        <w:t>appeal</w:t>
      </w:r>
      <w:r w:rsidR="000C16D8">
        <w:rPr>
          <w:lang w:val="en-AU"/>
        </w:rPr>
        <w:t xml:space="preserve">, </w:t>
      </w:r>
      <w:r w:rsidR="005531CC">
        <w:rPr>
          <w:lang w:val="en-AU"/>
        </w:rPr>
        <w:t>applying an accepted idea in an unusual context</w:t>
      </w:r>
      <w:r>
        <w:rPr>
          <w:lang w:val="en-AU"/>
        </w:rPr>
        <w:t>.</w:t>
      </w:r>
      <w:r w:rsidR="00DD3405">
        <w:rPr>
          <w:lang w:val="en-AU"/>
        </w:rPr>
        <w:t xml:space="preserve">  Why venture beyond vote winning promises of new roads, a new organisation, more rigour </w:t>
      </w:r>
      <w:r w:rsidR="008F2244">
        <w:rPr>
          <w:lang w:val="en-AU"/>
        </w:rPr>
        <w:t>etc.</w:t>
      </w:r>
      <w:r w:rsidR="00DD3405">
        <w:rPr>
          <w:lang w:val="en-AU"/>
        </w:rPr>
        <w:t>?</w:t>
      </w:r>
      <w:r w:rsidR="006A3584">
        <w:rPr>
          <w:rStyle w:val="EndnoteReference"/>
          <w:lang w:val="en-AU"/>
        </w:rPr>
        <w:endnoteReference w:id="21"/>
      </w:r>
    </w:p>
    <w:p w:rsidR="00670AA1" w:rsidRDefault="00670AA1" w:rsidP="00670AA1">
      <w:pPr>
        <w:spacing w:after="0"/>
        <w:rPr>
          <w:lang w:val="en-AU"/>
        </w:rPr>
      </w:pPr>
    </w:p>
    <w:p w:rsidR="003F26F7" w:rsidRDefault="003F26F7" w:rsidP="00670AA1">
      <w:pPr>
        <w:spacing w:after="0"/>
        <w:rPr>
          <w:lang w:val="en-AU"/>
        </w:rPr>
      </w:pPr>
      <w:r>
        <w:rPr>
          <w:lang w:val="en-AU"/>
        </w:rPr>
        <w:t xml:space="preserve">It may be that organisational form </w:t>
      </w:r>
      <w:r w:rsidR="00907A1B">
        <w:rPr>
          <w:lang w:val="en-AU"/>
        </w:rPr>
        <w:t xml:space="preserve">does </w:t>
      </w:r>
      <w:r>
        <w:rPr>
          <w:lang w:val="en-AU"/>
        </w:rPr>
        <w:t xml:space="preserve">match function in this case, but the explanation has not been publicly made, or at least understood by this author.  </w:t>
      </w:r>
    </w:p>
    <w:p w:rsidR="00670AA1" w:rsidRDefault="00670AA1" w:rsidP="00670AA1">
      <w:pPr>
        <w:spacing w:after="0"/>
        <w:rPr>
          <w:lang w:val="en-AU"/>
        </w:rPr>
      </w:pPr>
    </w:p>
    <w:p w:rsidR="00670AA1" w:rsidRPr="00670AA1" w:rsidRDefault="008C69AF" w:rsidP="00670AA1">
      <w:pPr>
        <w:pStyle w:val="Heading2"/>
        <w:spacing w:before="0"/>
        <w:rPr>
          <w:lang w:val="en-AU"/>
        </w:rPr>
      </w:pPr>
      <w:r>
        <w:rPr>
          <w:lang w:val="en-AU"/>
        </w:rPr>
        <w:t xml:space="preserve">The </w:t>
      </w:r>
      <w:r w:rsidR="00A46D2F">
        <w:rPr>
          <w:lang w:val="en-AU"/>
        </w:rPr>
        <w:t xml:space="preserve">missed </w:t>
      </w:r>
      <w:r>
        <w:rPr>
          <w:lang w:val="en-AU"/>
        </w:rPr>
        <w:t>link</w:t>
      </w:r>
      <w:r w:rsidR="004801FF">
        <w:rPr>
          <w:lang w:val="en-AU"/>
        </w:rPr>
        <w:t>s</w:t>
      </w:r>
    </w:p>
    <w:p w:rsidR="007157A9" w:rsidRPr="004A595A" w:rsidRDefault="007157A9" w:rsidP="00670AA1">
      <w:pPr>
        <w:pStyle w:val="Heading2"/>
        <w:spacing w:before="0"/>
        <w:rPr>
          <w:sz w:val="24"/>
          <w:szCs w:val="24"/>
          <w:lang w:val="en-AU"/>
        </w:rPr>
      </w:pPr>
      <w:r w:rsidRPr="004A595A">
        <w:rPr>
          <w:i/>
          <w:sz w:val="24"/>
          <w:szCs w:val="24"/>
          <w:lang w:val="en-AU"/>
        </w:rPr>
        <w:t>‘The main purpose of studying economics is to avoid being fooled by economists’</w:t>
      </w:r>
      <w:r w:rsidR="00907A1B">
        <w:rPr>
          <w:i/>
          <w:sz w:val="24"/>
          <w:szCs w:val="24"/>
          <w:lang w:val="en-AU"/>
        </w:rPr>
        <w:t>;</w:t>
      </w:r>
      <w:r w:rsidR="004A595A">
        <w:rPr>
          <w:i/>
          <w:sz w:val="24"/>
          <w:szCs w:val="24"/>
          <w:lang w:val="en-AU"/>
        </w:rPr>
        <w:t xml:space="preserve"> </w:t>
      </w:r>
      <w:r w:rsidR="00B07A6E" w:rsidRPr="004A595A">
        <w:rPr>
          <w:sz w:val="24"/>
          <w:szCs w:val="24"/>
          <w:lang w:val="en-AU"/>
        </w:rPr>
        <w:t>Joa</w:t>
      </w:r>
      <w:r w:rsidRPr="004A595A">
        <w:rPr>
          <w:sz w:val="24"/>
          <w:szCs w:val="24"/>
          <w:lang w:val="en-AU"/>
        </w:rPr>
        <w:t>n Robinson</w:t>
      </w:r>
    </w:p>
    <w:p w:rsidR="008C0FCB" w:rsidRDefault="008C0FCB" w:rsidP="00670AA1">
      <w:pPr>
        <w:spacing w:after="0"/>
        <w:rPr>
          <w:lang w:val="en-AU"/>
        </w:rPr>
      </w:pPr>
    </w:p>
    <w:p w:rsidR="001F3516" w:rsidRDefault="000C16D8" w:rsidP="00670AA1">
      <w:pPr>
        <w:spacing w:after="0"/>
        <w:rPr>
          <w:lang w:val="en-AU"/>
        </w:rPr>
      </w:pPr>
      <w:r>
        <w:rPr>
          <w:lang w:val="en-AU"/>
        </w:rPr>
        <w:t>G</w:t>
      </w:r>
      <w:r w:rsidR="001F3516">
        <w:rPr>
          <w:lang w:val="en-AU"/>
        </w:rPr>
        <w:t>overnance should have an internal logic or coherence</w:t>
      </w:r>
      <w:r w:rsidR="00607377">
        <w:rPr>
          <w:lang w:val="en-AU"/>
        </w:rPr>
        <w:t>.  A</w:t>
      </w:r>
      <w:r w:rsidR="001F3516">
        <w:rPr>
          <w:lang w:val="en-AU"/>
        </w:rPr>
        <w:t xml:space="preserve"> failure or weakness will manifest in a number </w:t>
      </w:r>
      <w:r w:rsidR="00E176BA">
        <w:rPr>
          <w:lang w:val="en-AU"/>
        </w:rPr>
        <w:t>of problems</w:t>
      </w:r>
      <w:r w:rsidR="00757A74">
        <w:rPr>
          <w:lang w:val="en-AU"/>
        </w:rPr>
        <w:t xml:space="preserve"> as</w:t>
      </w:r>
      <w:r w:rsidR="00E176BA">
        <w:rPr>
          <w:lang w:val="en-AU"/>
        </w:rPr>
        <w:t xml:space="preserve"> can be seen in </w:t>
      </w:r>
      <w:r w:rsidR="001F3516">
        <w:rPr>
          <w:lang w:val="en-AU"/>
        </w:rPr>
        <w:t>the above examples.</w:t>
      </w:r>
      <w:r w:rsidR="00757A74">
        <w:rPr>
          <w:lang w:val="en-AU"/>
        </w:rPr>
        <w:t xml:space="preserve">  </w:t>
      </w:r>
      <w:r w:rsidR="00B41731">
        <w:rPr>
          <w:lang w:val="en-AU"/>
        </w:rPr>
        <w:t>Governance problems</w:t>
      </w:r>
      <w:r w:rsidR="00757A74">
        <w:rPr>
          <w:lang w:val="en-AU"/>
        </w:rPr>
        <w:t xml:space="preserve"> cause instability in the organisation and industry </w:t>
      </w:r>
      <w:r w:rsidR="00B41731">
        <w:rPr>
          <w:lang w:val="en-AU"/>
        </w:rPr>
        <w:t xml:space="preserve">and will </w:t>
      </w:r>
      <w:r w:rsidR="00757A74">
        <w:rPr>
          <w:lang w:val="en-AU"/>
        </w:rPr>
        <w:t>impact on investment and employment.</w:t>
      </w:r>
    </w:p>
    <w:p w:rsidR="00670AA1" w:rsidRDefault="00670AA1" w:rsidP="00670AA1">
      <w:pPr>
        <w:spacing w:after="0"/>
        <w:rPr>
          <w:lang w:val="en-AU"/>
        </w:rPr>
      </w:pPr>
    </w:p>
    <w:p w:rsidR="00142D06" w:rsidRDefault="0021447C" w:rsidP="00670AA1">
      <w:pPr>
        <w:spacing w:after="0"/>
        <w:rPr>
          <w:lang w:val="en-AU"/>
        </w:rPr>
      </w:pPr>
      <w:r>
        <w:rPr>
          <w:lang w:val="en-AU"/>
        </w:rPr>
        <w:lastRenderedPageBreak/>
        <w:t>In hindsight it seems inevitable that Sydney’s main railway would be ‘decorporatised</w:t>
      </w:r>
      <w:r w:rsidR="00CA577E">
        <w:rPr>
          <w:lang w:val="en-AU"/>
        </w:rPr>
        <w:t>’,</w:t>
      </w:r>
      <w:r>
        <w:rPr>
          <w:lang w:val="en-AU"/>
        </w:rPr>
        <w:t xml:space="preserve"> and </w:t>
      </w:r>
      <w:r w:rsidR="000B6AF2">
        <w:rPr>
          <w:lang w:val="en-AU"/>
        </w:rPr>
        <w:t xml:space="preserve">its </w:t>
      </w:r>
      <w:bookmarkStart w:id="0" w:name="_GoBack"/>
      <w:bookmarkEnd w:id="0"/>
      <w:r>
        <w:rPr>
          <w:lang w:val="en-AU"/>
        </w:rPr>
        <w:t>ferries ‘privatised’.  Gauge standardisation involves new tracks and financial cost</w:t>
      </w:r>
      <w:r w:rsidR="00496A04">
        <w:rPr>
          <w:lang w:val="en-AU"/>
        </w:rPr>
        <w:t>;</w:t>
      </w:r>
      <w:r>
        <w:rPr>
          <w:lang w:val="en-AU"/>
        </w:rPr>
        <w:t xml:space="preserve"> if there is an argument it is about money not regulation.  </w:t>
      </w:r>
      <w:r w:rsidR="00700FDA">
        <w:rPr>
          <w:lang w:val="en-AU"/>
        </w:rPr>
        <w:t xml:space="preserve">If </w:t>
      </w:r>
      <w:r w:rsidR="005330B1">
        <w:rPr>
          <w:lang w:val="en-AU"/>
        </w:rPr>
        <w:t>a</w:t>
      </w:r>
      <w:r w:rsidR="00CA577E">
        <w:rPr>
          <w:lang w:val="en-AU"/>
        </w:rPr>
        <w:t>n organisation</w:t>
      </w:r>
      <w:r w:rsidR="001F3516">
        <w:rPr>
          <w:lang w:val="en-AU"/>
        </w:rPr>
        <w:t xml:space="preserve"> </w:t>
      </w:r>
      <w:r w:rsidR="00A06FE0">
        <w:rPr>
          <w:lang w:val="en-AU"/>
        </w:rPr>
        <w:t>i</w:t>
      </w:r>
      <w:r w:rsidR="00700FDA">
        <w:rPr>
          <w:lang w:val="en-AU"/>
        </w:rPr>
        <w:t xml:space="preserve">s </w:t>
      </w:r>
      <w:r w:rsidR="001F3516">
        <w:rPr>
          <w:lang w:val="en-AU"/>
        </w:rPr>
        <w:t xml:space="preserve">to </w:t>
      </w:r>
      <w:r>
        <w:rPr>
          <w:lang w:val="en-AU"/>
        </w:rPr>
        <w:t xml:space="preserve">be financially independent from government </w:t>
      </w:r>
      <w:r w:rsidR="00A06FE0">
        <w:rPr>
          <w:lang w:val="en-AU"/>
        </w:rPr>
        <w:t>it may</w:t>
      </w:r>
      <w:r w:rsidR="00A541B2">
        <w:rPr>
          <w:lang w:val="en-AU"/>
        </w:rPr>
        <w:t xml:space="preserve"> need to trade </w:t>
      </w:r>
      <w:r w:rsidR="006C7934">
        <w:rPr>
          <w:lang w:val="en-AU"/>
        </w:rPr>
        <w:t>i.e.</w:t>
      </w:r>
      <w:r w:rsidR="00A541B2">
        <w:rPr>
          <w:lang w:val="en-AU"/>
        </w:rPr>
        <w:t xml:space="preserve"> sell products</w:t>
      </w:r>
      <w:r w:rsidR="00E91A3D">
        <w:rPr>
          <w:lang w:val="en-AU"/>
        </w:rPr>
        <w:t xml:space="preserve"> thereby </w:t>
      </w:r>
      <w:r w:rsidR="000C16D8">
        <w:rPr>
          <w:lang w:val="en-AU"/>
        </w:rPr>
        <w:t>be</w:t>
      </w:r>
      <w:r w:rsidR="00A06FE0">
        <w:rPr>
          <w:lang w:val="en-AU"/>
        </w:rPr>
        <w:t>com</w:t>
      </w:r>
      <w:r w:rsidR="000C16D8">
        <w:rPr>
          <w:lang w:val="en-AU"/>
        </w:rPr>
        <w:t xml:space="preserve">ing </w:t>
      </w:r>
      <w:r w:rsidR="00E91A3D">
        <w:rPr>
          <w:lang w:val="en-AU"/>
        </w:rPr>
        <w:t>dependen</w:t>
      </w:r>
      <w:r w:rsidR="000C16D8">
        <w:rPr>
          <w:lang w:val="en-AU"/>
        </w:rPr>
        <w:t>t on</w:t>
      </w:r>
      <w:r w:rsidR="00E91A3D">
        <w:rPr>
          <w:lang w:val="en-AU"/>
        </w:rPr>
        <w:t xml:space="preserve"> customers</w:t>
      </w:r>
      <w:r w:rsidR="00A06FE0">
        <w:rPr>
          <w:lang w:val="en-AU"/>
        </w:rPr>
        <w:t>.</w:t>
      </w:r>
      <w:r w:rsidR="007B4974">
        <w:rPr>
          <w:lang w:val="en-AU"/>
        </w:rPr>
        <w:t xml:space="preserve"> </w:t>
      </w:r>
      <w:r w:rsidR="00CA577E">
        <w:rPr>
          <w:lang w:val="en-AU"/>
        </w:rPr>
        <w:t xml:space="preserve"> </w:t>
      </w:r>
    </w:p>
    <w:p w:rsidR="00670AA1" w:rsidRDefault="00670AA1" w:rsidP="00670AA1">
      <w:pPr>
        <w:spacing w:after="0"/>
        <w:rPr>
          <w:lang w:val="en-AU"/>
        </w:rPr>
      </w:pPr>
    </w:p>
    <w:p w:rsidR="00ED2DAB" w:rsidRDefault="005330B1" w:rsidP="00670AA1">
      <w:pPr>
        <w:spacing w:after="0"/>
        <w:rPr>
          <w:lang w:val="en-AU"/>
        </w:rPr>
      </w:pPr>
      <w:r>
        <w:rPr>
          <w:lang w:val="en-AU"/>
        </w:rPr>
        <w:t>C</w:t>
      </w:r>
      <w:r w:rsidR="00142D06">
        <w:rPr>
          <w:lang w:val="en-AU"/>
        </w:rPr>
        <w:t xml:space="preserve">oncepts of </w:t>
      </w:r>
      <w:r w:rsidR="00CA577E">
        <w:rPr>
          <w:lang w:val="en-AU"/>
        </w:rPr>
        <w:t xml:space="preserve">industry structure, organisational form and </w:t>
      </w:r>
      <w:r w:rsidR="00142D06">
        <w:rPr>
          <w:lang w:val="en-AU"/>
        </w:rPr>
        <w:t>independence</w:t>
      </w:r>
      <w:r w:rsidR="00CA577E">
        <w:rPr>
          <w:lang w:val="en-AU"/>
        </w:rPr>
        <w:t xml:space="preserve"> </w:t>
      </w:r>
      <w:r w:rsidR="00142D06">
        <w:rPr>
          <w:lang w:val="en-AU"/>
        </w:rPr>
        <w:t xml:space="preserve">are </w:t>
      </w:r>
      <w:r w:rsidR="00A46D2F">
        <w:rPr>
          <w:lang w:val="en-AU"/>
        </w:rPr>
        <w:t>linked</w:t>
      </w:r>
      <w:r w:rsidR="00ED2DAB">
        <w:rPr>
          <w:lang w:val="en-AU"/>
        </w:rPr>
        <w:t xml:space="preserve">.  </w:t>
      </w:r>
      <w:r w:rsidR="00434A17">
        <w:rPr>
          <w:lang w:val="en-AU"/>
        </w:rPr>
        <w:t xml:space="preserve">Understanding this is </w:t>
      </w:r>
      <w:r w:rsidR="00E176BA">
        <w:rPr>
          <w:lang w:val="en-AU"/>
        </w:rPr>
        <w:t>necessary for</w:t>
      </w:r>
      <w:r w:rsidR="00434A17">
        <w:rPr>
          <w:lang w:val="en-AU"/>
        </w:rPr>
        <w:t xml:space="preserve"> proper governance</w:t>
      </w:r>
      <w:r w:rsidR="00ED2DAB">
        <w:rPr>
          <w:lang w:val="en-AU"/>
        </w:rPr>
        <w:t>.</w:t>
      </w:r>
      <w:r w:rsidR="00E176BA">
        <w:rPr>
          <w:lang w:val="en-AU"/>
        </w:rPr>
        <w:t xml:space="preserve">  </w:t>
      </w:r>
    </w:p>
    <w:p w:rsidR="00670AA1" w:rsidRDefault="00670AA1" w:rsidP="00670AA1">
      <w:pPr>
        <w:spacing w:after="0"/>
        <w:rPr>
          <w:lang w:val="en-AU"/>
        </w:rPr>
      </w:pPr>
    </w:p>
    <w:p w:rsidR="00E42512" w:rsidRDefault="00ED2DAB" w:rsidP="00670AA1">
      <w:pPr>
        <w:spacing w:after="0"/>
        <w:rPr>
          <w:lang w:val="en-AU"/>
        </w:rPr>
      </w:pPr>
      <w:r>
        <w:rPr>
          <w:lang w:val="en-AU"/>
        </w:rPr>
        <w:t xml:space="preserve">What of the </w:t>
      </w:r>
      <w:r w:rsidR="000C16D8">
        <w:rPr>
          <w:lang w:val="en-AU"/>
        </w:rPr>
        <w:t xml:space="preserve">model </w:t>
      </w:r>
      <w:r w:rsidR="008A56B2">
        <w:rPr>
          <w:lang w:val="en-AU"/>
        </w:rPr>
        <w:t xml:space="preserve">for advisory organisations </w:t>
      </w:r>
      <w:r w:rsidR="000C16D8">
        <w:rPr>
          <w:lang w:val="en-AU"/>
        </w:rPr>
        <w:t xml:space="preserve">such as some claim </w:t>
      </w:r>
      <w:r w:rsidR="00142D06">
        <w:rPr>
          <w:lang w:val="en-AU"/>
        </w:rPr>
        <w:t>the National Transport Commission</w:t>
      </w:r>
      <w:r w:rsidR="000C16D8">
        <w:rPr>
          <w:lang w:val="en-AU"/>
        </w:rPr>
        <w:t xml:space="preserve"> to be</w:t>
      </w:r>
      <w:r w:rsidR="00434A17">
        <w:rPr>
          <w:lang w:val="en-AU"/>
        </w:rPr>
        <w:t>?</w:t>
      </w:r>
      <w:r w:rsidR="00142D06">
        <w:rPr>
          <w:lang w:val="en-AU"/>
        </w:rPr>
        <w:t xml:space="preserve">  </w:t>
      </w:r>
      <w:r w:rsidR="00434A17">
        <w:rPr>
          <w:lang w:val="en-AU"/>
        </w:rPr>
        <w:t xml:space="preserve">This </w:t>
      </w:r>
      <w:r w:rsidR="00C43AC0">
        <w:rPr>
          <w:lang w:val="en-AU"/>
        </w:rPr>
        <w:t>claim</w:t>
      </w:r>
      <w:r w:rsidR="00434A17">
        <w:rPr>
          <w:lang w:val="en-AU"/>
        </w:rPr>
        <w:t xml:space="preserve"> </w:t>
      </w:r>
      <w:r w:rsidR="00142D06">
        <w:rPr>
          <w:lang w:val="en-AU"/>
        </w:rPr>
        <w:t>is telling</w:t>
      </w:r>
      <w:r w:rsidR="00700FDA">
        <w:rPr>
          <w:lang w:val="en-AU"/>
        </w:rPr>
        <w:t>,</w:t>
      </w:r>
      <w:r w:rsidR="00C43AC0">
        <w:rPr>
          <w:lang w:val="en-AU"/>
        </w:rPr>
        <w:t xml:space="preserve"> </w:t>
      </w:r>
      <w:r w:rsidR="00CA577E">
        <w:rPr>
          <w:lang w:val="en-AU"/>
        </w:rPr>
        <w:t>unhappily</w:t>
      </w:r>
      <w:r w:rsidR="00142D06">
        <w:rPr>
          <w:lang w:val="en-AU"/>
        </w:rPr>
        <w:t xml:space="preserve">.  </w:t>
      </w:r>
      <w:r w:rsidR="00434A17">
        <w:rPr>
          <w:lang w:val="en-AU"/>
        </w:rPr>
        <w:t>The most recent review of the Commission</w:t>
      </w:r>
      <w:r w:rsidR="00700FDA">
        <w:rPr>
          <w:lang w:val="en-AU"/>
        </w:rPr>
        <w:t xml:space="preserve">, </w:t>
      </w:r>
      <w:r w:rsidR="00CA577E">
        <w:rPr>
          <w:lang w:val="en-AU"/>
        </w:rPr>
        <w:t>interesting</w:t>
      </w:r>
      <w:r w:rsidR="00700FDA">
        <w:rPr>
          <w:lang w:val="en-AU"/>
        </w:rPr>
        <w:t xml:space="preserve"> in itself,</w:t>
      </w:r>
      <w:r w:rsidR="00434A17">
        <w:rPr>
          <w:lang w:val="en-AU"/>
        </w:rPr>
        <w:t xml:space="preserve"> acknowledged its current</w:t>
      </w:r>
      <w:r w:rsidR="00142D06">
        <w:rPr>
          <w:lang w:val="en-AU"/>
        </w:rPr>
        <w:t xml:space="preserve"> governance </w:t>
      </w:r>
      <w:r w:rsidR="00496A04">
        <w:rPr>
          <w:lang w:val="en-AU"/>
        </w:rPr>
        <w:t>a</w:t>
      </w:r>
      <w:r w:rsidR="00142D06">
        <w:rPr>
          <w:lang w:val="en-AU"/>
        </w:rPr>
        <w:t xml:space="preserve">s </w:t>
      </w:r>
      <w:r w:rsidR="00B41731">
        <w:rPr>
          <w:lang w:val="en-AU"/>
        </w:rPr>
        <w:t xml:space="preserve">not </w:t>
      </w:r>
      <w:r w:rsidR="00142D06">
        <w:rPr>
          <w:lang w:val="en-AU"/>
        </w:rPr>
        <w:t>optimal</w:t>
      </w:r>
      <w:r w:rsidR="00E42512">
        <w:rPr>
          <w:lang w:val="en-AU"/>
        </w:rPr>
        <w:t xml:space="preserve">.  </w:t>
      </w:r>
      <w:r w:rsidR="00434A17">
        <w:rPr>
          <w:lang w:val="en-AU"/>
        </w:rPr>
        <w:t>Moreover</w:t>
      </w:r>
      <w:r w:rsidR="00142D06">
        <w:rPr>
          <w:lang w:val="en-AU"/>
        </w:rPr>
        <w:t xml:space="preserve"> </w:t>
      </w:r>
      <w:r w:rsidR="00B41731">
        <w:rPr>
          <w:lang w:val="en-AU"/>
        </w:rPr>
        <w:t>the</w:t>
      </w:r>
      <w:r w:rsidR="00142D06">
        <w:rPr>
          <w:lang w:val="en-AU"/>
        </w:rPr>
        <w:t xml:space="preserve"> </w:t>
      </w:r>
      <w:r w:rsidR="00434A17">
        <w:rPr>
          <w:lang w:val="en-AU"/>
        </w:rPr>
        <w:t xml:space="preserve">States </w:t>
      </w:r>
      <w:r w:rsidR="00B41731">
        <w:rPr>
          <w:lang w:val="en-AU"/>
        </w:rPr>
        <w:t xml:space="preserve">and the Commonwealth </w:t>
      </w:r>
      <w:r w:rsidR="00434A17">
        <w:rPr>
          <w:lang w:val="en-AU"/>
        </w:rPr>
        <w:t xml:space="preserve">fund the </w:t>
      </w:r>
      <w:r w:rsidR="00142D06">
        <w:rPr>
          <w:lang w:val="en-AU"/>
        </w:rPr>
        <w:t>Commission</w:t>
      </w:r>
      <w:r w:rsidR="00496A04">
        <w:rPr>
          <w:lang w:val="en-AU"/>
        </w:rPr>
        <w:t xml:space="preserve">; </w:t>
      </w:r>
      <w:r w:rsidR="000C16D8">
        <w:rPr>
          <w:lang w:val="en-AU"/>
        </w:rPr>
        <w:t xml:space="preserve">could it </w:t>
      </w:r>
      <w:r w:rsidR="00385AA3">
        <w:rPr>
          <w:lang w:val="en-AU"/>
        </w:rPr>
        <w:t xml:space="preserve">independently </w:t>
      </w:r>
      <w:r w:rsidR="00B41731">
        <w:rPr>
          <w:lang w:val="en-AU"/>
        </w:rPr>
        <w:t>ad</w:t>
      </w:r>
      <w:r w:rsidR="008A56B2">
        <w:rPr>
          <w:lang w:val="en-AU"/>
        </w:rPr>
        <w:t>vise on</w:t>
      </w:r>
      <w:r w:rsidR="000C16D8">
        <w:rPr>
          <w:lang w:val="en-AU"/>
        </w:rPr>
        <w:t xml:space="preserve"> proposals</w:t>
      </w:r>
      <w:r w:rsidR="00B41731">
        <w:rPr>
          <w:lang w:val="en-AU"/>
        </w:rPr>
        <w:t xml:space="preserve"> from any</w:t>
      </w:r>
      <w:r w:rsidR="007B4974">
        <w:rPr>
          <w:lang w:val="en-AU"/>
        </w:rPr>
        <w:t>?</w:t>
      </w:r>
      <w:r w:rsidR="00CA577E">
        <w:rPr>
          <w:rStyle w:val="EndnoteReference"/>
          <w:lang w:val="en-AU"/>
        </w:rPr>
        <w:endnoteReference w:id="22"/>
      </w:r>
      <w:r w:rsidR="00CA577E">
        <w:rPr>
          <w:lang w:val="en-AU"/>
        </w:rPr>
        <w:t xml:space="preserve"> </w:t>
      </w:r>
    </w:p>
    <w:p w:rsidR="00670AA1" w:rsidRDefault="00670AA1" w:rsidP="00670AA1">
      <w:pPr>
        <w:spacing w:after="0"/>
        <w:rPr>
          <w:lang w:val="en-AU"/>
        </w:rPr>
      </w:pPr>
    </w:p>
    <w:p w:rsidR="00F54E91" w:rsidRDefault="00CA577E" w:rsidP="00670AA1">
      <w:pPr>
        <w:spacing w:after="0"/>
        <w:rPr>
          <w:lang w:val="en-AU"/>
        </w:rPr>
      </w:pPr>
      <w:r>
        <w:rPr>
          <w:lang w:val="en-AU"/>
        </w:rPr>
        <w:t xml:space="preserve">While there are guidelines for public sector governance, often long and often revised, understanding </w:t>
      </w:r>
      <w:r w:rsidR="00714564">
        <w:rPr>
          <w:lang w:val="en-AU"/>
        </w:rPr>
        <w:t>is more important than memory</w:t>
      </w:r>
      <w:r>
        <w:rPr>
          <w:lang w:val="en-AU"/>
        </w:rPr>
        <w:t xml:space="preserve">.  </w:t>
      </w:r>
      <w:r w:rsidR="00F54E91">
        <w:rPr>
          <w:lang w:val="en-AU"/>
        </w:rPr>
        <w:t xml:space="preserve">Paul Keating’s pet shop galah showed </w:t>
      </w:r>
      <w:r w:rsidR="00714564">
        <w:rPr>
          <w:lang w:val="en-AU"/>
        </w:rPr>
        <w:t>its</w:t>
      </w:r>
      <w:r w:rsidR="00F54E91">
        <w:rPr>
          <w:lang w:val="en-AU"/>
        </w:rPr>
        <w:t xml:space="preserve"> capacity </w:t>
      </w:r>
      <w:r w:rsidR="00714564">
        <w:rPr>
          <w:lang w:val="en-AU"/>
        </w:rPr>
        <w:t>to</w:t>
      </w:r>
      <w:r w:rsidR="00F54E91">
        <w:rPr>
          <w:lang w:val="en-AU"/>
        </w:rPr>
        <w:t xml:space="preserve"> </w:t>
      </w:r>
      <w:r w:rsidR="00714564">
        <w:rPr>
          <w:lang w:val="en-AU"/>
        </w:rPr>
        <w:t>rote</w:t>
      </w:r>
      <w:r w:rsidR="00F54E91">
        <w:rPr>
          <w:lang w:val="en-AU"/>
        </w:rPr>
        <w:t xml:space="preserve"> learn</w:t>
      </w:r>
      <w:r w:rsidR="00714564">
        <w:rPr>
          <w:lang w:val="en-AU"/>
        </w:rPr>
        <w:t xml:space="preserve"> ‘microeconomic reform’ in the 1990s.  Today its vocabulary would extend</w:t>
      </w:r>
      <w:r w:rsidR="000C16D8">
        <w:rPr>
          <w:lang w:val="en-AU"/>
        </w:rPr>
        <w:t xml:space="preserve"> to</w:t>
      </w:r>
      <w:r w:rsidR="00714564">
        <w:rPr>
          <w:lang w:val="en-AU"/>
        </w:rPr>
        <w:t xml:space="preserve">: </w:t>
      </w:r>
      <w:r w:rsidR="00F54E91">
        <w:rPr>
          <w:lang w:val="en-AU"/>
        </w:rPr>
        <w:t>‘regulatory reform’</w:t>
      </w:r>
      <w:r w:rsidR="00714564">
        <w:rPr>
          <w:lang w:val="en-AU"/>
        </w:rPr>
        <w:t>;</w:t>
      </w:r>
      <w:r w:rsidR="00F54E91">
        <w:rPr>
          <w:lang w:val="en-AU"/>
        </w:rPr>
        <w:t xml:space="preserve"> ‘independence’</w:t>
      </w:r>
      <w:r w:rsidR="00714564">
        <w:rPr>
          <w:lang w:val="en-AU"/>
        </w:rPr>
        <w:t>;</w:t>
      </w:r>
      <w:r w:rsidR="00F54E91">
        <w:rPr>
          <w:lang w:val="en-AU"/>
        </w:rPr>
        <w:t xml:space="preserve"> ‘governance’</w:t>
      </w:r>
      <w:r w:rsidR="00714564">
        <w:rPr>
          <w:lang w:val="en-AU"/>
        </w:rPr>
        <w:t xml:space="preserve">, </w:t>
      </w:r>
      <w:r w:rsidR="007F1F3C">
        <w:rPr>
          <w:lang w:val="en-AU"/>
        </w:rPr>
        <w:t>with</w:t>
      </w:r>
      <w:r w:rsidR="00714564">
        <w:rPr>
          <w:lang w:val="en-AU"/>
        </w:rPr>
        <w:t xml:space="preserve"> </w:t>
      </w:r>
      <w:r w:rsidR="00907A1B">
        <w:rPr>
          <w:lang w:val="en-AU"/>
        </w:rPr>
        <w:t>a</w:t>
      </w:r>
      <w:r w:rsidR="00757A74">
        <w:rPr>
          <w:lang w:val="en-AU"/>
        </w:rPr>
        <w:t xml:space="preserve"> </w:t>
      </w:r>
      <w:r w:rsidR="007F1F3C">
        <w:rPr>
          <w:lang w:val="en-AU"/>
        </w:rPr>
        <w:t>wisdom</w:t>
      </w:r>
      <w:r w:rsidR="00714564">
        <w:rPr>
          <w:lang w:val="en-AU"/>
        </w:rPr>
        <w:t xml:space="preserve"> </w:t>
      </w:r>
      <w:r w:rsidR="007F1F3C">
        <w:rPr>
          <w:lang w:val="en-AU"/>
        </w:rPr>
        <w:t>unchanged from</w:t>
      </w:r>
      <w:r w:rsidR="00E91A3D">
        <w:rPr>
          <w:lang w:val="en-AU"/>
        </w:rPr>
        <w:t xml:space="preserve"> twenty years ago</w:t>
      </w:r>
      <w:r w:rsidR="00A541B2">
        <w:rPr>
          <w:lang w:val="en-AU"/>
        </w:rPr>
        <w:t>.</w:t>
      </w:r>
    </w:p>
    <w:p w:rsidR="00670AA1" w:rsidRDefault="00670AA1" w:rsidP="00670AA1">
      <w:pPr>
        <w:spacing w:after="0"/>
        <w:rPr>
          <w:lang w:val="en-AU"/>
        </w:rPr>
      </w:pPr>
    </w:p>
    <w:p w:rsidR="008C0FCB" w:rsidRDefault="008C0FCB" w:rsidP="00670AA1">
      <w:pPr>
        <w:spacing w:after="0"/>
        <w:rPr>
          <w:lang w:val="en-AU"/>
        </w:rPr>
      </w:pPr>
      <w:r>
        <w:rPr>
          <w:lang w:val="en-AU"/>
        </w:rPr>
        <w:t xml:space="preserve">The above examples indicate caution is warranted in accepting, at face value, commentary about proposed governance arrangements.   While the given examples may seem debatable, outdated, or </w:t>
      </w:r>
      <w:r w:rsidR="0059551F">
        <w:rPr>
          <w:lang w:val="en-AU"/>
        </w:rPr>
        <w:t xml:space="preserve">even </w:t>
      </w:r>
      <w:r>
        <w:rPr>
          <w:lang w:val="en-AU"/>
        </w:rPr>
        <w:t>trite there will be other cases where governance assumes much greater importance; in particular those affecting many people or relations between tiers of government.</w:t>
      </w:r>
    </w:p>
    <w:p w:rsidR="00907A1B" w:rsidRDefault="00907A1B" w:rsidP="00670AA1">
      <w:pPr>
        <w:spacing w:after="0"/>
        <w:rPr>
          <w:lang w:val="en-AU"/>
        </w:rPr>
      </w:pPr>
    </w:p>
    <w:p w:rsidR="00EE4F49" w:rsidRDefault="00907A1B" w:rsidP="00670AA1">
      <w:pPr>
        <w:pStyle w:val="Heading2"/>
        <w:spacing w:before="0"/>
        <w:rPr>
          <w:lang w:val="en-AU"/>
        </w:rPr>
      </w:pPr>
      <w:r>
        <w:rPr>
          <w:lang w:val="en-AU"/>
        </w:rPr>
        <w:t>S</w:t>
      </w:r>
      <w:r w:rsidR="00EE4F49">
        <w:rPr>
          <w:lang w:val="en-AU"/>
        </w:rPr>
        <w:t xml:space="preserve">ome </w:t>
      </w:r>
      <w:r w:rsidR="00E56C54">
        <w:rPr>
          <w:lang w:val="en-AU"/>
        </w:rPr>
        <w:t>ideas</w:t>
      </w:r>
    </w:p>
    <w:p w:rsidR="00434A17" w:rsidRDefault="00EE4F49" w:rsidP="00670AA1">
      <w:pPr>
        <w:spacing w:after="0"/>
        <w:rPr>
          <w:lang w:val="en-AU"/>
        </w:rPr>
      </w:pPr>
      <w:r>
        <w:rPr>
          <w:lang w:val="en-AU"/>
        </w:rPr>
        <w:t xml:space="preserve">Given the </w:t>
      </w:r>
      <w:r w:rsidR="00434A17">
        <w:rPr>
          <w:lang w:val="en-AU"/>
        </w:rPr>
        <w:t>above</w:t>
      </w:r>
      <w:r>
        <w:rPr>
          <w:lang w:val="en-AU"/>
        </w:rPr>
        <w:t xml:space="preserve"> it </w:t>
      </w:r>
      <w:r w:rsidR="00434A17">
        <w:rPr>
          <w:lang w:val="en-AU"/>
        </w:rPr>
        <w:t>is useful to outline</w:t>
      </w:r>
      <w:r>
        <w:rPr>
          <w:lang w:val="en-AU"/>
        </w:rPr>
        <w:t xml:space="preserve"> some </w:t>
      </w:r>
      <w:r w:rsidR="00003A4C">
        <w:rPr>
          <w:lang w:val="en-AU"/>
        </w:rPr>
        <w:t xml:space="preserve">public sector </w:t>
      </w:r>
      <w:r w:rsidR="00434A17">
        <w:rPr>
          <w:lang w:val="en-AU"/>
        </w:rPr>
        <w:t>governance ideas.</w:t>
      </w:r>
      <w:r w:rsidR="00003A4C">
        <w:rPr>
          <w:lang w:val="en-AU"/>
        </w:rPr>
        <w:t xml:space="preserve">  Suggestions follow</w:t>
      </w:r>
      <w:r w:rsidR="00757A74">
        <w:rPr>
          <w:lang w:val="en-AU"/>
        </w:rPr>
        <w:t>.</w:t>
      </w:r>
    </w:p>
    <w:p w:rsidR="00003A4C" w:rsidRDefault="00434A17" w:rsidP="00670AA1">
      <w:pPr>
        <w:spacing w:after="0"/>
        <w:rPr>
          <w:lang w:val="en-AU"/>
        </w:rPr>
      </w:pPr>
      <w:r w:rsidRPr="00003A4C">
        <w:rPr>
          <w:b/>
          <w:lang w:val="en-AU"/>
        </w:rPr>
        <w:t>Aim</w:t>
      </w:r>
      <w:r w:rsidR="00003A4C" w:rsidRPr="00003A4C">
        <w:rPr>
          <w:b/>
          <w:lang w:val="en-AU"/>
        </w:rPr>
        <w:t>s</w:t>
      </w:r>
      <w:r>
        <w:rPr>
          <w:lang w:val="en-AU"/>
        </w:rPr>
        <w:t>: to harness the nature of individuals for the wider good</w:t>
      </w:r>
      <w:r w:rsidR="00003A4C">
        <w:rPr>
          <w:lang w:val="en-AU"/>
        </w:rPr>
        <w:t>.</w:t>
      </w:r>
      <w:r>
        <w:rPr>
          <w:lang w:val="en-AU"/>
        </w:rPr>
        <w:t xml:space="preserve"> </w:t>
      </w:r>
      <w:r w:rsidR="00003A4C">
        <w:rPr>
          <w:lang w:val="en-AU"/>
        </w:rPr>
        <w:t>To align power with responsibility.</w:t>
      </w:r>
    </w:p>
    <w:p w:rsidR="00EE4F49" w:rsidRDefault="00EE4F49" w:rsidP="00670AA1">
      <w:pPr>
        <w:spacing w:after="0"/>
        <w:rPr>
          <w:lang w:val="en-AU"/>
        </w:rPr>
      </w:pPr>
      <w:r w:rsidRPr="00003A4C">
        <w:rPr>
          <w:b/>
          <w:lang w:val="en-AU"/>
        </w:rPr>
        <w:t>Definition</w:t>
      </w:r>
      <w:r>
        <w:rPr>
          <w:lang w:val="en-AU"/>
        </w:rPr>
        <w:t>: the effective exercise of lawful control</w:t>
      </w:r>
      <w:r w:rsidR="00003A4C">
        <w:rPr>
          <w:lang w:val="en-AU"/>
        </w:rPr>
        <w:t>.</w:t>
      </w:r>
    </w:p>
    <w:p w:rsidR="00EE4F49" w:rsidRDefault="00EE4F49" w:rsidP="00670AA1">
      <w:pPr>
        <w:spacing w:after="0"/>
        <w:rPr>
          <w:lang w:val="en-AU"/>
        </w:rPr>
      </w:pPr>
      <w:r w:rsidRPr="00003A4C">
        <w:rPr>
          <w:b/>
          <w:lang w:val="en-AU"/>
        </w:rPr>
        <w:t>Instruments</w:t>
      </w:r>
      <w:r>
        <w:rPr>
          <w:lang w:val="en-AU"/>
        </w:rPr>
        <w:t xml:space="preserve">: ownership, contracts, </w:t>
      </w:r>
      <w:r w:rsidR="00003A4C">
        <w:rPr>
          <w:lang w:val="en-AU"/>
        </w:rPr>
        <w:t>regulation, disclosures and transparency.</w:t>
      </w:r>
    </w:p>
    <w:p w:rsidR="00EE4F49" w:rsidRDefault="00003A4C" w:rsidP="00670AA1">
      <w:pPr>
        <w:spacing w:after="0"/>
        <w:rPr>
          <w:lang w:val="en-AU"/>
        </w:rPr>
      </w:pPr>
      <w:r w:rsidRPr="00003A4C">
        <w:rPr>
          <w:b/>
          <w:lang w:val="en-AU"/>
        </w:rPr>
        <w:t>Operation</w:t>
      </w:r>
      <w:r>
        <w:rPr>
          <w:lang w:val="en-AU"/>
        </w:rPr>
        <w:t>:</w:t>
      </w:r>
      <w:r w:rsidR="00EE4F49">
        <w:rPr>
          <w:lang w:val="en-AU"/>
        </w:rPr>
        <w:t xml:space="preserve"> specification of objectives, measurement of performance, rewards for success.</w:t>
      </w:r>
    </w:p>
    <w:p w:rsidR="00003A4C" w:rsidRDefault="00EE4F49" w:rsidP="00670AA1">
      <w:pPr>
        <w:spacing w:after="0"/>
        <w:rPr>
          <w:lang w:val="en-AU"/>
        </w:rPr>
      </w:pPr>
      <w:r w:rsidRPr="00003A4C">
        <w:rPr>
          <w:b/>
          <w:lang w:val="en-AU"/>
        </w:rPr>
        <w:t>Principles</w:t>
      </w:r>
      <w:r w:rsidR="00003A4C">
        <w:rPr>
          <w:b/>
          <w:lang w:val="en-AU"/>
        </w:rPr>
        <w:t xml:space="preserve"> include</w:t>
      </w:r>
      <w:r w:rsidRPr="00003A4C">
        <w:rPr>
          <w:b/>
          <w:lang w:val="en-AU"/>
        </w:rPr>
        <w:t>:</w:t>
      </w:r>
      <w:r>
        <w:rPr>
          <w:lang w:val="en-AU"/>
        </w:rPr>
        <w:t xml:space="preserve"> </w:t>
      </w:r>
    </w:p>
    <w:p w:rsidR="00003A4C" w:rsidRPr="00AD7F7E" w:rsidRDefault="00003A4C" w:rsidP="00670AA1">
      <w:pPr>
        <w:pStyle w:val="ListParagraph"/>
        <w:numPr>
          <w:ilvl w:val="0"/>
          <w:numId w:val="3"/>
        </w:numPr>
        <w:spacing w:after="0"/>
        <w:ind w:left="567" w:hanging="567"/>
        <w:rPr>
          <w:lang w:val="en-AU"/>
        </w:rPr>
      </w:pPr>
      <w:r w:rsidRPr="00AD7F7E">
        <w:rPr>
          <w:lang w:val="en-AU"/>
        </w:rPr>
        <w:t>Rules of natural justice including: independence of public decision making from beneficiaries (conflicts of public duties and private interest), right of affected parties to be heard</w:t>
      </w:r>
      <w:r w:rsidR="00CA2E6E">
        <w:rPr>
          <w:lang w:val="en-AU"/>
        </w:rPr>
        <w:t>;</w:t>
      </w:r>
    </w:p>
    <w:p w:rsidR="00003A4C" w:rsidRPr="00AD7F7E" w:rsidRDefault="00003A4C" w:rsidP="00670AA1">
      <w:pPr>
        <w:pStyle w:val="ListParagraph"/>
        <w:numPr>
          <w:ilvl w:val="0"/>
          <w:numId w:val="3"/>
        </w:numPr>
        <w:spacing w:after="0"/>
        <w:ind w:left="567" w:hanging="567"/>
        <w:rPr>
          <w:lang w:val="en-AU"/>
        </w:rPr>
      </w:pPr>
      <w:r w:rsidRPr="00AD7F7E">
        <w:rPr>
          <w:lang w:val="en-AU"/>
        </w:rPr>
        <w:t>Instruments should be deployed in a coherent way</w:t>
      </w:r>
      <w:r w:rsidR="00CA2E6E">
        <w:rPr>
          <w:lang w:val="en-AU"/>
        </w:rPr>
        <w:t>;</w:t>
      </w:r>
    </w:p>
    <w:p w:rsidR="00003A4C" w:rsidRPr="00AD7F7E" w:rsidRDefault="00003A4C" w:rsidP="00670AA1">
      <w:pPr>
        <w:pStyle w:val="ListParagraph"/>
        <w:numPr>
          <w:ilvl w:val="0"/>
          <w:numId w:val="3"/>
        </w:numPr>
        <w:spacing w:after="0"/>
        <w:ind w:left="567" w:hanging="567"/>
        <w:rPr>
          <w:lang w:val="en-AU"/>
        </w:rPr>
      </w:pPr>
      <w:r w:rsidRPr="00AD7F7E">
        <w:rPr>
          <w:lang w:val="en-AU"/>
        </w:rPr>
        <w:t xml:space="preserve">Line of sight </w:t>
      </w:r>
      <w:r w:rsidR="00AD7F7E">
        <w:rPr>
          <w:lang w:val="en-AU"/>
        </w:rPr>
        <w:t>for</w:t>
      </w:r>
      <w:r w:rsidRPr="00AD7F7E">
        <w:rPr>
          <w:lang w:val="en-AU"/>
        </w:rPr>
        <w:t xml:space="preserve"> powers and responsibilities</w:t>
      </w:r>
      <w:r w:rsidR="00271D5C" w:rsidRPr="00AD7F7E">
        <w:rPr>
          <w:lang w:val="en-AU"/>
        </w:rPr>
        <w:t>; r</w:t>
      </w:r>
      <w:r w:rsidRPr="00AD7F7E">
        <w:rPr>
          <w:lang w:val="en-AU"/>
        </w:rPr>
        <w:t>esponsibility allocated to a single party</w:t>
      </w:r>
      <w:r w:rsidR="00CA2E6E">
        <w:rPr>
          <w:lang w:val="en-AU"/>
        </w:rPr>
        <w:t>;</w:t>
      </w:r>
    </w:p>
    <w:p w:rsidR="00003A4C" w:rsidRPr="00AD7F7E" w:rsidRDefault="00003A4C" w:rsidP="00670AA1">
      <w:pPr>
        <w:pStyle w:val="ListParagraph"/>
        <w:numPr>
          <w:ilvl w:val="0"/>
          <w:numId w:val="3"/>
        </w:numPr>
        <w:spacing w:after="0"/>
        <w:ind w:left="567" w:hanging="567"/>
        <w:rPr>
          <w:lang w:val="en-AU"/>
        </w:rPr>
      </w:pPr>
      <w:r w:rsidRPr="00AD7F7E">
        <w:rPr>
          <w:lang w:val="en-AU"/>
        </w:rPr>
        <w:t>Degree of corporatisation depends on how closely the function relates to a</w:t>
      </w:r>
      <w:r w:rsidR="00E42512">
        <w:rPr>
          <w:lang w:val="en-AU"/>
        </w:rPr>
        <w:t xml:space="preserve"> market</w:t>
      </w:r>
      <w:r w:rsidR="00CA2E6E">
        <w:rPr>
          <w:lang w:val="en-AU"/>
        </w:rPr>
        <w:t>;</w:t>
      </w:r>
    </w:p>
    <w:p w:rsidR="00003A4C" w:rsidRPr="00AD7F7E" w:rsidRDefault="00003A4C" w:rsidP="00670AA1">
      <w:pPr>
        <w:pStyle w:val="ListParagraph"/>
        <w:numPr>
          <w:ilvl w:val="0"/>
          <w:numId w:val="3"/>
        </w:numPr>
        <w:spacing w:after="0"/>
        <w:ind w:left="567" w:hanging="567"/>
        <w:rPr>
          <w:lang w:val="en-AU"/>
        </w:rPr>
      </w:pPr>
      <w:r w:rsidRPr="00AD7F7E">
        <w:rPr>
          <w:lang w:val="en-AU"/>
        </w:rPr>
        <w:t>Strategic, tactical and operational matters allocated to different parties</w:t>
      </w:r>
      <w:r w:rsidR="00CA2E6E">
        <w:rPr>
          <w:lang w:val="en-AU"/>
        </w:rPr>
        <w:t>;</w:t>
      </w:r>
    </w:p>
    <w:p w:rsidR="00CA2E6E" w:rsidRDefault="00A04E9A" w:rsidP="00670AA1">
      <w:pPr>
        <w:pStyle w:val="ListParagraph"/>
        <w:numPr>
          <w:ilvl w:val="0"/>
          <w:numId w:val="3"/>
        </w:numPr>
        <w:spacing w:after="0"/>
        <w:ind w:left="567" w:hanging="567"/>
        <w:rPr>
          <w:lang w:val="en-AU"/>
        </w:rPr>
      </w:pPr>
      <w:r w:rsidRPr="00AD7F7E">
        <w:rPr>
          <w:lang w:val="en-AU"/>
        </w:rPr>
        <w:t>Periodic r</w:t>
      </w:r>
      <w:r w:rsidR="00003A4C" w:rsidRPr="00AD7F7E">
        <w:rPr>
          <w:lang w:val="en-AU"/>
        </w:rPr>
        <w:t xml:space="preserve">efreshes of </w:t>
      </w:r>
      <w:r w:rsidRPr="00AD7F7E">
        <w:rPr>
          <w:lang w:val="en-AU"/>
        </w:rPr>
        <w:t>functions</w:t>
      </w:r>
      <w:r w:rsidR="00003A4C" w:rsidRPr="00AD7F7E">
        <w:rPr>
          <w:lang w:val="en-AU"/>
        </w:rPr>
        <w:t xml:space="preserve"> </w:t>
      </w:r>
      <w:r w:rsidRPr="00AD7F7E">
        <w:rPr>
          <w:lang w:val="en-AU"/>
        </w:rPr>
        <w:t xml:space="preserve">to arrest </w:t>
      </w:r>
      <w:r w:rsidR="00CE6BA2" w:rsidRPr="00AD7F7E">
        <w:rPr>
          <w:lang w:val="en-AU"/>
        </w:rPr>
        <w:t>‘</w:t>
      </w:r>
      <w:r w:rsidRPr="00AD7F7E">
        <w:rPr>
          <w:lang w:val="en-AU"/>
        </w:rPr>
        <w:t>entropy</w:t>
      </w:r>
      <w:r w:rsidR="00CE6BA2" w:rsidRPr="00AD7F7E">
        <w:rPr>
          <w:lang w:val="en-AU"/>
        </w:rPr>
        <w:t>’</w:t>
      </w:r>
      <w:r w:rsidR="00CA2E6E">
        <w:rPr>
          <w:lang w:val="en-AU"/>
        </w:rPr>
        <w:t>;</w:t>
      </w:r>
    </w:p>
    <w:p w:rsidR="00A04E9A" w:rsidRDefault="00CA2E6E" w:rsidP="00670AA1">
      <w:pPr>
        <w:pStyle w:val="ListParagraph"/>
        <w:numPr>
          <w:ilvl w:val="0"/>
          <w:numId w:val="3"/>
        </w:numPr>
        <w:spacing w:after="0"/>
        <w:ind w:left="567" w:hanging="567"/>
        <w:rPr>
          <w:lang w:val="en-AU"/>
        </w:rPr>
      </w:pPr>
      <w:r>
        <w:rPr>
          <w:lang w:val="en-AU"/>
        </w:rPr>
        <w:t>Agency; an official represents, speaks for, their organisation</w:t>
      </w:r>
      <w:r w:rsidR="00A04E9A" w:rsidRPr="00AD7F7E">
        <w:rPr>
          <w:lang w:val="en-AU"/>
        </w:rPr>
        <w:t>.</w:t>
      </w:r>
    </w:p>
    <w:p w:rsidR="00EA5DCD" w:rsidRDefault="00EA5DCD" w:rsidP="00670AA1">
      <w:pPr>
        <w:pStyle w:val="ListParagraph"/>
        <w:spacing w:after="0"/>
        <w:ind w:left="567"/>
        <w:rPr>
          <w:lang w:val="en-AU"/>
        </w:rPr>
      </w:pPr>
    </w:p>
    <w:p w:rsidR="006444B5" w:rsidRDefault="00625138" w:rsidP="00670AA1">
      <w:pPr>
        <w:pStyle w:val="Heading2"/>
        <w:spacing w:before="0"/>
        <w:rPr>
          <w:lang w:val="en-AU"/>
        </w:rPr>
      </w:pPr>
      <w:r>
        <w:rPr>
          <w:lang w:val="en-AU"/>
        </w:rPr>
        <w:t>Two</w:t>
      </w:r>
      <w:r w:rsidR="00EE4F49">
        <w:rPr>
          <w:lang w:val="en-AU"/>
        </w:rPr>
        <w:t xml:space="preserve"> exception</w:t>
      </w:r>
      <w:r>
        <w:rPr>
          <w:lang w:val="en-AU"/>
        </w:rPr>
        <w:t>s</w:t>
      </w:r>
    </w:p>
    <w:p w:rsidR="00ED2DAB" w:rsidRDefault="00ED2DAB" w:rsidP="00670AA1">
      <w:pPr>
        <w:spacing w:after="0"/>
        <w:rPr>
          <w:lang w:val="en-AU"/>
        </w:rPr>
      </w:pPr>
      <w:r>
        <w:rPr>
          <w:lang w:val="en-AU"/>
        </w:rPr>
        <w:t xml:space="preserve">This article earlier mentioned there </w:t>
      </w:r>
      <w:r w:rsidR="007B4974">
        <w:rPr>
          <w:lang w:val="en-AU"/>
        </w:rPr>
        <w:t>were two</w:t>
      </w:r>
      <w:r>
        <w:rPr>
          <w:lang w:val="en-AU"/>
        </w:rPr>
        <w:t xml:space="preserve"> exceptional </w:t>
      </w:r>
      <w:r w:rsidR="000A03B9">
        <w:rPr>
          <w:lang w:val="en-AU"/>
        </w:rPr>
        <w:t>case</w:t>
      </w:r>
      <w:r w:rsidR="007B4974">
        <w:rPr>
          <w:lang w:val="en-AU"/>
        </w:rPr>
        <w:t>s</w:t>
      </w:r>
      <w:r w:rsidR="000A03B9">
        <w:rPr>
          <w:lang w:val="en-AU"/>
        </w:rPr>
        <w:t xml:space="preserve"> </w:t>
      </w:r>
      <w:r>
        <w:rPr>
          <w:lang w:val="en-AU"/>
        </w:rPr>
        <w:t xml:space="preserve">where </w:t>
      </w:r>
      <w:r w:rsidR="00F74382">
        <w:rPr>
          <w:lang w:val="en-AU"/>
        </w:rPr>
        <w:t xml:space="preserve">a public sector function </w:t>
      </w:r>
      <w:r w:rsidR="000A03B9">
        <w:rPr>
          <w:lang w:val="en-AU"/>
        </w:rPr>
        <w:t xml:space="preserve">should </w:t>
      </w:r>
      <w:r w:rsidR="00F74382">
        <w:rPr>
          <w:lang w:val="en-AU"/>
        </w:rPr>
        <w:t xml:space="preserve">be conducted </w:t>
      </w:r>
      <w:r>
        <w:rPr>
          <w:lang w:val="en-AU"/>
        </w:rPr>
        <w:t>independen</w:t>
      </w:r>
      <w:r w:rsidR="00F74382">
        <w:rPr>
          <w:lang w:val="en-AU"/>
        </w:rPr>
        <w:t>tly</w:t>
      </w:r>
      <w:r>
        <w:rPr>
          <w:lang w:val="en-AU"/>
        </w:rPr>
        <w:t xml:space="preserve"> from </w:t>
      </w:r>
      <w:r w:rsidR="00E56C54">
        <w:rPr>
          <w:lang w:val="en-AU"/>
        </w:rPr>
        <w:t xml:space="preserve">the </w:t>
      </w:r>
      <w:r>
        <w:rPr>
          <w:lang w:val="en-AU"/>
        </w:rPr>
        <w:t>government</w:t>
      </w:r>
      <w:r w:rsidR="00CE6BA2">
        <w:rPr>
          <w:lang w:val="en-AU"/>
        </w:rPr>
        <w:t xml:space="preserve"> as well </w:t>
      </w:r>
      <w:r w:rsidR="00F158C7">
        <w:rPr>
          <w:lang w:val="en-AU"/>
        </w:rPr>
        <w:t>as (not instead of)</w:t>
      </w:r>
      <w:r w:rsidR="00CE6BA2">
        <w:rPr>
          <w:lang w:val="en-AU"/>
        </w:rPr>
        <w:t xml:space="preserve"> beneficiaries</w:t>
      </w:r>
      <w:r>
        <w:rPr>
          <w:lang w:val="en-AU"/>
        </w:rPr>
        <w:t>.</w:t>
      </w:r>
      <w:r w:rsidR="007B4974">
        <w:rPr>
          <w:lang w:val="en-AU"/>
        </w:rPr>
        <w:t xml:space="preserve">  One is a government business enterprise.</w:t>
      </w:r>
    </w:p>
    <w:p w:rsidR="00670AA1" w:rsidRDefault="00670AA1" w:rsidP="00670AA1">
      <w:pPr>
        <w:spacing w:after="0"/>
        <w:rPr>
          <w:lang w:val="en-AU"/>
        </w:rPr>
      </w:pPr>
    </w:p>
    <w:p w:rsidR="00253C0C" w:rsidRDefault="00ED2DAB" w:rsidP="00670AA1">
      <w:pPr>
        <w:spacing w:after="0"/>
        <w:rPr>
          <w:lang w:val="en-AU"/>
        </w:rPr>
      </w:pPr>
      <w:r>
        <w:rPr>
          <w:lang w:val="en-AU"/>
        </w:rPr>
        <w:t>Th</w:t>
      </w:r>
      <w:r w:rsidR="007B4974">
        <w:rPr>
          <w:lang w:val="en-AU"/>
        </w:rPr>
        <w:t>e other</w:t>
      </w:r>
      <w:r>
        <w:rPr>
          <w:lang w:val="en-AU"/>
        </w:rPr>
        <w:t xml:space="preserve"> is where </w:t>
      </w:r>
      <w:r w:rsidR="00E27CDC">
        <w:rPr>
          <w:lang w:val="en-AU"/>
        </w:rPr>
        <w:t xml:space="preserve">a </w:t>
      </w:r>
      <w:r>
        <w:rPr>
          <w:lang w:val="en-AU"/>
        </w:rPr>
        <w:t>government decision</w:t>
      </w:r>
      <w:r w:rsidR="00F93165">
        <w:rPr>
          <w:lang w:val="en-AU"/>
        </w:rPr>
        <w:t xml:space="preserve"> or power</w:t>
      </w:r>
      <w:r>
        <w:rPr>
          <w:lang w:val="en-AU"/>
        </w:rPr>
        <w:t xml:space="preserve"> is conditional on approval of another party.  In such a case, th</w:t>
      </w:r>
      <w:r w:rsidR="00F74382">
        <w:rPr>
          <w:lang w:val="en-AU"/>
        </w:rPr>
        <w:t xml:space="preserve">e approving </w:t>
      </w:r>
      <w:r>
        <w:rPr>
          <w:lang w:val="en-AU"/>
        </w:rPr>
        <w:t>party</w:t>
      </w:r>
      <w:r w:rsidR="00253C0C">
        <w:rPr>
          <w:lang w:val="en-AU"/>
        </w:rPr>
        <w:t>’s decision</w:t>
      </w:r>
      <w:r>
        <w:rPr>
          <w:lang w:val="en-AU"/>
        </w:rPr>
        <w:t xml:space="preserve"> should not be solely informed by the government.  </w:t>
      </w:r>
    </w:p>
    <w:p w:rsidR="00ED2DAB" w:rsidRDefault="00E42512" w:rsidP="00670AA1">
      <w:pPr>
        <w:spacing w:after="0"/>
        <w:rPr>
          <w:lang w:val="en-AU"/>
        </w:rPr>
      </w:pPr>
      <w:r>
        <w:rPr>
          <w:lang w:val="en-AU"/>
        </w:rPr>
        <w:lastRenderedPageBreak/>
        <w:t>How could</w:t>
      </w:r>
      <w:r w:rsidR="00ED2DAB">
        <w:rPr>
          <w:lang w:val="en-AU"/>
        </w:rPr>
        <w:t xml:space="preserve"> a government be so constrained?  </w:t>
      </w:r>
      <w:r w:rsidR="00253C0C">
        <w:rPr>
          <w:lang w:val="en-AU"/>
        </w:rPr>
        <w:t xml:space="preserve">In Australia by Parliament and </w:t>
      </w:r>
      <w:r w:rsidR="00B41890">
        <w:rPr>
          <w:lang w:val="en-AU"/>
        </w:rPr>
        <w:t xml:space="preserve">the </w:t>
      </w:r>
      <w:r w:rsidR="00253C0C">
        <w:rPr>
          <w:lang w:val="en-AU"/>
        </w:rPr>
        <w:t xml:space="preserve">Constitution.  This is </w:t>
      </w:r>
      <w:r w:rsidR="00B41890">
        <w:rPr>
          <w:lang w:val="en-AU"/>
        </w:rPr>
        <w:t>part of</w:t>
      </w:r>
      <w:r w:rsidR="00253C0C">
        <w:rPr>
          <w:lang w:val="en-AU"/>
        </w:rPr>
        <w:t xml:space="preserve"> the</w:t>
      </w:r>
      <w:r w:rsidR="00B41890">
        <w:rPr>
          <w:lang w:val="en-AU"/>
        </w:rPr>
        <w:t xml:space="preserve"> separation </w:t>
      </w:r>
      <w:r w:rsidR="00253C0C">
        <w:rPr>
          <w:lang w:val="en-AU"/>
        </w:rPr>
        <w:t>of powers</w:t>
      </w:r>
      <w:r w:rsidR="003367E6">
        <w:rPr>
          <w:lang w:val="en-AU"/>
        </w:rPr>
        <w:t>.  The</w:t>
      </w:r>
      <w:r w:rsidR="00253C0C">
        <w:rPr>
          <w:lang w:val="en-AU"/>
        </w:rPr>
        <w:t xml:space="preserve"> powers of the executive, </w:t>
      </w:r>
      <w:r w:rsidR="00B41890">
        <w:rPr>
          <w:lang w:val="en-AU"/>
        </w:rPr>
        <w:t xml:space="preserve">the </w:t>
      </w:r>
      <w:r w:rsidR="00E91A3D">
        <w:rPr>
          <w:lang w:val="en-AU"/>
        </w:rPr>
        <w:t xml:space="preserve">Governor General advised by the </w:t>
      </w:r>
      <w:r w:rsidR="003367E6">
        <w:rPr>
          <w:lang w:val="en-AU"/>
        </w:rPr>
        <w:t>G</w:t>
      </w:r>
      <w:r w:rsidR="00253C0C">
        <w:rPr>
          <w:lang w:val="en-AU"/>
        </w:rPr>
        <w:t>overnment of the day, differ to those of the legislature, the Parliament.  Relevance?</w:t>
      </w:r>
    </w:p>
    <w:p w:rsidR="00670AA1" w:rsidRDefault="00670AA1" w:rsidP="00670AA1">
      <w:pPr>
        <w:spacing w:after="0"/>
        <w:rPr>
          <w:lang w:val="en-AU"/>
        </w:rPr>
      </w:pPr>
    </w:p>
    <w:p w:rsidR="00253C0C" w:rsidRDefault="00B41890" w:rsidP="00670AA1">
      <w:pPr>
        <w:spacing w:after="0"/>
        <w:rPr>
          <w:lang w:val="en-AU"/>
        </w:rPr>
      </w:pPr>
      <w:r>
        <w:rPr>
          <w:lang w:val="en-AU"/>
        </w:rPr>
        <w:t>One situation is d</w:t>
      </w:r>
      <w:r w:rsidR="00F93165">
        <w:rPr>
          <w:lang w:val="en-AU"/>
        </w:rPr>
        <w:t xml:space="preserve">raft legislation that seeks to confer discretionary power to </w:t>
      </w:r>
      <w:r w:rsidR="003367E6">
        <w:rPr>
          <w:lang w:val="en-AU"/>
        </w:rPr>
        <w:t>a</w:t>
      </w:r>
      <w:r w:rsidR="00F93165">
        <w:rPr>
          <w:lang w:val="en-AU"/>
        </w:rPr>
        <w:t xml:space="preserve"> government</w:t>
      </w:r>
      <w:r w:rsidR="003367E6">
        <w:rPr>
          <w:lang w:val="en-AU"/>
        </w:rPr>
        <w:t xml:space="preserve"> (minister)</w:t>
      </w:r>
      <w:r w:rsidR="00F93165">
        <w:rPr>
          <w:lang w:val="en-AU"/>
        </w:rPr>
        <w:t xml:space="preserve">.  </w:t>
      </w:r>
      <w:r w:rsidR="008A56B2">
        <w:rPr>
          <w:lang w:val="en-AU"/>
        </w:rPr>
        <w:t>P</w:t>
      </w:r>
      <w:r w:rsidR="00F93165">
        <w:rPr>
          <w:lang w:val="en-AU"/>
        </w:rPr>
        <w:t>arliament</w:t>
      </w:r>
      <w:r w:rsidR="00F158C7">
        <w:rPr>
          <w:lang w:val="en-AU"/>
        </w:rPr>
        <w:t>s</w:t>
      </w:r>
      <w:r w:rsidR="00F93165">
        <w:rPr>
          <w:lang w:val="en-AU"/>
        </w:rPr>
        <w:t xml:space="preserve"> do not rely </w:t>
      </w:r>
      <w:r>
        <w:rPr>
          <w:lang w:val="en-AU"/>
        </w:rPr>
        <w:t xml:space="preserve">solely on what </w:t>
      </w:r>
      <w:r w:rsidR="00F158C7">
        <w:rPr>
          <w:lang w:val="en-AU"/>
        </w:rPr>
        <w:t>a</w:t>
      </w:r>
      <w:r w:rsidR="00F93165">
        <w:rPr>
          <w:lang w:val="en-AU"/>
        </w:rPr>
        <w:t xml:space="preserve"> government </w:t>
      </w:r>
      <w:r w:rsidR="00F158C7">
        <w:rPr>
          <w:lang w:val="en-AU"/>
        </w:rPr>
        <w:t>says</w:t>
      </w:r>
      <w:r>
        <w:rPr>
          <w:lang w:val="en-AU"/>
        </w:rPr>
        <w:t xml:space="preserve"> about </w:t>
      </w:r>
      <w:r w:rsidR="008A56B2">
        <w:rPr>
          <w:lang w:val="en-AU"/>
        </w:rPr>
        <w:t>a</w:t>
      </w:r>
      <w:r>
        <w:rPr>
          <w:lang w:val="en-AU"/>
        </w:rPr>
        <w:t xml:space="preserve"> </w:t>
      </w:r>
      <w:r w:rsidR="00E42512">
        <w:rPr>
          <w:lang w:val="en-AU"/>
        </w:rPr>
        <w:t>b</w:t>
      </w:r>
      <w:r>
        <w:rPr>
          <w:lang w:val="en-AU"/>
        </w:rPr>
        <w:t>ill</w:t>
      </w:r>
      <w:r w:rsidR="00F93165">
        <w:rPr>
          <w:lang w:val="en-AU"/>
        </w:rPr>
        <w:t>.</w:t>
      </w:r>
      <w:r w:rsidR="00670AA1">
        <w:rPr>
          <w:lang w:val="en-AU"/>
        </w:rPr>
        <w:t xml:space="preserve">  </w:t>
      </w:r>
      <w:r>
        <w:rPr>
          <w:lang w:val="en-AU"/>
        </w:rPr>
        <w:t>Another situation is Com</w:t>
      </w:r>
      <w:r w:rsidR="00253C0C">
        <w:rPr>
          <w:lang w:val="en-AU"/>
        </w:rPr>
        <w:t xml:space="preserve">monwealth specific purpose grants to the States.  In many cases the Commonwealth makes such grants because it is not legally capable of directly funding the activity it wishes to see supported.  School </w:t>
      </w:r>
      <w:r>
        <w:rPr>
          <w:lang w:val="en-AU"/>
        </w:rPr>
        <w:t>c</w:t>
      </w:r>
      <w:r w:rsidR="00253C0C">
        <w:rPr>
          <w:lang w:val="en-AU"/>
        </w:rPr>
        <w:t xml:space="preserve">haplains </w:t>
      </w:r>
      <w:r>
        <w:rPr>
          <w:lang w:val="en-AU"/>
        </w:rPr>
        <w:t xml:space="preserve">for example.  </w:t>
      </w:r>
      <w:r w:rsidR="00253C0C">
        <w:rPr>
          <w:lang w:val="en-AU"/>
        </w:rPr>
        <w:t>So too roads</w:t>
      </w:r>
      <w:r w:rsidR="00E91A3D">
        <w:rPr>
          <w:lang w:val="en-AU"/>
        </w:rPr>
        <w:t>?</w:t>
      </w:r>
      <w:r w:rsidR="00CA2E6E">
        <w:rPr>
          <w:rStyle w:val="EndnoteReference"/>
          <w:lang w:val="en-AU"/>
        </w:rPr>
        <w:endnoteReference w:id="23"/>
      </w:r>
    </w:p>
    <w:p w:rsidR="00670AA1" w:rsidRDefault="00670AA1" w:rsidP="00670AA1">
      <w:pPr>
        <w:spacing w:after="0"/>
        <w:rPr>
          <w:lang w:val="en-AU"/>
        </w:rPr>
      </w:pPr>
    </w:p>
    <w:p w:rsidR="00907A1B" w:rsidRDefault="00907A1B" w:rsidP="00670AA1">
      <w:pPr>
        <w:spacing w:after="0"/>
        <w:rPr>
          <w:lang w:val="en-AU"/>
        </w:rPr>
      </w:pPr>
      <w:r>
        <w:rPr>
          <w:lang w:val="en-AU"/>
        </w:rPr>
        <w:t xml:space="preserve">The matter of a government decision or power being conditional on approval of another party is directly relevant to the Commonwealth’s involvement in </w:t>
      </w:r>
      <w:r w:rsidR="00946F71">
        <w:rPr>
          <w:lang w:val="en-AU"/>
        </w:rPr>
        <w:t xml:space="preserve">many </w:t>
      </w:r>
      <w:r w:rsidR="00B41731">
        <w:rPr>
          <w:lang w:val="en-AU"/>
        </w:rPr>
        <w:t xml:space="preserve">transport matters, including </w:t>
      </w:r>
      <w:r>
        <w:rPr>
          <w:lang w:val="en-AU"/>
        </w:rPr>
        <w:t xml:space="preserve">roads. </w:t>
      </w:r>
    </w:p>
    <w:p w:rsidR="00670AA1" w:rsidRDefault="00670AA1" w:rsidP="00670AA1">
      <w:pPr>
        <w:spacing w:after="0"/>
        <w:rPr>
          <w:lang w:val="en-AU"/>
        </w:rPr>
      </w:pPr>
    </w:p>
    <w:p w:rsidR="00253C0C" w:rsidRDefault="00946F71" w:rsidP="00670AA1">
      <w:pPr>
        <w:spacing w:after="0"/>
        <w:rPr>
          <w:lang w:val="en-AU"/>
        </w:rPr>
      </w:pPr>
      <w:r>
        <w:rPr>
          <w:lang w:val="en-AU"/>
        </w:rPr>
        <w:t xml:space="preserve">The Constitution does not confer on the Commonwealth a power to directly fund roads.  </w:t>
      </w:r>
      <w:r w:rsidR="00253C0C">
        <w:rPr>
          <w:lang w:val="en-AU"/>
        </w:rPr>
        <w:t xml:space="preserve">The Commonwealth is able to make </w:t>
      </w:r>
      <w:r>
        <w:rPr>
          <w:lang w:val="en-AU"/>
        </w:rPr>
        <w:t>general road</w:t>
      </w:r>
      <w:r w:rsidR="00253C0C">
        <w:rPr>
          <w:lang w:val="en-AU"/>
        </w:rPr>
        <w:t xml:space="preserve"> grants </w:t>
      </w:r>
      <w:r w:rsidR="008B6DD5">
        <w:rPr>
          <w:lang w:val="en-AU"/>
        </w:rPr>
        <w:t xml:space="preserve">only </w:t>
      </w:r>
      <w:r w:rsidR="00253C0C">
        <w:rPr>
          <w:lang w:val="en-AU"/>
        </w:rPr>
        <w:t>because of</w:t>
      </w:r>
      <w:r w:rsidR="00750260">
        <w:rPr>
          <w:lang w:val="en-AU"/>
        </w:rPr>
        <w:t xml:space="preserve"> Constitution</w:t>
      </w:r>
      <w:r w:rsidR="00253C0C">
        <w:rPr>
          <w:lang w:val="en-AU"/>
        </w:rPr>
        <w:t xml:space="preserve"> s.</w:t>
      </w:r>
      <w:r w:rsidR="00750260">
        <w:rPr>
          <w:lang w:val="en-AU"/>
        </w:rPr>
        <w:t>96</w:t>
      </w:r>
      <w:r w:rsidR="00253C0C">
        <w:rPr>
          <w:lang w:val="en-AU"/>
        </w:rPr>
        <w:t xml:space="preserve">.  </w:t>
      </w:r>
      <w:r w:rsidR="00750260">
        <w:rPr>
          <w:lang w:val="en-AU"/>
        </w:rPr>
        <w:t>T</w:t>
      </w:r>
      <w:r w:rsidR="00253C0C">
        <w:rPr>
          <w:lang w:val="en-AU"/>
        </w:rPr>
        <w:t xml:space="preserve">his </w:t>
      </w:r>
      <w:r w:rsidR="00750260">
        <w:rPr>
          <w:lang w:val="en-AU"/>
        </w:rPr>
        <w:t xml:space="preserve">section </w:t>
      </w:r>
      <w:r w:rsidR="00253C0C">
        <w:rPr>
          <w:lang w:val="en-AU"/>
        </w:rPr>
        <w:t>allows any condition to be placed on grants to the States</w:t>
      </w:r>
      <w:r w:rsidR="00750260">
        <w:rPr>
          <w:lang w:val="en-AU"/>
        </w:rPr>
        <w:t>.  For example</w:t>
      </w:r>
      <w:r w:rsidR="008B6DD5">
        <w:rPr>
          <w:lang w:val="en-AU"/>
        </w:rPr>
        <w:t>:</w:t>
      </w:r>
      <w:r w:rsidR="00253C0C">
        <w:rPr>
          <w:lang w:val="en-AU"/>
        </w:rPr>
        <w:t xml:space="preserve"> the </w:t>
      </w:r>
      <w:r w:rsidR="00750260">
        <w:rPr>
          <w:lang w:val="en-AU"/>
        </w:rPr>
        <w:t xml:space="preserve">grant </w:t>
      </w:r>
      <w:r w:rsidR="008B6DD5">
        <w:rPr>
          <w:lang w:val="en-AU"/>
        </w:rPr>
        <w:t>is</w:t>
      </w:r>
      <w:r w:rsidR="00253C0C">
        <w:rPr>
          <w:lang w:val="en-AU"/>
        </w:rPr>
        <w:t xml:space="preserve"> </w:t>
      </w:r>
      <w:r w:rsidR="008B6DD5">
        <w:rPr>
          <w:lang w:val="en-AU"/>
        </w:rPr>
        <w:t xml:space="preserve">to be </w:t>
      </w:r>
      <w:r w:rsidR="00253C0C">
        <w:rPr>
          <w:lang w:val="en-AU"/>
        </w:rPr>
        <w:t>spent on a particular roa</w:t>
      </w:r>
      <w:r w:rsidR="00750260">
        <w:rPr>
          <w:lang w:val="en-AU"/>
        </w:rPr>
        <w:t>d.  However, only Parliament, not the Government</w:t>
      </w:r>
      <w:r w:rsidR="008B6DD5">
        <w:rPr>
          <w:lang w:val="en-AU"/>
        </w:rPr>
        <w:t>,</w:t>
      </w:r>
      <w:r w:rsidR="00750260">
        <w:rPr>
          <w:lang w:val="en-AU"/>
        </w:rPr>
        <w:t xml:space="preserve"> </w:t>
      </w:r>
      <w:r w:rsidR="00253C0C">
        <w:rPr>
          <w:lang w:val="en-AU"/>
        </w:rPr>
        <w:t>may set such condition</w:t>
      </w:r>
      <w:r w:rsidR="00750260">
        <w:rPr>
          <w:lang w:val="en-AU"/>
        </w:rPr>
        <w:t>s</w:t>
      </w:r>
      <w:r w:rsidR="00253C0C">
        <w:rPr>
          <w:lang w:val="en-AU"/>
        </w:rPr>
        <w:t>.</w:t>
      </w:r>
      <w:r w:rsidR="007B4974">
        <w:rPr>
          <w:lang w:val="en-AU"/>
        </w:rPr>
        <w:t xml:space="preserve">  </w:t>
      </w:r>
    </w:p>
    <w:p w:rsidR="00670AA1" w:rsidRDefault="00670AA1" w:rsidP="00670AA1">
      <w:pPr>
        <w:spacing w:after="0"/>
        <w:rPr>
          <w:lang w:val="en-AU"/>
        </w:rPr>
      </w:pPr>
    </w:p>
    <w:p w:rsidR="0012678C" w:rsidRDefault="008F2244" w:rsidP="00670AA1">
      <w:pPr>
        <w:spacing w:after="0"/>
        <w:rPr>
          <w:lang w:val="en-AU"/>
        </w:rPr>
      </w:pPr>
      <w:r>
        <w:rPr>
          <w:lang w:val="en-AU"/>
        </w:rPr>
        <w:t>S.96</w:t>
      </w:r>
      <w:r w:rsidR="0012678C">
        <w:rPr>
          <w:lang w:val="en-AU"/>
        </w:rPr>
        <w:t xml:space="preserve"> allows </w:t>
      </w:r>
      <w:r w:rsidR="00F158C7">
        <w:rPr>
          <w:lang w:val="en-AU"/>
        </w:rPr>
        <w:t xml:space="preserve">the Commonwealth </w:t>
      </w:r>
      <w:r w:rsidR="0012678C">
        <w:rPr>
          <w:lang w:val="en-AU"/>
        </w:rPr>
        <w:t>Parliament to intrude into State affairs via grants.  If it does allow the Government to also so intrude, it is only with the approval of Parliament.</w:t>
      </w:r>
      <w:r w:rsidR="00A46D2F">
        <w:rPr>
          <w:rStyle w:val="EndnoteReference"/>
          <w:lang w:val="en-AU"/>
        </w:rPr>
        <w:endnoteReference w:id="24"/>
      </w:r>
    </w:p>
    <w:p w:rsidR="00670AA1" w:rsidRDefault="00670AA1" w:rsidP="00670AA1">
      <w:pPr>
        <w:spacing w:after="0"/>
        <w:rPr>
          <w:lang w:val="en-AU"/>
        </w:rPr>
      </w:pPr>
    </w:p>
    <w:p w:rsidR="00670AA1" w:rsidRDefault="00260164" w:rsidP="00670AA1">
      <w:pPr>
        <w:spacing w:after="0"/>
        <w:rPr>
          <w:lang w:val="en-AU"/>
        </w:rPr>
      </w:pPr>
      <w:r>
        <w:rPr>
          <w:lang w:val="en-AU"/>
        </w:rPr>
        <w:t xml:space="preserve">The </w:t>
      </w:r>
      <w:r w:rsidR="00714564">
        <w:rPr>
          <w:lang w:val="en-AU"/>
        </w:rPr>
        <w:t xml:space="preserve">main </w:t>
      </w:r>
      <w:r w:rsidR="00E91A3D">
        <w:rPr>
          <w:lang w:val="en-AU"/>
        </w:rPr>
        <w:t>practical</w:t>
      </w:r>
      <w:r>
        <w:rPr>
          <w:lang w:val="en-AU"/>
        </w:rPr>
        <w:t xml:space="preserve"> difference between Parliament and the Government is the Senate.</w:t>
      </w:r>
      <w:r w:rsidR="00670AA1">
        <w:rPr>
          <w:lang w:val="en-AU"/>
        </w:rPr>
        <w:t xml:space="preserve">  </w:t>
      </w:r>
      <w:r>
        <w:rPr>
          <w:lang w:val="en-AU"/>
        </w:rPr>
        <w:t xml:space="preserve">The Senate was envisaged as a States’ house to review </w:t>
      </w:r>
      <w:r w:rsidR="00986242">
        <w:rPr>
          <w:lang w:val="en-AU"/>
        </w:rPr>
        <w:t xml:space="preserve">legislative </w:t>
      </w:r>
      <w:r>
        <w:rPr>
          <w:lang w:val="en-AU"/>
        </w:rPr>
        <w:t xml:space="preserve">proposals by the Government.  </w:t>
      </w:r>
      <w:r w:rsidR="00F54E91">
        <w:rPr>
          <w:lang w:val="en-AU"/>
        </w:rPr>
        <w:t>Is c</w:t>
      </w:r>
      <w:r>
        <w:rPr>
          <w:lang w:val="en-AU"/>
        </w:rPr>
        <w:t xml:space="preserve">ontroversy </w:t>
      </w:r>
      <w:r w:rsidR="0012678C">
        <w:rPr>
          <w:lang w:val="en-AU"/>
        </w:rPr>
        <w:t>about</w:t>
      </w:r>
      <w:r>
        <w:rPr>
          <w:lang w:val="en-AU"/>
        </w:rPr>
        <w:t xml:space="preserve"> Commonwealth intrusion into State </w:t>
      </w:r>
      <w:r w:rsidR="00E91A3D">
        <w:rPr>
          <w:lang w:val="en-AU"/>
        </w:rPr>
        <w:t xml:space="preserve">affairs a </w:t>
      </w:r>
      <w:r w:rsidR="0012678C">
        <w:rPr>
          <w:lang w:val="en-AU"/>
        </w:rPr>
        <w:t>matter</w:t>
      </w:r>
      <w:r w:rsidR="00E91A3D">
        <w:rPr>
          <w:lang w:val="en-AU"/>
        </w:rPr>
        <w:t xml:space="preserve"> of</w:t>
      </w:r>
      <w:r>
        <w:rPr>
          <w:lang w:val="en-AU"/>
        </w:rPr>
        <w:t xml:space="preserve"> tension between </w:t>
      </w:r>
      <w:r w:rsidR="00670AA1">
        <w:rPr>
          <w:lang w:val="en-AU"/>
        </w:rPr>
        <w:t xml:space="preserve">the </w:t>
      </w:r>
      <w:r>
        <w:rPr>
          <w:lang w:val="en-AU"/>
        </w:rPr>
        <w:t>Government and States, rather than Parliament and States</w:t>
      </w:r>
      <w:r w:rsidR="003367E6">
        <w:rPr>
          <w:lang w:val="en-AU"/>
        </w:rPr>
        <w:t>?</w:t>
      </w:r>
      <w:r>
        <w:rPr>
          <w:lang w:val="en-AU"/>
        </w:rPr>
        <w:t xml:space="preserve"> </w:t>
      </w:r>
      <w:r w:rsidR="00F158C7">
        <w:rPr>
          <w:lang w:val="en-AU"/>
        </w:rPr>
        <w:t xml:space="preserve">  </w:t>
      </w:r>
      <w:r w:rsidR="00E56C54">
        <w:rPr>
          <w:lang w:val="en-AU"/>
        </w:rPr>
        <w:t>I</w:t>
      </w:r>
      <w:r w:rsidR="00F54E91">
        <w:rPr>
          <w:lang w:val="en-AU"/>
        </w:rPr>
        <w:t>s it part</w:t>
      </w:r>
      <w:r w:rsidR="00F158C7">
        <w:rPr>
          <w:lang w:val="en-AU"/>
        </w:rPr>
        <w:t xml:space="preserve"> of ongoing attempts by executive governments </w:t>
      </w:r>
    </w:p>
    <w:p w:rsidR="0012678C" w:rsidRDefault="00F158C7" w:rsidP="00670AA1">
      <w:pPr>
        <w:spacing w:after="0"/>
        <w:rPr>
          <w:lang w:val="en-AU"/>
        </w:rPr>
      </w:pPr>
      <w:r>
        <w:rPr>
          <w:lang w:val="en-AU"/>
        </w:rPr>
        <w:t xml:space="preserve">to </w:t>
      </w:r>
      <w:r w:rsidR="008A56B2">
        <w:rPr>
          <w:lang w:val="en-AU"/>
        </w:rPr>
        <w:t>generally e</w:t>
      </w:r>
      <w:r>
        <w:rPr>
          <w:lang w:val="en-AU"/>
        </w:rPr>
        <w:t>xpand their influence</w:t>
      </w:r>
      <w:r w:rsidR="003367E6">
        <w:rPr>
          <w:lang w:val="en-AU"/>
        </w:rPr>
        <w:t>?</w:t>
      </w:r>
      <w:r w:rsidR="00670AA1" w:rsidRPr="00670AA1">
        <w:rPr>
          <w:rStyle w:val="EndnoteReference"/>
          <w:lang w:val="en-AU"/>
        </w:rPr>
        <w:t xml:space="preserve"> </w:t>
      </w:r>
      <w:r w:rsidR="00670AA1">
        <w:rPr>
          <w:rStyle w:val="EndnoteReference"/>
          <w:lang w:val="en-AU"/>
        </w:rPr>
        <w:endnoteReference w:id="25"/>
      </w:r>
    </w:p>
    <w:p w:rsidR="00670AA1" w:rsidRDefault="00670AA1" w:rsidP="00670AA1">
      <w:pPr>
        <w:spacing w:after="0"/>
        <w:rPr>
          <w:lang w:val="en-AU"/>
        </w:rPr>
      </w:pPr>
    </w:p>
    <w:p w:rsidR="00946F71" w:rsidRDefault="00D557EB" w:rsidP="00670AA1">
      <w:pPr>
        <w:spacing w:after="0"/>
        <w:rPr>
          <w:lang w:val="en-AU"/>
        </w:rPr>
      </w:pPr>
      <w:r>
        <w:rPr>
          <w:lang w:val="en-AU"/>
        </w:rPr>
        <w:t>In</w:t>
      </w:r>
      <w:r w:rsidR="00F93165">
        <w:rPr>
          <w:lang w:val="en-AU"/>
        </w:rPr>
        <w:t xml:space="preserve"> areas where the Commonwealth lacks direct Constitutional authority, </w:t>
      </w:r>
      <w:r>
        <w:rPr>
          <w:lang w:val="en-AU"/>
        </w:rPr>
        <w:t xml:space="preserve">where it </w:t>
      </w:r>
      <w:r w:rsidR="00F93165">
        <w:rPr>
          <w:lang w:val="en-AU"/>
        </w:rPr>
        <w:t>needs to rely on grants to the</w:t>
      </w:r>
      <w:r>
        <w:rPr>
          <w:lang w:val="en-AU"/>
        </w:rPr>
        <w:t xml:space="preserve"> S</w:t>
      </w:r>
      <w:r w:rsidR="00F93165">
        <w:rPr>
          <w:lang w:val="en-AU"/>
        </w:rPr>
        <w:t>tates</w:t>
      </w:r>
      <w:r>
        <w:rPr>
          <w:lang w:val="en-AU"/>
        </w:rPr>
        <w:t xml:space="preserve"> and </w:t>
      </w:r>
      <w:r w:rsidR="00700FDA">
        <w:rPr>
          <w:lang w:val="en-AU"/>
        </w:rPr>
        <w:t xml:space="preserve">in </w:t>
      </w:r>
      <w:r w:rsidR="00714564">
        <w:rPr>
          <w:lang w:val="en-AU"/>
        </w:rPr>
        <w:t>S</w:t>
      </w:r>
      <w:r>
        <w:rPr>
          <w:lang w:val="en-AU"/>
        </w:rPr>
        <w:t>tate relations more generally</w:t>
      </w:r>
      <w:r w:rsidR="00F93165">
        <w:rPr>
          <w:lang w:val="en-AU"/>
        </w:rPr>
        <w:t xml:space="preserve">, </w:t>
      </w:r>
      <w:r>
        <w:rPr>
          <w:lang w:val="en-AU"/>
        </w:rPr>
        <w:t xml:space="preserve">Parliament </w:t>
      </w:r>
      <w:r w:rsidR="00E42512">
        <w:rPr>
          <w:lang w:val="en-AU"/>
        </w:rPr>
        <w:t>can</w:t>
      </w:r>
      <w:r w:rsidR="00E56C54">
        <w:rPr>
          <w:lang w:val="en-AU"/>
        </w:rPr>
        <w:t xml:space="preserve"> and </w:t>
      </w:r>
      <w:r w:rsidR="00F54E91">
        <w:rPr>
          <w:lang w:val="en-AU"/>
        </w:rPr>
        <w:t xml:space="preserve">in my view </w:t>
      </w:r>
      <w:r>
        <w:rPr>
          <w:lang w:val="en-AU"/>
        </w:rPr>
        <w:t xml:space="preserve">should take an (more) active role in its oversight of the Government.   </w:t>
      </w:r>
      <w:r w:rsidR="00946F71">
        <w:rPr>
          <w:lang w:val="en-AU"/>
        </w:rPr>
        <w:t>One of these areas is grants to the States for roads and other infrastructure.</w:t>
      </w:r>
    </w:p>
    <w:p w:rsidR="00670AA1" w:rsidRDefault="00670AA1" w:rsidP="00670AA1">
      <w:pPr>
        <w:spacing w:after="0"/>
        <w:rPr>
          <w:lang w:val="en-AU"/>
        </w:rPr>
      </w:pPr>
    </w:p>
    <w:p w:rsidR="00986242" w:rsidRDefault="00986242" w:rsidP="00670AA1">
      <w:pPr>
        <w:spacing w:after="0"/>
        <w:rPr>
          <w:lang w:val="en-AU"/>
        </w:rPr>
      </w:pPr>
      <w:r>
        <w:rPr>
          <w:lang w:val="en-AU"/>
        </w:rPr>
        <w:t xml:space="preserve">How should Parliament inform itself, including about proposals to </w:t>
      </w:r>
      <w:r w:rsidR="007B4974">
        <w:rPr>
          <w:lang w:val="en-AU"/>
        </w:rPr>
        <w:t xml:space="preserve">extend the Government’s reach and </w:t>
      </w:r>
      <w:r>
        <w:rPr>
          <w:lang w:val="en-AU"/>
        </w:rPr>
        <w:t xml:space="preserve">intrude into State affairs?  Presumably it should not </w:t>
      </w:r>
      <w:r w:rsidR="008B2D89">
        <w:rPr>
          <w:lang w:val="en-AU"/>
        </w:rPr>
        <w:t>r</w:t>
      </w:r>
      <w:r>
        <w:rPr>
          <w:lang w:val="en-AU"/>
        </w:rPr>
        <w:t xml:space="preserve">ely wholly on </w:t>
      </w:r>
      <w:r w:rsidR="00946F71">
        <w:rPr>
          <w:lang w:val="en-AU"/>
        </w:rPr>
        <w:t xml:space="preserve">advice from </w:t>
      </w:r>
      <w:r>
        <w:rPr>
          <w:lang w:val="en-AU"/>
        </w:rPr>
        <w:t xml:space="preserve">the Government, </w:t>
      </w:r>
      <w:r w:rsidR="00E42512">
        <w:rPr>
          <w:lang w:val="en-AU"/>
        </w:rPr>
        <w:t xml:space="preserve">its </w:t>
      </w:r>
      <w:r>
        <w:rPr>
          <w:lang w:val="en-AU"/>
        </w:rPr>
        <w:t>departments and officials.</w:t>
      </w:r>
      <w:r w:rsidR="00CA2E6E">
        <w:rPr>
          <w:rStyle w:val="EndnoteReference"/>
          <w:lang w:val="en-AU"/>
        </w:rPr>
        <w:endnoteReference w:id="26"/>
      </w:r>
    </w:p>
    <w:p w:rsidR="00670AA1" w:rsidRDefault="00670AA1" w:rsidP="00670AA1">
      <w:pPr>
        <w:spacing w:after="0"/>
        <w:rPr>
          <w:lang w:val="en-AU"/>
        </w:rPr>
      </w:pPr>
    </w:p>
    <w:p w:rsidR="00F93E80" w:rsidRDefault="00986242" w:rsidP="00670AA1">
      <w:pPr>
        <w:spacing w:after="0"/>
        <w:rPr>
          <w:lang w:val="en-AU"/>
        </w:rPr>
      </w:pPr>
      <w:r>
        <w:rPr>
          <w:lang w:val="en-AU"/>
        </w:rPr>
        <w:t xml:space="preserve">Rather </w:t>
      </w:r>
      <w:r w:rsidR="00E42512">
        <w:rPr>
          <w:lang w:val="en-AU"/>
        </w:rPr>
        <w:t>Parliament</w:t>
      </w:r>
      <w:r>
        <w:rPr>
          <w:lang w:val="en-AU"/>
        </w:rPr>
        <w:t xml:space="preserve"> could rely on statutory authorities, advisory organisations established by </w:t>
      </w:r>
      <w:r w:rsidR="00700FDA">
        <w:rPr>
          <w:lang w:val="en-AU"/>
        </w:rPr>
        <w:t xml:space="preserve">the </w:t>
      </w:r>
      <w:r>
        <w:rPr>
          <w:lang w:val="en-AU"/>
        </w:rPr>
        <w:t>Constitution or legislation</w:t>
      </w:r>
      <w:r w:rsidR="003367E6">
        <w:rPr>
          <w:lang w:val="en-AU"/>
        </w:rPr>
        <w:t>,</w:t>
      </w:r>
      <w:r w:rsidR="00E56C54">
        <w:rPr>
          <w:lang w:val="en-AU"/>
        </w:rPr>
        <w:t xml:space="preserve"> whose duty is to the Parliament not the executive</w:t>
      </w:r>
      <w:r>
        <w:rPr>
          <w:lang w:val="en-AU"/>
        </w:rPr>
        <w:t xml:space="preserve">.  Examples include the Grants Commission, the currently inactive Interstate Commission, </w:t>
      </w:r>
      <w:r w:rsidR="008A56B2">
        <w:rPr>
          <w:lang w:val="en-AU"/>
        </w:rPr>
        <w:t xml:space="preserve">the Productivity Commission </w:t>
      </w:r>
      <w:r>
        <w:rPr>
          <w:lang w:val="en-AU"/>
        </w:rPr>
        <w:t xml:space="preserve">and Infrastructure Australia. </w:t>
      </w:r>
    </w:p>
    <w:p w:rsidR="00670AA1" w:rsidRDefault="00670AA1" w:rsidP="00670AA1">
      <w:pPr>
        <w:spacing w:after="0"/>
        <w:rPr>
          <w:lang w:val="en-AU"/>
        </w:rPr>
      </w:pPr>
    </w:p>
    <w:p w:rsidR="00986242" w:rsidRDefault="00986242" w:rsidP="00670AA1">
      <w:pPr>
        <w:spacing w:after="0"/>
        <w:rPr>
          <w:lang w:val="en-AU"/>
        </w:rPr>
      </w:pPr>
      <w:r>
        <w:rPr>
          <w:lang w:val="en-AU"/>
        </w:rPr>
        <w:t xml:space="preserve">To the extent organisations </w:t>
      </w:r>
      <w:r w:rsidR="00E56C54">
        <w:rPr>
          <w:lang w:val="en-AU"/>
        </w:rPr>
        <w:t>advise on</w:t>
      </w:r>
      <w:r>
        <w:rPr>
          <w:lang w:val="en-AU"/>
        </w:rPr>
        <w:t xml:space="preserve"> </w:t>
      </w:r>
      <w:r w:rsidR="00E42512">
        <w:rPr>
          <w:lang w:val="en-AU"/>
        </w:rPr>
        <w:t>draft legislation or Commonwealth-State m</w:t>
      </w:r>
      <w:r>
        <w:rPr>
          <w:lang w:val="en-AU"/>
        </w:rPr>
        <w:t xml:space="preserve">atters they should be independent of the Government.  </w:t>
      </w:r>
      <w:r w:rsidR="00714564">
        <w:rPr>
          <w:lang w:val="en-AU"/>
        </w:rPr>
        <w:t>I</w:t>
      </w:r>
      <w:r w:rsidR="00F93E80">
        <w:rPr>
          <w:lang w:val="en-AU"/>
        </w:rPr>
        <w:t>n no way does it imply that independence from beneficiaries, for example States or industry, should be compromised.</w:t>
      </w:r>
    </w:p>
    <w:p w:rsidR="00670AA1" w:rsidRDefault="00670AA1" w:rsidP="00670AA1">
      <w:pPr>
        <w:spacing w:after="0"/>
        <w:rPr>
          <w:lang w:val="en-AU"/>
        </w:rPr>
      </w:pPr>
    </w:p>
    <w:p w:rsidR="00B41731" w:rsidRDefault="00B41731" w:rsidP="00670AA1">
      <w:pPr>
        <w:spacing w:after="0"/>
        <w:rPr>
          <w:lang w:val="en-AU"/>
        </w:rPr>
      </w:pPr>
      <w:r>
        <w:rPr>
          <w:lang w:val="en-AU"/>
        </w:rPr>
        <w:t xml:space="preserve">In the author’s view, consideration of governance principles should lead to a shake-up in Commonwealth-State transport relations, especially for roads.  </w:t>
      </w:r>
    </w:p>
    <w:p w:rsidR="004621ED" w:rsidRDefault="004621ED" w:rsidP="00670AA1">
      <w:pPr>
        <w:pStyle w:val="Heading2"/>
        <w:spacing w:before="0"/>
        <w:rPr>
          <w:lang w:val="en-AU"/>
        </w:rPr>
      </w:pPr>
      <w:r>
        <w:rPr>
          <w:lang w:val="en-AU"/>
        </w:rPr>
        <w:lastRenderedPageBreak/>
        <w:t>A</w:t>
      </w:r>
      <w:r w:rsidR="00C7029F">
        <w:rPr>
          <w:lang w:val="en-AU"/>
        </w:rPr>
        <w:t>n</w:t>
      </w:r>
      <w:r>
        <w:rPr>
          <w:lang w:val="en-AU"/>
        </w:rPr>
        <w:t xml:space="preserve"> aside – intergovernmental forums</w:t>
      </w:r>
    </w:p>
    <w:p w:rsidR="00946F71" w:rsidRDefault="00946F71" w:rsidP="00670AA1">
      <w:pPr>
        <w:spacing w:after="0"/>
        <w:rPr>
          <w:lang w:val="en-AU"/>
        </w:rPr>
      </w:pPr>
      <w:r>
        <w:rPr>
          <w:lang w:val="en-AU"/>
        </w:rPr>
        <w:t>Aren’t there mechanisms in place to deal with these issues; such as intergovernmental forums?</w:t>
      </w:r>
    </w:p>
    <w:p w:rsidR="001826ED" w:rsidRDefault="001826ED" w:rsidP="00670AA1">
      <w:pPr>
        <w:spacing w:after="0"/>
        <w:rPr>
          <w:lang w:val="en-AU"/>
        </w:rPr>
      </w:pPr>
    </w:p>
    <w:p w:rsidR="000B25CA" w:rsidRDefault="00946F71" w:rsidP="00670AA1">
      <w:pPr>
        <w:spacing w:after="0"/>
        <w:rPr>
          <w:lang w:val="en-AU"/>
        </w:rPr>
      </w:pPr>
      <w:r>
        <w:rPr>
          <w:lang w:val="en-AU"/>
        </w:rPr>
        <w:t xml:space="preserve">Indeed there are a </w:t>
      </w:r>
      <w:r w:rsidR="002710B2">
        <w:rPr>
          <w:lang w:val="en-AU"/>
        </w:rPr>
        <w:t>number of official forums deal</w:t>
      </w:r>
      <w:r>
        <w:rPr>
          <w:lang w:val="en-AU"/>
        </w:rPr>
        <w:t>ing</w:t>
      </w:r>
      <w:r w:rsidR="002710B2">
        <w:rPr>
          <w:lang w:val="en-AU"/>
        </w:rPr>
        <w:t xml:space="preserve"> with Commonwealth-</w:t>
      </w:r>
      <w:r w:rsidR="004A595A">
        <w:rPr>
          <w:lang w:val="en-AU"/>
        </w:rPr>
        <w:t>State matter</w:t>
      </w:r>
      <w:r w:rsidR="0059551F">
        <w:rPr>
          <w:lang w:val="en-AU"/>
        </w:rPr>
        <w:t>s</w:t>
      </w:r>
      <w:r w:rsidR="002710B2">
        <w:rPr>
          <w:lang w:val="en-AU"/>
        </w:rPr>
        <w:t xml:space="preserve">, notably the Council of Australian Governments and Ministerial Councils.  </w:t>
      </w:r>
      <w:r w:rsidR="000B25CA">
        <w:rPr>
          <w:lang w:val="en-AU"/>
        </w:rPr>
        <w:t xml:space="preserve">Councils comprise Ministers from each Australian jurisdiction, and usually are chaired by the Commonwealth Minister.   </w:t>
      </w:r>
    </w:p>
    <w:p w:rsidR="001826ED" w:rsidRDefault="001826ED" w:rsidP="00670AA1">
      <w:pPr>
        <w:spacing w:after="0"/>
        <w:rPr>
          <w:lang w:val="en-AU"/>
        </w:rPr>
      </w:pPr>
    </w:p>
    <w:p w:rsidR="001826ED" w:rsidRDefault="002710B2" w:rsidP="00670AA1">
      <w:pPr>
        <w:spacing w:after="0"/>
        <w:rPr>
          <w:lang w:val="en-AU"/>
        </w:rPr>
      </w:pPr>
      <w:r>
        <w:rPr>
          <w:lang w:val="en-AU"/>
        </w:rPr>
        <w:t xml:space="preserve">One Ministerial Council is the Standing Council on Transport </w:t>
      </w:r>
      <w:r w:rsidR="006C7934">
        <w:rPr>
          <w:lang w:val="en-AU"/>
        </w:rPr>
        <w:t>etc.</w:t>
      </w:r>
      <w:r>
        <w:rPr>
          <w:lang w:val="en-AU"/>
        </w:rPr>
        <w:t xml:space="preserve">, formerly the </w:t>
      </w:r>
      <w:r w:rsidR="004621ED">
        <w:rPr>
          <w:lang w:val="en-AU"/>
        </w:rPr>
        <w:t>Aus</w:t>
      </w:r>
      <w:r w:rsidR="00983BDE">
        <w:rPr>
          <w:lang w:val="en-AU"/>
        </w:rPr>
        <w:t>t</w:t>
      </w:r>
      <w:r w:rsidR="004621ED">
        <w:rPr>
          <w:lang w:val="en-AU"/>
        </w:rPr>
        <w:t>ralian Transport Counci</w:t>
      </w:r>
      <w:r w:rsidR="000B25CA">
        <w:rPr>
          <w:lang w:val="en-AU"/>
        </w:rPr>
        <w:t xml:space="preserve">l.  </w:t>
      </w:r>
      <w:r w:rsidR="004621ED">
        <w:rPr>
          <w:lang w:val="en-AU"/>
        </w:rPr>
        <w:t>It</w:t>
      </w:r>
      <w:r w:rsidR="00946F71">
        <w:rPr>
          <w:lang w:val="en-AU"/>
        </w:rPr>
        <w:t xml:space="preserve"> apparently is informed to some extent about Commonwealth infrastructure funding intentions.  However its general</w:t>
      </w:r>
      <w:r>
        <w:rPr>
          <w:lang w:val="en-AU"/>
        </w:rPr>
        <w:t xml:space="preserve"> agenda </w:t>
      </w:r>
      <w:r w:rsidR="00366395">
        <w:rPr>
          <w:lang w:val="en-AU"/>
        </w:rPr>
        <w:t>look</w:t>
      </w:r>
      <w:r>
        <w:rPr>
          <w:lang w:val="en-AU"/>
        </w:rPr>
        <w:t>s unambitious</w:t>
      </w:r>
      <w:r w:rsidR="007B4974">
        <w:rPr>
          <w:lang w:val="en-AU"/>
        </w:rPr>
        <w:t>,</w:t>
      </w:r>
      <w:r>
        <w:rPr>
          <w:lang w:val="en-AU"/>
        </w:rPr>
        <w:t xml:space="preserve"> it achieves less </w:t>
      </w:r>
      <w:r w:rsidR="007B4974">
        <w:rPr>
          <w:lang w:val="en-AU"/>
        </w:rPr>
        <w:t xml:space="preserve">more </w:t>
      </w:r>
      <w:r>
        <w:rPr>
          <w:lang w:val="en-AU"/>
        </w:rPr>
        <w:t xml:space="preserve">slowly. </w:t>
      </w:r>
      <w:r w:rsidR="007B4974">
        <w:rPr>
          <w:lang w:val="en-AU"/>
        </w:rPr>
        <w:t xml:space="preserve"> </w:t>
      </w:r>
      <w:r>
        <w:rPr>
          <w:lang w:val="en-AU"/>
        </w:rPr>
        <w:t xml:space="preserve">Its sessions are closed to the public, </w:t>
      </w:r>
      <w:r w:rsidR="004621ED">
        <w:rPr>
          <w:lang w:val="en-AU"/>
        </w:rPr>
        <w:t xml:space="preserve">communications </w:t>
      </w:r>
      <w:r w:rsidR="00287B95">
        <w:rPr>
          <w:lang w:val="en-AU"/>
        </w:rPr>
        <w:t>can be</w:t>
      </w:r>
      <w:r w:rsidR="004621ED">
        <w:rPr>
          <w:lang w:val="en-AU"/>
        </w:rPr>
        <w:t xml:space="preserve"> </w:t>
      </w:r>
      <w:r w:rsidR="00A219F3">
        <w:rPr>
          <w:lang w:val="en-AU"/>
        </w:rPr>
        <w:t>terse</w:t>
      </w:r>
      <w:r w:rsidR="004621ED">
        <w:rPr>
          <w:lang w:val="en-AU"/>
        </w:rPr>
        <w:t xml:space="preserve">, and follow through </w:t>
      </w:r>
      <w:r w:rsidR="001079BA">
        <w:rPr>
          <w:lang w:val="en-AU"/>
        </w:rPr>
        <w:t xml:space="preserve">at times </w:t>
      </w:r>
      <w:r w:rsidR="008A56B2">
        <w:rPr>
          <w:lang w:val="en-AU"/>
        </w:rPr>
        <w:t xml:space="preserve">has </w:t>
      </w:r>
      <w:r w:rsidR="001079BA">
        <w:rPr>
          <w:lang w:val="en-AU"/>
        </w:rPr>
        <w:t>been</w:t>
      </w:r>
      <w:r w:rsidR="00D00779">
        <w:rPr>
          <w:lang w:val="en-AU"/>
        </w:rPr>
        <w:t xml:space="preserve"> </w:t>
      </w:r>
      <w:r w:rsidR="004621ED">
        <w:rPr>
          <w:lang w:val="en-AU"/>
        </w:rPr>
        <w:t>limited.</w:t>
      </w:r>
      <w:r w:rsidR="000F6F71">
        <w:rPr>
          <w:rStyle w:val="EndnoteReference"/>
          <w:lang w:val="en-AU"/>
        </w:rPr>
        <w:endnoteReference w:id="27"/>
      </w:r>
    </w:p>
    <w:p w:rsidR="001826ED" w:rsidRDefault="001826ED" w:rsidP="00670AA1">
      <w:pPr>
        <w:spacing w:after="0"/>
        <w:rPr>
          <w:lang w:val="en-AU"/>
        </w:rPr>
      </w:pPr>
    </w:p>
    <w:p w:rsidR="00B41731" w:rsidRDefault="002710B2" w:rsidP="00670AA1">
      <w:pPr>
        <w:spacing w:after="0"/>
        <w:rPr>
          <w:lang w:val="en-AU"/>
        </w:rPr>
      </w:pPr>
      <w:r>
        <w:rPr>
          <w:lang w:val="en-AU"/>
        </w:rPr>
        <w:t>This</w:t>
      </w:r>
      <w:r w:rsidR="003367E6">
        <w:rPr>
          <w:lang w:val="en-AU"/>
        </w:rPr>
        <w:t xml:space="preserve"> </w:t>
      </w:r>
      <w:r>
        <w:rPr>
          <w:lang w:val="en-AU"/>
        </w:rPr>
        <w:t>under many different combinations of Coalition and Labor</w:t>
      </w:r>
      <w:r w:rsidR="007B4974">
        <w:rPr>
          <w:lang w:val="en-AU"/>
        </w:rPr>
        <w:t>,</w:t>
      </w:r>
      <w:r>
        <w:rPr>
          <w:lang w:val="en-AU"/>
        </w:rPr>
        <w:t xml:space="preserve"> Commonwealth and </w:t>
      </w:r>
      <w:r w:rsidR="004621ED">
        <w:rPr>
          <w:lang w:val="en-AU"/>
        </w:rPr>
        <w:t>State Governments</w:t>
      </w:r>
      <w:r w:rsidR="00625138">
        <w:rPr>
          <w:lang w:val="en-AU"/>
        </w:rPr>
        <w:t>, Secretaries and Directors General</w:t>
      </w:r>
      <w:r w:rsidR="00B41731">
        <w:rPr>
          <w:lang w:val="en-AU"/>
        </w:rPr>
        <w:t>, and under undoubted good intentions and diligent efforts of many capable people</w:t>
      </w:r>
      <w:r w:rsidR="004621ED">
        <w:rPr>
          <w:lang w:val="en-AU"/>
        </w:rPr>
        <w:t xml:space="preserve">.  </w:t>
      </w:r>
      <w:r w:rsidR="00AE1A02">
        <w:rPr>
          <w:lang w:val="en-AU"/>
        </w:rPr>
        <w:t xml:space="preserve">Its </w:t>
      </w:r>
      <w:r>
        <w:rPr>
          <w:lang w:val="en-AU"/>
        </w:rPr>
        <w:t>shortcoming</w:t>
      </w:r>
      <w:r w:rsidR="00A219F3">
        <w:rPr>
          <w:lang w:val="en-AU"/>
        </w:rPr>
        <w:t>s</w:t>
      </w:r>
      <w:r>
        <w:rPr>
          <w:lang w:val="en-AU"/>
        </w:rPr>
        <w:t xml:space="preserve"> </w:t>
      </w:r>
      <w:r w:rsidR="00625138">
        <w:rPr>
          <w:lang w:val="en-AU"/>
        </w:rPr>
        <w:t>a</w:t>
      </w:r>
      <w:r w:rsidR="00F54E91">
        <w:rPr>
          <w:lang w:val="en-AU"/>
        </w:rPr>
        <w:t>ppear to be</w:t>
      </w:r>
      <w:r>
        <w:rPr>
          <w:lang w:val="en-AU"/>
        </w:rPr>
        <w:t xml:space="preserve"> s</w:t>
      </w:r>
      <w:r w:rsidR="004621ED">
        <w:rPr>
          <w:lang w:val="en-AU"/>
        </w:rPr>
        <w:t xml:space="preserve">tructural </w:t>
      </w:r>
      <w:r w:rsidR="00625138">
        <w:rPr>
          <w:lang w:val="en-AU"/>
        </w:rPr>
        <w:t>not</w:t>
      </w:r>
      <w:r>
        <w:rPr>
          <w:lang w:val="en-AU"/>
        </w:rPr>
        <w:t xml:space="preserve"> personal</w:t>
      </w:r>
      <w:r w:rsidR="00B41731">
        <w:rPr>
          <w:lang w:val="en-AU"/>
        </w:rPr>
        <w:t xml:space="preserve"> </w:t>
      </w:r>
      <w:r w:rsidR="006C7934">
        <w:rPr>
          <w:lang w:val="en-AU"/>
        </w:rPr>
        <w:t>i.e.</w:t>
      </w:r>
      <w:r w:rsidR="001826ED">
        <w:rPr>
          <w:lang w:val="en-AU"/>
        </w:rPr>
        <w:t xml:space="preserve"> they seem</w:t>
      </w:r>
      <w:r w:rsidR="00B41731">
        <w:rPr>
          <w:lang w:val="en-AU"/>
        </w:rPr>
        <w:t xml:space="preserve"> governance related</w:t>
      </w:r>
      <w:r>
        <w:rPr>
          <w:lang w:val="en-AU"/>
        </w:rPr>
        <w:t>.</w:t>
      </w:r>
      <w:r w:rsidR="008A06F8" w:rsidRPr="008A06F8">
        <w:rPr>
          <w:rStyle w:val="EndnoteReference"/>
          <w:lang w:val="en-AU"/>
        </w:rPr>
        <w:t xml:space="preserve"> </w:t>
      </w:r>
    </w:p>
    <w:p w:rsidR="000F6F71" w:rsidRDefault="000F6F71" w:rsidP="00670AA1">
      <w:pPr>
        <w:spacing w:after="0"/>
        <w:rPr>
          <w:lang w:val="en-AU"/>
        </w:rPr>
      </w:pPr>
    </w:p>
    <w:p w:rsidR="00A46D2F" w:rsidRDefault="00A219F3" w:rsidP="00670AA1">
      <w:pPr>
        <w:spacing w:after="0"/>
        <w:rPr>
          <w:lang w:val="en-AU"/>
        </w:rPr>
      </w:pPr>
      <w:r>
        <w:rPr>
          <w:lang w:val="en-AU"/>
        </w:rPr>
        <w:t xml:space="preserve">A number of </w:t>
      </w:r>
      <w:r w:rsidR="006B46AF">
        <w:rPr>
          <w:lang w:val="en-AU"/>
        </w:rPr>
        <w:t>governance</w:t>
      </w:r>
      <w:r w:rsidR="00366395">
        <w:rPr>
          <w:lang w:val="en-AU"/>
        </w:rPr>
        <w:t xml:space="preserve"> questions </w:t>
      </w:r>
      <w:r>
        <w:rPr>
          <w:lang w:val="en-AU"/>
        </w:rPr>
        <w:t>are evident</w:t>
      </w:r>
      <w:r w:rsidR="000B25CA">
        <w:rPr>
          <w:lang w:val="en-AU"/>
        </w:rPr>
        <w:t>:</w:t>
      </w:r>
      <w:r>
        <w:rPr>
          <w:lang w:val="en-AU"/>
        </w:rPr>
        <w:t xml:space="preserve"> </w:t>
      </w:r>
      <w:r w:rsidR="00366395">
        <w:rPr>
          <w:lang w:val="en-AU"/>
        </w:rPr>
        <w:t>is the</w:t>
      </w:r>
      <w:r w:rsidR="00443110">
        <w:rPr>
          <w:lang w:val="en-AU"/>
        </w:rPr>
        <w:t xml:space="preserve"> agenda </w:t>
      </w:r>
      <w:r w:rsidR="00366395">
        <w:rPr>
          <w:lang w:val="en-AU"/>
        </w:rPr>
        <w:t>set</w:t>
      </w:r>
      <w:r w:rsidR="00443110">
        <w:rPr>
          <w:lang w:val="en-AU"/>
        </w:rPr>
        <w:t xml:space="preserve"> by </w:t>
      </w:r>
      <w:r w:rsidR="00CD49F9">
        <w:rPr>
          <w:lang w:val="en-AU"/>
        </w:rPr>
        <w:t xml:space="preserve">officials who </w:t>
      </w:r>
      <w:r w:rsidR="006B46AF">
        <w:rPr>
          <w:lang w:val="en-AU"/>
        </w:rPr>
        <w:t>face a conflict</w:t>
      </w:r>
      <w:r w:rsidR="00CD49F9">
        <w:rPr>
          <w:lang w:val="en-AU"/>
        </w:rPr>
        <w:t xml:space="preserve">; </w:t>
      </w:r>
      <w:r w:rsidR="00366395">
        <w:rPr>
          <w:lang w:val="en-AU"/>
        </w:rPr>
        <w:t xml:space="preserve">if the Commonwealth has the </w:t>
      </w:r>
      <w:r w:rsidR="00CD49F9">
        <w:rPr>
          <w:lang w:val="en-AU"/>
        </w:rPr>
        <w:t>least responsibility for and most contentious involvement in t</w:t>
      </w:r>
      <w:r w:rsidR="006B46AF">
        <w:rPr>
          <w:lang w:val="en-AU"/>
        </w:rPr>
        <w:t>he subject matter</w:t>
      </w:r>
      <w:r w:rsidR="00366395">
        <w:rPr>
          <w:lang w:val="en-AU"/>
        </w:rPr>
        <w:t xml:space="preserve"> why does it occupy the chair</w:t>
      </w:r>
      <w:r w:rsidR="00CD49F9">
        <w:rPr>
          <w:lang w:val="en-AU"/>
        </w:rPr>
        <w:t xml:space="preserve">; </w:t>
      </w:r>
      <w:r w:rsidR="00366395">
        <w:rPr>
          <w:lang w:val="en-AU"/>
        </w:rPr>
        <w:t>is there sufficient</w:t>
      </w:r>
      <w:r w:rsidR="00CD49F9">
        <w:rPr>
          <w:lang w:val="en-AU"/>
        </w:rPr>
        <w:t xml:space="preserve"> involvement </w:t>
      </w:r>
      <w:r w:rsidR="00422D07">
        <w:rPr>
          <w:lang w:val="en-AU"/>
        </w:rPr>
        <w:t xml:space="preserve">by </w:t>
      </w:r>
      <w:r w:rsidR="00CD49F9">
        <w:rPr>
          <w:lang w:val="en-AU"/>
        </w:rPr>
        <w:t xml:space="preserve">or </w:t>
      </w:r>
      <w:r w:rsidR="00366395">
        <w:rPr>
          <w:lang w:val="en-AU"/>
        </w:rPr>
        <w:t>‘reporting back’ to</w:t>
      </w:r>
      <w:r w:rsidR="00CD49F9">
        <w:rPr>
          <w:lang w:val="en-AU"/>
        </w:rPr>
        <w:t xml:space="preserve"> </w:t>
      </w:r>
      <w:r w:rsidR="00366395">
        <w:rPr>
          <w:lang w:val="en-AU"/>
        </w:rPr>
        <w:t xml:space="preserve">the </w:t>
      </w:r>
      <w:r w:rsidR="00CD49F9">
        <w:rPr>
          <w:lang w:val="en-AU"/>
        </w:rPr>
        <w:t>Commonwealth Parliament</w:t>
      </w:r>
      <w:r w:rsidR="00763D5E">
        <w:rPr>
          <w:lang w:val="en-AU"/>
        </w:rPr>
        <w:t xml:space="preserve">; </w:t>
      </w:r>
      <w:r w:rsidR="00366395">
        <w:rPr>
          <w:lang w:val="en-AU"/>
        </w:rPr>
        <w:t xml:space="preserve">why the </w:t>
      </w:r>
      <w:r w:rsidR="00763D5E">
        <w:rPr>
          <w:lang w:val="en-AU"/>
        </w:rPr>
        <w:t>limited transparency</w:t>
      </w:r>
      <w:r w:rsidR="00AE1A02">
        <w:rPr>
          <w:lang w:val="en-AU"/>
        </w:rPr>
        <w:t>?</w:t>
      </w:r>
      <w:r w:rsidR="00A46D2F">
        <w:rPr>
          <w:rStyle w:val="EndnoteReference"/>
          <w:lang w:val="en-AU"/>
        </w:rPr>
        <w:endnoteReference w:id="28"/>
      </w:r>
      <w:r w:rsidR="00CD49F9">
        <w:rPr>
          <w:lang w:val="en-AU"/>
        </w:rPr>
        <w:t xml:space="preserve"> </w:t>
      </w:r>
    </w:p>
    <w:p w:rsidR="001826ED" w:rsidRDefault="001826ED" w:rsidP="00670AA1">
      <w:pPr>
        <w:spacing w:after="0"/>
        <w:rPr>
          <w:lang w:val="en-AU"/>
        </w:rPr>
      </w:pPr>
    </w:p>
    <w:p w:rsidR="00A219F3" w:rsidRDefault="0059551F" w:rsidP="00670AA1">
      <w:pPr>
        <w:spacing w:after="0"/>
        <w:rPr>
          <w:lang w:val="en-AU"/>
        </w:rPr>
      </w:pPr>
      <w:r>
        <w:rPr>
          <w:lang w:val="en-AU"/>
        </w:rPr>
        <w:t>Other questions</w:t>
      </w:r>
      <w:r w:rsidR="001E3B97">
        <w:rPr>
          <w:lang w:val="en-AU"/>
        </w:rPr>
        <w:t>:</w:t>
      </w:r>
      <w:r w:rsidR="00CD49F9">
        <w:rPr>
          <w:lang w:val="en-AU"/>
        </w:rPr>
        <w:t xml:space="preserve"> </w:t>
      </w:r>
      <w:r>
        <w:rPr>
          <w:lang w:val="en-AU"/>
        </w:rPr>
        <w:t xml:space="preserve">why is </w:t>
      </w:r>
      <w:r w:rsidR="00CD49F9">
        <w:rPr>
          <w:lang w:val="en-AU"/>
        </w:rPr>
        <w:t xml:space="preserve">almost every matter </w:t>
      </w:r>
      <w:r w:rsidR="00995035">
        <w:rPr>
          <w:lang w:val="en-AU"/>
        </w:rPr>
        <w:t xml:space="preserve">of consequence </w:t>
      </w:r>
      <w:r w:rsidR="00CD49F9">
        <w:rPr>
          <w:lang w:val="en-AU"/>
        </w:rPr>
        <w:t>initiated by external parties</w:t>
      </w:r>
      <w:r w:rsidR="00B41731">
        <w:rPr>
          <w:lang w:val="en-AU"/>
        </w:rPr>
        <w:t>?</w:t>
      </w:r>
      <w:r w:rsidR="008A56B2">
        <w:rPr>
          <w:lang w:val="en-AU"/>
        </w:rPr>
        <w:t xml:space="preserve">  </w:t>
      </w:r>
      <w:r w:rsidR="00E91A3D">
        <w:rPr>
          <w:lang w:val="en-AU"/>
        </w:rPr>
        <w:t xml:space="preserve">Why </w:t>
      </w:r>
      <w:r w:rsidR="00A331E4">
        <w:rPr>
          <w:lang w:val="en-AU"/>
        </w:rPr>
        <w:t xml:space="preserve">do States participate in the forum? </w:t>
      </w:r>
    </w:p>
    <w:p w:rsidR="001826ED" w:rsidRDefault="001826ED" w:rsidP="00670AA1">
      <w:pPr>
        <w:spacing w:after="0"/>
        <w:rPr>
          <w:lang w:val="en-AU"/>
        </w:rPr>
      </w:pPr>
    </w:p>
    <w:p w:rsidR="00986242" w:rsidRDefault="00A46D2F" w:rsidP="00670AA1">
      <w:pPr>
        <w:pStyle w:val="Heading2"/>
        <w:spacing w:before="0"/>
        <w:rPr>
          <w:lang w:val="en-AU"/>
        </w:rPr>
      </w:pPr>
      <w:r>
        <w:rPr>
          <w:lang w:val="en-AU"/>
        </w:rPr>
        <w:t>So</w:t>
      </w:r>
      <w:r w:rsidR="00F93E80">
        <w:rPr>
          <w:lang w:val="en-AU"/>
        </w:rPr>
        <w:t>…..?</w:t>
      </w:r>
    </w:p>
    <w:p w:rsidR="0064383F" w:rsidRDefault="00946F71" w:rsidP="00670AA1">
      <w:pPr>
        <w:spacing w:after="0"/>
        <w:rPr>
          <w:lang w:val="en-AU"/>
        </w:rPr>
      </w:pPr>
      <w:r>
        <w:rPr>
          <w:lang w:val="en-AU"/>
        </w:rPr>
        <w:t>So</w:t>
      </w:r>
      <w:r w:rsidR="00B41731">
        <w:rPr>
          <w:lang w:val="en-AU"/>
        </w:rPr>
        <w:t xml:space="preserve">me might think </w:t>
      </w:r>
      <w:r>
        <w:rPr>
          <w:lang w:val="en-AU"/>
        </w:rPr>
        <w:t xml:space="preserve">this article </w:t>
      </w:r>
      <w:r w:rsidR="00B41731">
        <w:rPr>
          <w:lang w:val="en-AU"/>
        </w:rPr>
        <w:t>so far as being</w:t>
      </w:r>
      <w:r w:rsidR="00F54E91">
        <w:rPr>
          <w:lang w:val="en-AU"/>
        </w:rPr>
        <w:t xml:space="preserve"> lopsided</w:t>
      </w:r>
      <w:r w:rsidR="00B41731">
        <w:rPr>
          <w:lang w:val="en-AU"/>
        </w:rPr>
        <w:t xml:space="preserve">; </w:t>
      </w:r>
      <w:r>
        <w:rPr>
          <w:lang w:val="en-AU"/>
        </w:rPr>
        <w:t>t</w:t>
      </w:r>
      <w:r w:rsidR="00F54E91">
        <w:rPr>
          <w:lang w:val="en-AU"/>
        </w:rPr>
        <w:t xml:space="preserve">here are many situations in which governance arrangements are </w:t>
      </w:r>
      <w:r w:rsidR="005D23A4">
        <w:rPr>
          <w:lang w:val="en-AU"/>
        </w:rPr>
        <w:t>first rate</w:t>
      </w:r>
      <w:r>
        <w:rPr>
          <w:lang w:val="en-AU"/>
        </w:rPr>
        <w:t>, participants work hard and effectively, and the public is much better off because of their efforts</w:t>
      </w:r>
      <w:r w:rsidR="00F54E91">
        <w:rPr>
          <w:lang w:val="en-AU"/>
        </w:rPr>
        <w:t xml:space="preserve">.  However, since </w:t>
      </w:r>
      <w:r w:rsidR="003367E6">
        <w:rPr>
          <w:lang w:val="en-AU"/>
        </w:rPr>
        <w:t xml:space="preserve">the </w:t>
      </w:r>
      <w:r w:rsidR="00F54E91">
        <w:rPr>
          <w:lang w:val="en-AU"/>
        </w:rPr>
        <w:t xml:space="preserve">aim is to improve </w:t>
      </w:r>
      <w:r w:rsidR="008A56B2">
        <w:rPr>
          <w:lang w:val="en-AU"/>
        </w:rPr>
        <w:t>th</w:t>
      </w:r>
      <w:r w:rsidR="001826ED">
        <w:rPr>
          <w:lang w:val="en-AU"/>
        </w:rPr>
        <w:t>is</w:t>
      </w:r>
      <w:r w:rsidR="008A56B2">
        <w:rPr>
          <w:lang w:val="en-AU"/>
        </w:rPr>
        <w:t xml:space="preserve"> article</w:t>
      </w:r>
      <w:r w:rsidR="00F54E91">
        <w:rPr>
          <w:lang w:val="en-AU"/>
        </w:rPr>
        <w:t xml:space="preserve"> loo</w:t>
      </w:r>
      <w:r w:rsidR="002550DC">
        <w:rPr>
          <w:lang w:val="en-AU"/>
        </w:rPr>
        <w:t>ks</w:t>
      </w:r>
      <w:r w:rsidR="00F54E91">
        <w:rPr>
          <w:lang w:val="en-AU"/>
        </w:rPr>
        <w:t xml:space="preserve"> at a few c</w:t>
      </w:r>
      <w:r w:rsidR="005D23A4">
        <w:rPr>
          <w:lang w:val="en-AU"/>
        </w:rPr>
        <w:t>ases</w:t>
      </w:r>
      <w:r>
        <w:rPr>
          <w:lang w:val="en-AU"/>
        </w:rPr>
        <w:t xml:space="preserve"> where some questions can be raised</w:t>
      </w:r>
      <w:r w:rsidR="00F54E91">
        <w:rPr>
          <w:lang w:val="en-AU"/>
        </w:rPr>
        <w:t>.</w:t>
      </w:r>
      <w:r w:rsidR="0064383F">
        <w:rPr>
          <w:lang w:val="en-AU"/>
        </w:rPr>
        <w:t xml:space="preserve">  Proponent</w:t>
      </w:r>
      <w:r w:rsidR="003367E6">
        <w:rPr>
          <w:lang w:val="en-AU"/>
        </w:rPr>
        <w:t>s</w:t>
      </w:r>
      <w:r w:rsidR="0064383F">
        <w:rPr>
          <w:lang w:val="en-AU"/>
        </w:rPr>
        <w:t xml:space="preserve"> of ‘road reform’ might care to bear these in mind.</w:t>
      </w:r>
    </w:p>
    <w:p w:rsidR="001826ED" w:rsidRDefault="001826ED" w:rsidP="00670AA1">
      <w:pPr>
        <w:spacing w:after="0"/>
        <w:rPr>
          <w:lang w:val="en-AU"/>
        </w:rPr>
      </w:pPr>
    </w:p>
    <w:p w:rsidR="00644DFD" w:rsidRDefault="00307A50" w:rsidP="00670AA1">
      <w:pPr>
        <w:spacing w:after="0"/>
        <w:rPr>
          <w:lang w:val="en-AU"/>
        </w:rPr>
      </w:pPr>
      <w:r>
        <w:rPr>
          <w:lang w:val="en-AU"/>
        </w:rPr>
        <w:t xml:space="preserve">The effects of less than best governance can be </w:t>
      </w:r>
      <w:r w:rsidR="00644DFD">
        <w:rPr>
          <w:lang w:val="en-AU"/>
        </w:rPr>
        <w:t xml:space="preserve">deep </w:t>
      </w:r>
      <w:r w:rsidR="00366395">
        <w:rPr>
          <w:lang w:val="en-AU"/>
        </w:rPr>
        <w:t>and</w:t>
      </w:r>
      <w:r w:rsidR="00644DFD">
        <w:rPr>
          <w:lang w:val="en-AU"/>
        </w:rPr>
        <w:t xml:space="preserve"> </w:t>
      </w:r>
      <w:r>
        <w:rPr>
          <w:lang w:val="en-AU"/>
        </w:rPr>
        <w:t>pervasive</w:t>
      </w:r>
      <w:r w:rsidR="005D23A4">
        <w:rPr>
          <w:lang w:val="en-AU"/>
        </w:rPr>
        <w:t>:</w:t>
      </w:r>
      <w:r>
        <w:rPr>
          <w:lang w:val="en-AU"/>
        </w:rPr>
        <w:t xml:space="preserve"> </w:t>
      </w:r>
      <w:r w:rsidR="005D23A4">
        <w:rPr>
          <w:lang w:val="en-AU"/>
        </w:rPr>
        <w:t>p</w:t>
      </w:r>
      <w:r>
        <w:rPr>
          <w:lang w:val="en-AU"/>
        </w:rPr>
        <w:t>ublic transport</w:t>
      </w:r>
      <w:r w:rsidR="005D23A4">
        <w:rPr>
          <w:lang w:val="en-AU"/>
        </w:rPr>
        <w:t xml:space="preserve"> issues;</w:t>
      </w:r>
      <w:r>
        <w:rPr>
          <w:lang w:val="en-AU"/>
        </w:rPr>
        <w:t xml:space="preserve"> </w:t>
      </w:r>
      <w:r w:rsidR="005D23A4">
        <w:rPr>
          <w:lang w:val="en-AU"/>
        </w:rPr>
        <w:t xml:space="preserve">inability </w:t>
      </w:r>
      <w:r>
        <w:rPr>
          <w:lang w:val="en-AU"/>
        </w:rPr>
        <w:t>to address national problems</w:t>
      </w:r>
      <w:r w:rsidR="005D23A4">
        <w:rPr>
          <w:lang w:val="en-AU"/>
        </w:rPr>
        <w:t>;</w:t>
      </w:r>
      <w:r>
        <w:rPr>
          <w:lang w:val="en-AU"/>
        </w:rPr>
        <w:t xml:space="preserve"> delays in delivering election promises.  There are </w:t>
      </w:r>
      <w:r w:rsidR="005D23A4">
        <w:rPr>
          <w:lang w:val="en-AU"/>
        </w:rPr>
        <w:t xml:space="preserve">also </w:t>
      </w:r>
      <w:r w:rsidR="00995035">
        <w:rPr>
          <w:lang w:val="en-AU"/>
        </w:rPr>
        <w:t>hidden costs:</w:t>
      </w:r>
      <w:r>
        <w:rPr>
          <w:lang w:val="en-AU"/>
        </w:rPr>
        <w:t xml:space="preserve"> </w:t>
      </w:r>
      <w:r w:rsidR="005D23A4">
        <w:rPr>
          <w:lang w:val="en-AU"/>
        </w:rPr>
        <w:t xml:space="preserve">pointless </w:t>
      </w:r>
      <w:r>
        <w:rPr>
          <w:lang w:val="en-AU"/>
        </w:rPr>
        <w:t>argument</w:t>
      </w:r>
      <w:r w:rsidR="005D23A4">
        <w:rPr>
          <w:lang w:val="en-AU"/>
        </w:rPr>
        <w:t>s</w:t>
      </w:r>
      <w:r>
        <w:rPr>
          <w:lang w:val="en-AU"/>
        </w:rPr>
        <w:t>; frustration</w:t>
      </w:r>
      <w:r w:rsidR="005D23A4">
        <w:rPr>
          <w:lang w:val="en-AU"/>
        </w:rPr>
        <w:t xml:space="preserve"> and</w:t>
      </w:r>
      <w:r>
        <w:rPr>
          <w:lang w:val="en-AU"/>
        </w:rPr>
        <w:t xml:space="preserve"> suspicion instead of agreement.  </w:t>
      </w:r>
    </w:p>
    <w:p w:rsidR="001826ED" w:rsidRDefault="001826ED" w:rsidP="00670AA1">
      <w:pPr>
        <w:spacing w:after="0"/>
        <w:rPr>
          <w:lang w:val="en-AU"/>
        </w:rPr>
      </w:pPr>
    </w:p>
    <w:p w:rsidR="00774ACC" w:rsidRDefault="005D23A4" w:rsidP="00670AA1">
      <w:pPr>
        <w:spacing w:after="0"/>
        <w:rPr>
          <w:lang w:val="en-AU"/>
        </w:rPr>
      </w:pPr>
      <w:r>
        <w:rPr>
          <w:lang w:val="en-AU"/>
        </w:rPr>
        <w:t xml:space="preserve">It is easy to </w:t>
      </w:r>
      <w:r w:rsidR="00995035">
        <w:rPr>
          <w:lang w:val="en-AU"/>
        </w:rPr>
        <w:t>ask</w:t>
      </w:r>
      <w:r>
        <w:rPr>
          <w:lang w:val="en-AU"/>
        </w:rPr>
        <w:t xml:space="preserve"> about </w:t>
      </w:r>
      <w:r w:rsidR="00644DFD">
        <w:rPr>
          <w:lang w:val="en-AU"/>
        </w:rPr>
        <w:t>improvements</w:t>
      </w:r>
      <w:r w:rsidR="008A06F8">
        <w:rPr>
          <w:lang w:val="en-AU"/>
        </w:rPr>
        <w:t xml:space="preserve">.  </w:t>
      </w:r>
      <w:r w:rsidR="00995035">
        <w:rPr>
          <w:lang w:val="en-AU"/>
        </w:rPr>
        <w:t>I</w:t>
      </w:r>
      <w:r w:rsidR="004621ED">
        <w:rPr>
          <w:lang w:val="en-AU"/>
        </w:rPr>
        <w:t xml:space="preserve">n the case of Infrastructure Australia, </w:t>
      </w:r>
      <w:r w:rsidR="00026309">
        <w:rPr>
          <w:lang w:val="en-AU"/>
        </w:rPr>
        <w:t xml:space="preserve">could </w:t>
      </w:r>
      <w:r w:rsidR="006E56F4">
        <w:rPr>
          <w:lang w:val="en-AU"/>
        </w:rPr>
        <w:t xml:space="preserve">the </w:t>
      </w:r>
      <w:r w:rsidR="00307A50">
        <w:rPr>
          <w:lang w:val="en-AU"/>
        </w:rPr>
        <w:t xml:space="preserve">‘governance’ </w:t>
      </w:r>
      <w:r w:rsidR="006E56F4">
        <w:rPr>
          <w:lang w:val="en-AU"/>
        </w:rPr>
        <w:t>objective</w:t>
      </w:r>
      <w:r w:rsidR="00B41731">
        <w:rPr>
          <w:lang w:val="en-AU"/>
        </w:rPr>
        <w:t xml:space="preserve"> of</w:t>
      </w:r>
      <w:r w:rsidR="004621ED">
        <w:rPr>
          <w:lang w:val="en-AU"/>
        </w:rPr>
        <w:t xml:space="preserve"> </w:t>
      </w:r>
      <w:r w:rsidR="003A2C41">
        <w:rPr>
          <w:lang w:val="en-AU"/>
        </w:rPr>
        <w:t xml:space="preserve">chief executive </w:t>
      </w:r>
      <w:r w:rsidR="00B41731">
        <w:rPr>
          <w:lang w:val="en-AU"/>
        </w:rPr>
        <w:t xml:space="preserve">independent </w:t>
      </w:r>
      <w:r w:rsidR="004621ED">
        <w:rPr>
          <w:lang w:val="en-AU"/>
        </w:rPr>
        <w:t xml:space="preserve">from Government </w:t>
      </w:r>
      <w:r w:rsidR="00FF5A40">
        <w:rPr>
          <w:lang w:val="en-AU"/>
        </w:rPr>
        <w:t>have been</w:t>
      </w:r>
      <w:r w:rsidR="00C7029F">
        <w:rPr>
          <w:lang w:val="en-AU"/>
        </w:rPr>
        <w:t xml:space="preserve"> </w:t>
      </w:r>
      <w:r w:rsidR="004621ED">
        <w:rPr>
          <w:lang w:val="en-AU"/>
        </w:rPr>
        <w:t xml:space="preserve">achieved by </w:t>
      </w:r>
      <w:r w:rsidR="008A06F8">
        <w:rPr>
          <w:lang w:val="en-AU"/>
        </w:rPr>
        <w:t>an</w:t>
      </w:r>
      <w:r>
        <w:rPr>
          <w:lang w:val="en-AU"/>
        </w:rPr>
        <w:t xml:space="preserve"> </w:t>
      </w:r>
      <w:r w:rsidR="004621ED">
        <w:rPr>
          <w:lang w:val="en-AU"/>
        </w:rPr>
        <w:t xml:space="preserve">appointment </w:t>
      </w:r>
      <w:r>
        <w:rPr>
          <w:lang w:val="en-AU"/>
        </w:rPr>
        <w:t xml:space="preserve">made </w:t>
      </w:r>
      <w:r w:rsidR="008A56B2">
        <w:rPr>
          <w:lang w:val="en-AU"/>
        </w:rPr>
        <w:t xml:space="preserve">or ratified </w:t>
      </w:r>
      <w:r>
        <w:rPr>
          <w:lang w:val="en-AU"/>
        </w:rPr>
        <w:t>b</w:t>
      </w:r>
      <w:r w:rsidR="004621ED">
        <w:rPr>
          <w:lang w:val="en-AU"/>
        </w:rPr>
        <w:t>y the Senate</w:t>
      </w:r>
      <w:r w:rsidR="00026309">
        <w:rPr>
          <w:lang w:val="en-AU"/>
        </w:rPr>
        <w:t>?</w:t>
      </w:r>
      <w:r w:rsidR="00FF5A40">
        <w:rPr>
          <w:lang w:val="en-AU"/>
        </w:rPr>
        <w:t xml:space="preserve">  </w:t>
      </w:r>
      <w:r w:rsidR="006C45E6">
        <w:rPr>
          <w:lang w:val="en-AU"/>
        </w:rPr>
        <w:t xml:space="preserve"> </w:t>
      </w:r>
      <w:r w:rsidR="00774ACC">
        <w:rPr>
          <w:lang w:val="en-AU"/>
        </w:rPr>
        <w:t xml:space="preserve"> </w:t>
      </w:r>
      <w:r w:rsidR="00995035">
        <w:rPr>
          <w:lang w:val="en-AU"/>
        </w:rPr>
        <w:t>I</w:t>
      </w:r>
      <w:r w:rsidR="00774ACC">
        <w:rPr>
          <w:lang w:val="en-AU"/>
        </w:rPr>
        <w:t>n the case of the transport Ministerial Council</w:t>
      </w:r>
      <w:r>
        <w:rPr>
          <w:lang w:val="en-AU"/>
        </w:rPr>
        <w:t>,</w:t>
      </w:r>
      <w:r w:rsidR="00774ACC">
        <w:rPr>
          <w:lang w:val="en-AU"/>
        </w:rPr>
        <w:t xml:space="preserve"> </w:t>
      </w:r>
      <w:r w:rsidR="00026309">
        <w:rPr>
          <w:lang w:val="en-AU"/>
        </w:rPr>
        <w:t>why not</w:t>
      </w:r>
      <w:r w:rsidR="00774ACC">
        <w:rPr>
          <w:lang w:val="en-AU"/>
        </w:rPr>
        <w:t xml:space="preserve"> a secretariat from a statutory authority </w:t>
      </w:r>
      <w:r w:rsidR="002758F2">
        <w:rPr>
          <w:lang w:val="en-AU"/>
        </w:rPr>
        <w:t>like</w:t>
      </w:r>
      <w:r w:rsidR="00774ACC">
        <w:rPr>
          <w:lang w:val="en-AU"/>
        </w:rPr>
        <w:t xml:space="preserve"> </w:t>
      </w:r>
      <w:r w:rsidR="008A56B2">
        <w:rPr>
          <w:lang w:val="en-AU"/>
        </w:rPr>
        <w:t xml:space="preserve">the Productivity Commission or </w:t>
      </w:r>
      <w:r w:rsidR="00AE1A02">
        <w:rPr>
          <w:lang w:val="en-AU"/>
        </w:rPr>
        <w:t>the National Transport Commission</w:t>
      </w:r>
      <w:r w:rsidR="00946F71">
        <w:rPr>
          <w:lang w:val="en-AU"/>
        </w:rPr>
        <w:t xml:space="preserve"> -</w:t>
      </w:r>
      <w:r>
        <w:rPr>
          <w:lang w:val="en-AU"/>
        </w:rPr>
        <w:t xml:space="preserve"> not a n</w:t>
      </w:r>
      <w:r w:rsidR="001826ED">
        <w:rPr>
          <w:lang w:val="en-AU"/>
        </w:rPr>
        <w:t>ovel</w:t>
      </w:r>
      <w:r>
        <w:rPr>
          <w:lang w:val="en-AU"/>
        </w:rPr>
        <w:t xml:space="preserve"> suggestion</w:t>
      </w:r>
      <w:r w:rsidR="00774ACC">
        <w:rPr>
          <w:lang w:val="en-AU"/>
        </w:rPr>
        <w:t>.</w:t>
      </w:r>
      <w:r w:rsidR="00A46D2F">
        <w:rPr>
          <w:rStyle w:val="EndnoteReference"/>
          <w:lang w:val="en-AU"/>
        </w:rPr>
        <w:endnoteReference w:id="29"/>
      </w:r>
    </w:p>
    <w:p w:rsidR="001826ED" w:rsidRDefault="001826ED" w:rsidP="00670AA1">
      <w:pPr>
        <w:spacing w:after="0"/>
        <w:rPr>
          <w:lang w:val="en-AU"/>
        </w:rPr>
      </w:pPr>
    </w:p>
    <w:p w:rsidR="0077014E" w:rsidRDefault="008A56B2" w:rsidP="00670AA1">
      <w:pPr>
        <w:spacing w:after="0"/>
        <w:rPr>
          <w:lang w:val="en-AU"/>
        </w:rPr>
      </w:pPr>
      <w:r>
        <w:rPr>
          <w:lang w:val="en-AU"/>
        </w:rPr>
        <w:t>On</w:t>
      </w:r>
      <w:r w:rsidR="0059551F">
        <w:rPr>
          <w:lang w:val="en-AU"/>
        </w:rPr>
        <w:t xml:space="preserve"> the more important cases of</w:t>
      </w:r>
      <w:r>
        <w:rPr>
          <w:lang w:val="en-AU"/>
        </w:rPr>
        <w:t xml:space="preserve"> Commonwealth –State relations, w</w:t>
      </w:r>
      <w:r w:rsidR="00026309">
        <w:rPr>
          <w:lang w:val="en-AU"/>
        </w:rPr>
        <w:t xml:space="preserve">hy </w:t>
      </w:r>
      <w:r w:rsidR="005D23A4">
        <w:rPr>
          <w:lang w:val="en-AU"/>
        </w:rPr>
        <w:t>doesn’t</w:t>
      </w:r>
      <w:r w:rsidR="00026309">
        <w:rPr>
          <w:lang w:val="en-AU"/>
        </w:rPr>
        <w:t xml:space="preserve"> the Parliament, rather than the Government, conven</w:t>
      </w:r>
      <w:r w:rsidR="005D23A4">
        <w:rPr>
          <w:lang w:val="en-AU"/>
        </w:rPr>
        <w:t>e</w:t>
      </w:r>
      <w:r w:rsidR="00026309">
        <w:rPr>
          <w:lang w:val="en-AU"/>
        </w:rPr>
        <w:t xml:space="preserve"> regular meetings?  Why </w:t>
      </w:r>
      <w:r w:rsidR="005D23A4">
        <w:rPr>
          <w:lang w:val="en-AU"/>
        </w:rPr>
        <w:t xml:space="preserve">isn’t </w:t>
      </w:r>
      <w:r w:rsidR="00026309">
        <w:rPr>
          <w:lang w:val="en-AU"/>
        </w:rPr>
        <w:t xml:space="preserve">advice for </w:t>
      </w:r>
      <w:r w:rsidR="005D23A4">
        <w:rPr>
          <w:lang w:val="en-AU"/>
        </w:rPr>
        <w:t xml:space="preserve">Council of Australian Governments </w:t>
      </w:r>
      <w:r w:rsidR="00026309">
        <w:rPr>
          <w:lang w:val="en-AU"/>
        </w:rPr>
        <w:t>meeting</w:t>
      </w:r>
      <w:r w:rsidR="005D23A4">
        <w:rPr>
          <w:lang w:val="en-AU"/>
        </w:rPr>
        <w:t>s</w:t>
      </w:r>
      <w:r w:rsidR="00026309">
        <w:rPr>
          <w:lang w:val="en-AU"/>
        </w:rPr>
        <w:t xml:space="preserve"> prepared and published by a statutory authority?</w:t>
      </w:r>
      <w:r w:rsidR="001826ED">
        <w:rPr>
          <w:lang w:val="en-AU"/>
        </w:rPr>
        <w:t xml:space="preserve">  </w:t>
      </w:r>
      <w:r w:rsidR="0077014E">
        <w:rPr>
          <w:lang w:val="en-AU"/>
        </w:rPr>
        <w:t xml:space="preserve">Unlike some others, the author doesn’t mind people reinventing the wheel; </w:t>
      </w:r>
      <w:r w:rsidR="00AE1A02">
        <w:rPr>
          <w:lang w:val="en-AU"/>
        </w:rPr>
        <w:t>h</w:t>
      </w:r>
      <w:r w:rsidR="0077014E">
        <w:rPr>
          <w:lang w:val="en-AU"/>
        </w:rPr>
        <w:t xml:space="preserve">e just wants the wheel to be round, not square.  </w:t>
      </w:r>
    </w:p>
    <w:p w:rsidR="00F94437" w:rsidRDefault="00026309" w:rsidP="00670AA1">
      <w:pPr>
        <w:pStyle w:val="Heading2"/>
        <w:spacing w:before="0"/>
        <w:rPr>
          <w:lang w:val="en-AU"/>
        </w:rPr>
      </w:pPr>
      <w:r>
        <w:rPr>
          <w:lang w:val="en-AU"/>
        </w:rPr>
        <w:lastRenderedPageBreak/>
        <w:t>Finally….</w:t>
      </w:r>
    </w:p>
    <w:p w:rsidR="00EA5DCD" w:rsidRDefault="00946F71" w:rsidP="00670AA1">
      <w:pPr>
        <w:spacing w:after="0"/>
        <w:rPr>
          <w:lang w:val="en-AU"/>
        </w:rPr>
      </w:pPr>
      <w:r>
        <w:rPr>
          <w:lang w:val="en-AU"/>
        </w:rPr>
        <w:t>D</w:t>
      </w:r>
      <w:r w:rsidR="0059551F">
        <w:rPr>
          <w:lang w:val="en-AU"/>
        </w:rPr>
        <w:t xml:space="preserve">o </w:t>
      </w:r>
      <w:r w:rsidR="00A331E4">
        <w:rPr>
          <w:lang w:val="en-AU"/>
        </w:rPr>
        <w:t xml:space="preserve">governance </w:t>
      </w:r>
      <w:r w:rsidR="0059551F">
        <w:rPr>
          <w:lang w:val="en-AU"/>
        </w:rPr>
        <w:t>arrangements</w:t>
      </w:r>
      <w:r w:rsidR="00A331E4">
        <w:rPr>
          <w:lang w:val="en-AU"/>
        </w:rPr>
        <w:t xml:space="preserve"> </w:t>
      </w:r>
      <w:r>
        <w:rPr>
          <w:lang w:val="en-AU"/>
        </w:rPr>
        <w:t xml:space="preserve">which leave questions unresolved </w:t>
      </w:r>
      <w:r w:rsidR="00A331E4">
        <w:rPr>
          <w:lang w:val="en-AU"/>
        </w:rPr>
        <w:t>le</w:t>
      </w:r>
      <w:r w:rsidR="0059551F">
        <w:rPr>
          <w:lang w:val="en-AU"/>
        </w:rPr>
        <w:t>a</w:t>
      </w:r>
      <w:r w:rsidR="00A331E4">
        <w:rPr>
          <w:lang w:val="en-AU"/>
        </w:rPr>
        <w:t xml:space="preserve">d to </w:t>
      </w:r>
      <w:r w:rsidR="00670AA1">
        <w:rPr>
          <w:lang w:val="en-AU"/>
        </w:rPr>
        <w:t xml:space="preserve">a </w:t>
      </w:r>
      <w:r w:rsidR="00A331E4">
        <w:rPr>
          <w:lang w:val="en-AU"/>
        </w:rPr>
        <w:t xml:space="preserve">process </w:t>
      </w:r>
      <w:r w:rsidR="00670AA1">
        <w:rPr>
          <w:lang w:val="en-AU"/>
        </w:rPr>
        <w:t>fixation? A</w:t>
      </w:r>
      <w:r w:rsidR="00A331E4">
        <w:rPr>
          <w:lang w:val="en-AU"/>
        </w:rPr>
        <w:t>t the expense of results?</w:t>
      </w:r>
      <w:r w:rsidR="00030895">
        <w:rPr>
          <w:lang w:val="en-AU"/>
        </w:rPr>
        <w:t xml:space="preserve"> </w:t>
      </w:r>
      <w:r w:rsidR="00EA5DCD" w:rsidRPr="00EA5DCD">
        <w:rPr>
          <w:lang w:val="en-AU"/>
        </w:rPr>
        <w:t xml:space="preserve"> </w:t>
      </w:r>
    </w:p>
    <w:p w:rsidR="00EA5DCD" w:rsidRDefault="00EA5DCD" w:rsidP="00670AA1">
      <w:pPr>
        <w:spacing w:after="0"/>
        <w:rPr>
          <w:lang w:val="en-AU"/>
        </w:rPr>
      </w:pPr>
    </w:p>
    <w:p w:rsidR="00EA5DCD" w:rsidRDefault="004A595A" w:rsidP="00670AA1">
      <w:pPr>
        <w:spacing w:after="0"/>
        <w:rPr>
          <w:lang w:val="en-AU"/>
        </w:rPr>
      </w:pPr>
      <w:r>
        <w:rPr>
          <w:lang w:val="en-AU"/>
        </w:rPr>
        <w:t>S</w:t>
      </w:r>
      <w:r w:rsidR="00EA5DCD">
        <w:rPr>
          <w:lang w:val="en-AU"/>
        </w:rPr>
        <w:t xml:space="preserve">hould </w:t>
      </w:r>
      <w:r>
        <w:rPr>
          <w:lang w:val="en-AU"/>
        </w:rPr>
        <w:t xml:space="preserve">there </w:t>
      </w:r>
      <w:r w:rsidR="00EA5DCD">
        <w:rPr>
          <w:lang w:val="en-AU"/>
        </w:rPr>
        <w:t>be better recognition of the ‘golden rule’; who has the gold sets the rule</w:t>
      </w:r>
      <w:r>
        <w:rPr>
          <w:lang w:val="en-AU"/>
        </w:rPr>
        <w:t>?</w:t>
      </w:r>
      <w:r w:rsidR="00EA5DCD">
        <w:rPr>
          <w:lang w:val="en-AU"/>
        </w:rPr>
        <w:t xml:space="preserve">  </w:t>
      </w:r>
      <w:r>
        <w:rPr>
          <w:lang w:val="en-AU"/>
        </w:rPr>
        <w:t xml:space="preserve">And </w:t>
      </w:r>
      <w:r w:rsidR="00624E65">
        <w:rPr>
          <w:lang w:val="en-AU"/>
        </w:rPr>
        <w:t>realisation that givi</w:t>
      </w:r>
      <w:r w:rsidR="00EA5DCD">
        <w:rPr>
          <w:lang w:val="en-AU"/>
        </w:rPr>
        <w:t>ng money out is different to getting money</w:t>
      </w:r>
      <w:r>
        <w:rPr>
          <w:lang w:val="en-AU"/>
        </w:rPr>
        <w:t>?</w:t>
      </w:r>
      <w:r w:rsidR="00EA5DCD">
        <w:rPr>
          <w:lang w:val="en-AU"/>
        </w:rPr>
        <w:t xml:space="preserve">   </w:t>
      </w:r>
    </w:p>
    <w:p w:rsidR="00EA5DCD" w:rsidRDefault="00EA5DCD" w:rsidP="00670AA1">
      <w:pPr>
        <w:spacing w:after="0"/>
        <w:rPr>
          <w:lang w:val="en-AU"/>
        </w:rPr>
      </w:pPr>
    </w:p>
    <w:p w:rsidR="00EA5DCD" w:rsidRDefault="00EA5DCD" w:rsidP="00670AA1">
      <w:pPr>
        <w:spacing w:after="0"/>
        <w:rPr>
          <w:lang w:val="en-AU"/>
        </w:rPr>
      </w:pPr>
      <w:r>
        <w:rPr>
          <w:lang w:val="en-AU"/>
        </w:rPr>
        <w:t xml:space="preserve">Giving </w:t>
      </w:r>
      <w:r w:rsidR="008A06F8">
        <w:rPr>
          <w:lang w:val="en-AU"/>
        </w:rPr>
        <w:t xml:space="preserve">out </w:t>
      </w:r>
      <w:r>
        <w:rPr>
          <w:lang w:val="en-AU"/>
        </w:rPr>
        <w:t>money does not compromise independence</w:t>
      </w:r>
      <w:r w:rsidR="008A06F8">
        <w:rPr>
          <w:lang w:val="en-AU"/>
        </w:rPr>
        <w:t xml:space="preserve"> and </w:t>
      </w:r>
      <w:r w:rsidR="00624E65">
        <w:rPr>
          <w:lang w:val="en-AU"/>
        </w:rPr>
        <w:t>need</w:t>
      </w:r>
      <w:r>
        <w:rPr>
          <w:lang w:val="en-AU"/>
        </w:rPr>
        <w:t xml:space="preserve"> not affect the nature of the organisation.</w:t>
      </w:r>
      <w:r w:rsidR="008A06F8">
        <w:rPr>
          <w:lang w:val="en-AU"/>
        </w:rPr>
        <w:t xml:space="preserve">  </w:t>
      </w:r>
      <w:r>
        <w:rPr>
          <w:lang w:val="en-AU"/>
        </w:rPr>
        <w:t xml:space="preserve">However, it is hard to argue that an organisation or person can (be seen to) be ‘independent’ from the source of its money.  </w:t>
      </w:r>
      <w:r w:rsidR="008A06F8">
        <w:rPr>
          <w:lang w:val="en-AU"/>
        </w:rPr>
        <w:t>T</w:t>
      </w:r>
      <w:r>
        <w:rPr>
          <w:lang w:val="en-AU"/>
        </w:rPr>
        <w:t>he receipt of money is central to organisational form</w:t>
      </w:r>
      <w:r w:rsidR="008E2D59">
        <w:rPr>
          <w:lang w:val="en-AU"/>
        </w:rPr>
        <w:t>; as it can create an obligation</w:t>
      </w:r>
      <w:r>
        <w:rPr>
          <w:lang w:val="en-AU"/>
        </w:rPr>
        <w:t xml:space="preserve">.  Is this is the </w:t>
      </w:r>
      <w:r w:rsidR="008A06F8">
        <w:rPr>
          <w:lang w:val="en-AU"/>
        </w:rPr>
        <w:t>real</w:t>
      </w:r>
      <w:r>
        <w:rPr>
          <w:lang w:val="en-AU"/>
        </w:rPr>
        <w:t xml:space="preserve"> point of reports and guidelines from Uhrig onwards? </w:t>
      </w:r>
    </w:p>
    <w:p w:rsidR="00CE19AB" w:rsidRDefault="00CE19AB" w:rsidP="00670AA1">
      <w:pPr>
        <w:spacing w:after="0"/>
        <w:rPr>
          <w:lang w:val="en-AU"/>
        </w:rPr>
      </w:pPr>
    </w:p>
    <w:p w:rsidR="001826ED" w:rsidRDefault="00D34F57" w:rsidP="00670AA1">
      <w:pPr>
        <w:spacing w:after="0"/>
        <w:rPr>
          <w:lang w:val="en-AU"/>
        </w:rPr>
      </w:pPr>
      <w:r>
        <w:rPr>
          <w:lang w:val="en-AU"/>
        </w:rPr>
        <w:t>A</w:t>
      </w:r>
      <w:r w:rsidR="0059551F">
        <w:rPr>
          <w:lang w:val="en-AU"/>
        </w:rPr>
        <w:t xml:space="preserve">nd what about leaking?  </w:t>
      </w:r>
      <w:r w:rsidR="00030895">
        <w:rPr>
          <w:lang w:val="en-AU"/>
        </w:rPr>
        <w:t>I</w:t>
      </w:r>
      <w:r w:rsidR="008A06F8">
        <w:rPr>
          <w:lang w:val="en-AU"/>
        </w:rPr>
        <w:t>s</w:t>
      </w:r>
      <w:r w:rsidR="00030895">
        <w:rPr>
          <w:lang w:val="en-AU"/>
        </w:rPr>
        <w:t xml:space="preserve"> i</w:t>
      </w:r>
      <w:r w:rsidR="008A06F8">
        <w:rPr>
          <w:lang w:val="en-AU"/>
        </w:rPr>
        <w:t>t</w:t>
      </w:r>
      <w:r w:rsidR="00030895">
        <w:rPr>
          <w:lang w:val="en-AU"/>
        </w:rPr>
        <w:t xml:space="preserve"> </w:t>
      </w:r>
      <w:r>
        <w:rPr>
          <w:lang w:val="en-AU"/>
        </w:rPr>
        <w:t>possible</w:t>
      </w:r>
      <w:r w:rsidR="00030895">
        <w:rPr>
          <w:lang w:val="en-AU"/>
        </w:rPr>
        <w:t xml:space="preserve"> that </w:t>
      </w:r>
      <w:r w:rsidR="0077014E">
        <w:rPr>
          <w:lang w:val="en-AU"/>
        </w:rPr>
        <w:t xml:space="preserve">some </w:t>
      </w:r>
      <w:r w:rsidR="008A06F8">
        <w:rPr>
          <w:lang w:val="en-AU"/>
        </w:rPr>
        <w:t>take a keen interest</w:t>
      </w:r>
      <w:r w:rsidR="0077014E">
        <w:rPr>
          <w:lang w:val="en-AU"/>
        </w:rPr>
        <w:t xml:space="preserve"> when a change of government is in the air</w:t>
      </w:r>
      <w:r w:rsidR="00AA1CCE">
        <w:rPr>
          <w:lang w:val="en-AU"/>
        </w:rPr>
        <w:t>?</w:t>
      </w:r>
      <w:r>
        <w:rPr>
          <w:lang w:val="en-AU"/>
        </w:rPr>
        <w:t xml:space="preserve">  This is </w:t>
      </w:r>
      <w:r w:rsidR="006C45E6">
        <w:rPr>
          <w:lang w:val="en-AU"/>
        </w:rPr>
        <w:t xml:space="preserve">not an original </w:t>
      </w:r>
      <w:r>
        <w:rPr>
          <w:lang w:val="en-AU"/>
        </w:rPr>
        <w:t xml:space="preserve">idea; why else </w:t>
      </w:r>
      <w:r w:rsidR="00AE1A02">
        <w:rPr>
          <w:lang w:val="en-AU"/>
        </w:rPr>
        <w:t xml:space="preserve">would </w:t>
      </w:r>
      <w:r w:rsidR="006C45E6">
        <w:rPr>
          <w:lang w:val="en-AU"/>
        </w:rPr>
        <w:t xml:space="preserve">governments </w:t>
      </w:r>
      <w:r w:rsidR="00AE1A02">
        <w:rPr>
          <w:lang w:val="en-AU"/>
        </w:rPr>
        <w:t>try so hard to</w:t>
      </w:r>
      <w:r w:rsidR="006C45E6">
        <w:rPr>
          <w:lang w:val="en-AU"/>
        </w:rPr>
        <w:t xml:space="preserve"> prevent ‘leaks’</w:t>
      </w:r>
      <w:r>
        <w:rPr>
          <w:lang w:val="en-AU"/>
        </w:rPr>
        <w:t xml:space="preserve">?  </w:t>
      </w:r>
    </w:p>
    <w:p w:rsidR="001826ED" w:rsidRDefault="001826ED" w:rsidP="00670AA1">
      <w:pPr>
        <w:spacing w:after="0"/>
        <w:rPr>
          <w:lang w:val="en-AU"/>
        </w:rPr>
      </w:pPr>
    </w:p>
    <w:p w:rsidR="00A46D2F" w:rsidRDefault="00AE1A02" w:rsidP="00670AA1">
      <w:pPr>
        <w:spacing w:after="0"/>
        <w:rPr>
          <w:lang w:val="en-AU"/>
        </w:rPr>
      </w:pPr>
      <w:r>
        <w:rPr>
          <w:lang w:val="en-AU"/>
        </w:rPr>
        <w:t>O</w:t>
      </w:r>
      <w:r w:rsidR="00D34F57">
        <w:rPr>
          <w:lang w:val="en-AU"/>
        </w:rPr>
        <w:t xml:space="preserve">ther articles </w:t>
      </w:r>
      <w:r>
        <w:rPr>
          <w:lang w:val="en-AU"/>
        </w:rPr>
        <w:t>put</w:t>
      </w:r>
      <w:r w:rsidR="006C45E6">
        <w:rPr>
          <w:lang w:val="en-AU"/>
        </w:rPr>
        <w:t xml:space="preserve"> a concern about the vulnerability of </w:t>
      </w:r>
      <w:r w:rsidR="00644DFD">
        <w:rPr>
          <w:lang w:val="en-AU"/>
        </w:rPr>
        <w:t>an</w:t>
      </w:r>
      <w:r w:rsidR="00030895">
        <w:rPr>
          <w:lang w:val="en-AU"/>
        </w:rPr>
        <w:t xml:space="preserve"> </w:t>
      </w:r>
      <w:r w:rsidR="00AA1CCE">
        <w:rPr>
          <w:lang w:val="en-AU"/>
        </w:rPr>
        <w:t>o</w:t>
      </w:r>
      <w:r w:rsidR="006C45E6">
        <w:rPr>
          <w:lang w:val="en-AU"/>
        </w:rPr>
        <w:t xml:space="preserve">pposition to </w:t>
      </w:r>
      <w:r w:rsidR="00030895">
        <w:rPr>
          <w:lang w:val="en-AU"/>
        </w:rPr>
        <w:t>misinformation</w:t>
      </w:r>
      <w:r w:rsidR="00AA1CCE">
        <w:rPr>
          <w:lang w:val="en-AU"/>
        </w:rPr>
        <w:t xml:space="preserve">. </w:t>
      </w:r>
      <w:r w:rsidR="00CE19AB">
        <w:rPr>
          <w:lang w:val="en-AU"/>
        </w:rPr>
        <w:t xml:space="preserve"> </w:t>
      </w:r>
      <w:r w:rsidR="00AA1CCE">
        <w:rPr>
          <w:lang w:val="en-AU"/>
        </w:rPr>
        <w:t xml:space="preserve">Leaks are not always well informed; ‘utegate’ for example. </w:t>
      </w:r>
      <w:r w:rsidR="00026309">
        <w:rPr>
          <w:lang w:val="en-AU"/>
        </w:rPr>
        <w:t xml:space="preserve"> </w:t>
      </w:r>
      <w:r w:rsidR="00522DD6">
        <w:rPr>
          <w:lang w:val="en-AU"/>
        </w:rPr>
        <w:t xml:space="preserve">Nor </w:t>
      </w:r>
      <w:r w:rsidR="00026309">
        <w:rPr>
          <w:lang w:val="en-AU"/>
        </w:rPr>
        <w:t>can</w:t>
      </w:r>
      <w:r w:rsidR="00522DD6">
        <w:rPr>
          <w:lang w:val="en-AU"/>
        </w:rPr>
        <w:t xml:space="preserve"> it be assumed they are always well intentioned</w:t>
      </w:r>
      <w:r w:rsidR="00CE19AB">
        <w:rPr>
          <w:lang w:val="en-AU"/>
        </w:rPr>
        <w:t>.</w:t>
      </w:r>
      <w:r w:rsidR="00522DD6">
        <w:rPr>
          <w:lang w:val="en-AU"/>
        </w:rPr>
        <w:t xml:space="preserve"> </w:t>
      </w:r>
    </w:p>
    <w:p w:rsidR="001826ED" w:rsidRDefault="001826ED" w:rsidP="00670AA1">
      <w:pPr>
        <w:spacing w:after="0"/>
        <w:rPr>
          <w:lang w:val="en-AU"/>
        </w:rPr>
      </w:pPr>
    </w:p>
    <w:p w:rsidR="00AA1CCE" w:rsidRDefault="00995035" w:rsidP="00670AA1">
      <w:pPr>
        <w:spacing w:after="0"/>
        <w:rPr>
          <w:lang w:val="en-AU"/>
        </w:rPr>
      </w:pPr>
      <w:r>
        <w:rPr>
          <w:lang w:val="en-AU"/>
        </w:rPr>
        <w:t>P</w:t>
      </w:r>
      <w:r w:rsidR="00AA1CCE">
        <w:rPr>
          <w:lang w:val="en-AU"/>
        </w:rPr>
        <w:t xml:space="preserve">unishment of leaks </w:t>
      </w:r>
      <w:r w:rsidR="00C83385">
        <w:rPr>
          <w:lang w:val="en-AU"/>
        </w:rPr>
        <w:t>is</w:t>
      </w:r>
      <w:r w:rsidR="00AC2C01">
        <w:rPr>
          <w:lang w:val="en-AU"/>
        </w:rPr>
        <w:t xml:space="preserve"> tempting</w:t>
      </w:r>
      <w:r w:rsidR="00546CE0">
        <w:rPr>
          <w:lang w:val="en-AU"/>
        </w:rPr>
        <w:t xml:space="preserve">.  Yet, </w:t>
      </w:r>
      <w:r w:rsidR="00F854D1">
        <w:rPr>
          <w:lang w:val="en-AU"/>
        </w:rPr>
        <w:t>t</w:t>
      </w:r>
      <w:r w:rsidR="00546CE0">
        <w:rPr>
          <w:lang w:val="en-AU"/>
        </w:rPr>
        <w:t xml:space="preserve">here </w:t>
      </w:r>
      <w:r w:rsidR="00F854D1">
        <w:rPr>
          <w:lang w:val="en-AU"/>
        </w:rPr>
        <w:t>is</w:t>
      </w:r>
      <w:r w:rsidR="00546CE0">
        <w:rPr>
          <w:lang w:val="en-AU"/>
        </w:rPr>
        <w:t xml:space="preserve"> a tension with</w:t>
      </w:r>
      <w:r w:rsidR="00AA1CCE">
        <w:rPr>
          <w:lang w:val="en-AU"/>
        </w:rPr>
        <w:t xml:space="preserve"> ‘whistleblower’ ideas</w:t>
      </w:r>
      <w:r w:rsidR="00546CE0">
        <w:rPr>
          <w:lang w:val="en-AU"/>
        </w:rPr>
        <w:t xml:space="preserve">; ideas </w:t>
      </w:r>
      <w:r w:rsidR="00AA1CCE">
        <w:rPr>
          <w:lang w:val="en-AU"/>
        </w:rPr>
        <w:t xml:space="preserve">which may be especially important for </w:t>
      </w:r>
      <w:r w:rsidR="00546CE0">
        <w:rPr>
          <w:lang w:val="en-AU"/>
        </w:rPr>
        <w:t>jurisdictions</w:t>
      </w:r>
      <w:r w:rsidR="00624E65">
        <w:rPr>
          <w:lang w:val="en-AU"/>
        </w:rPr>
        <w:t xml:space="preserve"> without</w:t>
      </w:r>
      <w:r w:rsidR="00AA1CCE">
        <w:rPr>
          <w:lang w:val="en-AU"/>
        </w:rPr>
        <w:t xml:space="preserve"> corruption watchdog</w:t>
      </w:r>
      <w:r w:rsidR="00546CE0">
        <w:rPr>
          <w:lang w:val="en-AU"/>
        </w:rPr>
        <w:t>s</w:t>
      </w:r>
      <w:r w:rsidR="00AA1CCE">
        <w:rPr>
          <w:lang w:val="en-AU"/>
        </w:rPr>
        <w:t>.</w:t>
      </w:r>
      <w:r w:rsidR="00A331E4">
        <w:rPr>
          <w:lang w:val="en-AU"/>
        </w:rPr>
        <w:t xml:space="preserve">  A</w:t>
      </w:r>
      <w:r w:rsidR="00F854D1">
        <w:rPr>
          <w:lang w:val="en-AU"/>
        </w:rPr>
        <w:t>lso</w:t>
      </w:r>
      <w:r w:rsidR="00A331E4">
        <w:rPr>
          <w:lang w:val="en-AU"/>
        </w:rPr>
        <w:t xml:space="preserve"> </w:t>
      </w:r>
      <w:r w:rsidR="00CE19AB">
        <w:rPr>
          <w:lang w:val="en-AU"/>
        </w:rPr>
        <w:t>leak controls are</w:t>
      </w:r>
      <w:r w:rsidR="00A331E4">
        <w:rPr>
          <w:lang w:val="en-AU"/>
        </w:rPr>
        <w:t xml:space="preserve"> unable to </w:t>
      </w:r>
      <w:r w:rsidR="0077014E">
        <w:rPr>
          <w:lang w:val="en-AU"/>
        </w:rPr>
        <w:t>avoid an opposition being misinformed by</w:t>
      </w:r>
      <w:r w:rsidR="00A331E4">
        <w:rPr>
          <w:lang w:val="en-AU"/>
        </w:rPr>
        <w:t xml:space="preserve"> </w:t>
      </w:r>
      <w:r w:rsidR="0077014E">
        <w:rPr>
          <w:lang w:val="en-AU"/>
        </w:rPr>
        <w:t xml:space="preserve">lobbyists or private </w:t>
      </w:r>
      <w:r w:rsidR="00A331E4">
        <w:rPr>
          <w:lang w:val="en-AU"/>
        </w:rPr>
        <w:t>proponents.</w:t>
      </w:r>
    </w:p>
    <w:p w:rsidR="001826ED" w:rsidRDefault="001826ED" w:rsidP="00670AA1">
      <w:pPr>
        <w:spacing w:after="0"/>
        <w:rPr>
          <w:lang w:val="en-AU"/>
        </w:rPr>
      </w:pPr>
    </w:p>
    <w:p w:rsidR="0059551F" w:rsidRDefault="00522DD6" w:rsidP="00670AA1">
      <w:pPr>
        <w:spacing w:after="0"/>
        <w:rPr>
          <w:lang w:val="en-AU"/>
        </w:rPr>
      </w:pPr>
      <w:r>
        <w:rPr>
          <w:lang w:val="en-AU"/>
        </w:rPr>
        <w:t>The best protection against misinformation is publication</w:t>
      </w:r>
      <w:r w:rsidR="00AE1A02">
        <w:rPr>
          <w:lang w:val="en-AU"/>
        </w:rPr>
        <w:t>; it is difficult to leak information already in the public domain.</w:t>
      </w:r>
      <w:r>
        <w:rPr>
          <w:lang w:val="en-AU"/>
        </w:rPr>
        <w:t xml:space="preserve">  Every private briefing contains risks.  </w:t>
      </w:r>
      <w:r w:rsidR="0059551F">
        <w:rPr>
          <w:lang w:val="en-AU"/>
        </w:rPr>
        <w:t>Perhaps m</w:t>
      </w:r>
      <w:r>
        <w:rPr>
          <w:lang w:val="en-AU"/>
        </w:rPr>
        <w:t>ore attention should be paid to disclosures and transparency</w:t>
      </w:r>
      <w:r w:rsidR="0059551F">
        <w:rPr>
          <w:lang w:val="en-AU"/>
        </w:rPr>
        <w:t xml:space="preserve"> and a little less to claiming ’independence from government’</w:t>
      </w:r>
      <w:r>
        <w:rPr>
          <w:lang w:val="en-AU"/>
        </w:rPr>
        <w:t xml:space="preserve">.  </w:t>
      </w:r>
    </w:p>
    <w:p w:rsidR="001826ED" w:rsidRDefault="001826ED" w:rsidP="00670AA1">
      <w:pPr>
        <w:spacing w:after="0"/>
        <w:rPr>
          <w:lang w:val="en-AU"/>
        </w:rPr>
      </w:pPr>
    </w:p>
    <w:p w:rsidR="00AC2C01" w:rsidRDefault="0059551F" w:rsidP="00670AA1">
      <w:pPr>
        <w:spacing w:after="0"/>
        <w:rPr>
          <w:lang w:val="en-AU"/>
        </w:rPr>
      </w:pPr>
      <w:r>
        <w:rPr>
          <w:lang w:val="en-AU"/>
        </w:rPr>
        <w:t xml:space="preserve">Transparency, and the </w:t>
      </w:r>
      <w:r w:rsidR="00E57560">
        <w:rPr>
          <w:lang w:val="en-AU"/>
        </w:rPr>
        <w:t>publication</w:t>
      </w:r>
      <w:r>
        <w:rPr>
          <w:lang w:val="en-AU"/>
        </w:rPr>
        <w:t xml:space="preserve"> of ideas not always accepted by executive government, is a good practical test of independence.   In any event, </w:t>
      </w:r>
      <w:r w:rsidR="001826ED">
        <w:rPr>
          <w:lang w:val="en-AU"/>
        </w:rPr>
        <w:t xml:space="preserve">actions of </w:t>
      </w:r>
      <w:r>
        <w:rPr>
          <w:lang w:val="en-AU"/>
        </w:rPr>
        <w:t>e</w:t>
      </w:r>
      <w:r w:rsidR="00AC2C01">
        <w:rPr>
          <w:lang w:val="en-AU"/>
        </w:rPr>
        <w:t xml:space="preserve">xecutive </w:t>
      </w:r>
      <w:r w:rsidR="001826ED">
        <w:rPr>
          <w:lang w:val="en-AU"/>
        </w:rPr>
        <w:t>government</w:t>
      </w:r>
      <w:r w:rsidR="00AC2C01">
        <w:rPr>
          <w:lang w:val="en-AU"/>
        </w:rPr>
        <w:t>, away from the public eye, should be carefully performed and more carefully appraised.</w:t>
      </w:r>
    </w:p>
    <w:p w:rsidR="001826ED" w:rsidRDefault="001826ED" w:rsidP="00670AA1">
      <w:pPr>
        <w:spacing w:after="0"/>
        <w:rPr>
          <w:lang w:val="en-AU"/>
        </w:rPr>
      </w:pPr>
    </w:p>
    <w:p w:rsidR="00AA1CCE" w:rsidRDefault="004A595A" w:rsidP="00670AA1">
      <w:pPr>
        <w:spacing w:after="0"/>
        <w:rPr>
          <w:lang w:val="en-AU"/>
        </w:rPr>
      </w:pPr>
      <w:r>
        <w:rPr>
          <w:lang w:val="en-AU"/>
        </w:rPr>
        <w:t>While t</w:t>
      </w:r>
      <w:r w:rsidR="00AC2C01">
        <w:rPr>
          <w:lang w:val="en-AU"/>
        </w:rPr>
        <w:t>he oracle</w:t>
      </w:r>
      <w:r w:rsidR="00C83385">
        <w:rPr>
          <w:lang w:val="en-AU"/>
        </w:rPr>
        <w:t xml:space="preserve"> put the task:</w:t>
      </w:r>
      <w:r w:rsidR="00AC2C01">
        <w:rPr>
          <w:lang w:val="en-AU"/>
        </w:rPr>
        <w:t xml:space="preserve"> know thyself</w:t>
      </w:r>
      <w:r>
        <w:rPr>
          <w:lang w:val="en-AU"/>
        </w:rPr>
        <w:t>, o</w:t>
      </w:r>
      <w:r w:rsidR="008A06F8">
        <w:rPr>
          <w:lang w:val="en-AU"/>
        </w:rPr>
        <w:t>thers add</w:t>
      </w:r>
      <w:r>
        <w:rPr>
          <w:lang w:val="en-AU"/>
        </w:rPr>
        <w:t>ed</w:t>
      </w:r>
      <w:r w:rsidR="00546CE0">
        <w:rPr>
          <w:lang w:val="en-AU"/>
        </w:rPr>
        <w:t>:</w:t>
      </w:r>
      <w:r w:rsidR="00C83385">
        <w:rPr>
          <w:lang w:val="en-AU"/>
        </w:rPr>
        <w:t xml:space="preserve"> ‘</w:t>
      </w:r>
      <w:r w:rsidR="00C83385" w:rsidRPr="00546CE0">
        <w:rPr>
          <w:i/>
          <w:lang w:val="en-AU"/>
        </w:rPr>
        <w:t>it is only through the constraints of others that we come to know ourselves’</w:t>
      </w:r>
      <w:r w:rsidR="00C83385">
        <w:rPr>
          <w:lang w:val="en-AU"/>
        </w:rPr>
        <w:t xml:space="preserve">.  </w:t>
      </w:r>
      <w:r>
        <w:rPr>
          <w:lang w:val="en-AU"/>
        </w:rPr>
        <w:t xml:space="preserve">Internal restraint and external transparency </w:t>
      </w:r>
      <w:r w:rsidR="00995035">
        <w:rPr>
          <w:lang w:val="en-AU"/>
        </w:rPr>
        <w:t>may be</w:t>
      </w:r>
      <w:r w:rsidR="00522DD6">
        <w:rPr>
          <w:lang w:val="en-AU"/>
        </w:rPr>
        <w:t xml:space="preserve"> the most important role for governance</w:t>
      </w:r>
      <w:r w:rsidR="00AA1CCE">
        <w:rPr>
          <w:lang w:val="en-AU"/>
        </w:rPr>
        <w:t>.</w:t>
      </w:r>
      <w:r w:rsidR="00C83385">
        <w:rPr>
          <w:lang w:val="en-AU"/>
        </w:rPr>
        <w:t xml:space="preserve">  A lesson </w:t>
      </w:r>
      <w:r w:rsidR="00635B1F">
        <w:rPr>
          <w:lang w:val="en-AU"/>
        </w:rPr>
        <w:t xml:space="preserve">in misery </w:t>
      </w:r>
      <w:r w:rsidR="0077014E">
        <w:rPr>
          <w:lang w:val="en-AU"/>
        </w:rPr>
        <w:t>being</w:t>
      </w:r>
      <w:r w:rsidR="00C83385">
        <w:rPr>
          <w:lang w:val="en-AU"/>
        </w:rPr>
        <w:t xml:space="preserve"> learned at high levels of government.</w:t>
      </w:r>
      <w:r w:rsidR="00BC364F">
        <w:rPr>
          <w:rStyle w:val="EndnoteReference"/>
          <w:lang w:val="en-AU"/>
        </w:rPr>
        <w:endnoteReference w:id="30"/>
      </w:r>
      <w:r w:rsidR="00AA1CCE">
        <w:rPr>
          <w:lang w:val="en-AU"/>
        </w:rPr>
        <w:t xml:space="preserve">   </w:t>
      </w:r>
    </w:p>
    <w:p w:rsidR="00E57560" w:rsidRDefault="00E57560" w:rsidP="00670AA1">
      <w:pPr>
        <w:spacing w:after="0"/>
        <w:rPr>
          <w:lang w:val="en-AU"/>
        </w:rPr>
      </w:pPr>
    </w:p>
    <w:p w:rsidR="006C45E6" w:rsidRDefault="006C45E6" w:rsidP="00670AA1">
      <w:pPr>
        <w:spacing w:after="0"/>
        <w:rPr>
          <w:lang w:val="en-AU"/>
        </w:rPr>
      </w:pPr>
      <w:r>
        <w:rPr>
          <w:lang w:val="en-AU"/>
        </w:rPr>
        <w:t xml:space="preserve">J Austen </w:t>
      </w:r>
    </w:p>
    <w:p w:rsidR="00BC364F" w:rsidRDefault="00995035" w:rsidP="00670AA1">
      <w:pPr>
        <w:spacing w:after="0"/>
        <w:rPr>
          <w:lang w:val="en-AU"/>
        </w:rPr>
      </w:pPr>
      <w:r>
        <w:rPr>
          <w:lang w:val="en-AU"/>
        </w:rPr>
        <w:t>October</w:t>
      </w:r>
      <w:r w:rsidR="006C45E6">
        <w:rPr>
          <w:lang w:val="en-AU"/>
        </w:rPr>
        <w:t xml:space="preserve"> </w:t>
      </w:r>
      <w:r w:rsidR="009E025E">
        <w:rPr>
          <w:lang w:val="en-AU"/>
        </w:rPr>
        <w:t>2015</w:t>
      </w:r>
      <w:r w:rsidR="00BC364F">
        <w:rPr>
          <w:lang w:val="en-AU"/>
        </w:rPr>
        <w:br w:type="page"/>
      </w:r>
    </w:p>
    <w:p w:rsidR="00F94437" w:rsidRPr="003D6F78" w:rsidRDefault="00BC364F" w:rsidP="00670AA1">
      <w:pPr>
        <w:spacing w:after="0"/>
        <w:rPr>
          <w:lang w:val="en-AU"/>
        </w:rPr>
      </w:pPr>
      <w:r>
        <w:rPr>
          <w:lang w:val="en-AU"/>
        </w:rPr>
        <w:lastRenderedPageBreak/>
        <w:t>Notes</w:t>
      </w:r>
    </w:p>
    <w:sectPr w:rsidR="00F94437" w:rsidRPr="003D6F7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E75" w:rsidRDefault="009C7E75" w:rsidP="00404F06">
      <w:pPr>
        <w:spacing w:after="0" w:line="240" w:lineRule="auto"/>
      </w:pPr>
      <w:r>
        <w:separator/>
      </w:r>
    </w:p>
  </w:endnote>
  <w:endnote w:type="continuationSeparator" w:id="0">
    <w:p w:rsidR="009C7E75" w:rsidRDefault="009C7E75" w:rsidP="00404F06">
      <w:pPr>
        <w:spacing w:after="0" w:line="240" w:lineRule="auto"/>
      </w:pPr>
      <w:r>
        <w:continuationSeparator/>
      </w:r>
    </w:p>
  </w:endnote>
  <w:endnote w:id="1">
    <w:p w:rsidR="00C145E0" w:rsidRDefault="00C145E0">
      <w:pPr>
        <w:pStyle w:val="EndnoteText"/>
        <w:rPr>
          <w:lang w:val="en-AU"/>
        </w:rPr>
      </w:pPr>
      <w:r>
        <w:rPr>
          <w:rStyle w:val="EndnoteReference"/>
        </w:rPr>
        <w:endnoteRef/>
      </w:r>
      <w:r>
        <w:t xml:space="preserve"> See t</w:t>
      </w:r>
      <w:r>
        <w:rPr>
          <w:lang w:val="en-AU"/>
        </w:rPr>
        <w:t>he roads articles at thejadebeagle.com</w:t>
      </w:r>
      <w:r w:rsidR="00C029B0">
        <w:rPr>
          <w:lang w:val="en-AU"/>
        </w:rPr>
        <w:t>.  Forthcoming articles will indicate issues in other modes.</w:t>
      </w:r>
    </w:p>
    <w:p w:rsidR="00C145E0" w:rsidRPr="00E45629" w:rsidRDefault="00C145E0">
      <w:pPr>
        <w:pStyle w:val="EndnoteText"/>
        <w:rPr>
          <w:lang w:val="en-AU"/>
        </w:rPr>
      </w:pPr>
      <w:r>
        <w:rPr>
          <w:lang w:val="en-AU"/>
        </w:rPr>
        <w:t xml:space="preserve"> </w:t>
      </w:r>
    </w:p>
  </w:endnote>
  <w:endnote w:id="2">
    <w:p w:rsidR="00C145E0" w:rsidRDefault="00C145E0">
      <w:pPr>
        <w:pStyle w:val="EndnoteText"/>
      </w:pPr>
      <w:r>
        <w:rPr>
          <w:rStyle w:val="EndnoteReference"/>
        </w:rPr>
        <w:endnoteRef/>
      </w:r>
      <w:r>
        <w:t xml:space="preserve"> See for example: </w:t>
      </w:r>
      <w:hyperlink r:id="rId1" w:history="1">
        <w:r w:rsidRPr="00381E75">
          <w:rPr>
            <w:rStyle w:val="Hyperlink"/>
          </w:rPr>
          <w:t>http://www.treasury.nsw.gov.au/__data/assets/pdf_file/0015/357/91_gtereform.pdf</w:t>
        </w:r>
      </w:hyperlink>
      <w:r>
        <w:t xml:space="preserve"> and</w:t>
      </w:r>
    </w:p>
    <w:p w:rsidR="00C145E0" w:rsidRDefault="009C7E75">
      <w:pPr>
        <w:pStyle w:val="EndnoteText"/>
      </w:pPr>
      <w:hyperlink r:id="rId2" w:history="1">
        <w:r w:rsidR="00C145E0" w:rsidRPr="00381E75">
          <w:rPr>
            <w:rStyle w:val="Hyperlink"/>
          </w:rPr>
          <w:t>http://www.treasury.nsw.gov.au/__data/assets/pdf_file/0009/4779/bp66.pdf</w:t>
        </w:r>
      </w:hyperlink>
    </w:p>
    <w:p w:rsidR="00C145E0" w:rsidRPr="001633E3" w:rsidRDefault="00C145E0">
      <w:pPr>
        <w:pStyle w:val="EndnoteText"/>
        <w:rPr>
          <w:lang w:val="en-AU"/>
        </w:rPr>
      </w:pPr>
    </w:p>
  </w:endnote>
  <w:endnote w:id="3">
    <w:p w:rsidR="00C145E0" w:rsidRDefault="00C145E0">
      <w:pPr>
        <w:pStyle w:val="EndnoteText"/>
      </w:pPr>
      <w:r>
        <w:rPr>
          <w:rStyle w:val="EndnoteReference"/>
        </w:rPr>
        <w:endnoteRef/>
      </w:r>
      <w:r>
        <w:t xml:space="preserve"> For example </w:t>
      </w:r>
      <w:r w:rsidR="00073E99">
        <w:t>c</w:t>
      </w:r>
      <w:r>
        <w:t xml:space="preserve">ompetition principles agreement clauses 3 and 4; see: </w:t>
      </w:r>
      <w:hyperlink r:id="rId3" w:history="1">
        <w:r w:rsidRPr="00381E75">
          <w:rPr>
            <w:rStyle w:val="Hyperlink"/>
          </w:rPr>
          <w:t>https://www.coag.gov.au/node/52</w:t>
        </w:r>
      </w:hyperlink>
    </w:p>
    <w:p w:rsidR="00C145E0" w:rsidRPr="001633E3" w:rsidRDefault="00C145E0">
      <w:pPr>
        <w:pStyle w:val="EndnoteText"/>
        <w:rPr>
          <w:lang w:val="en-AU"/>
        </w:rPr>
      </w:pPr>
    </w:p>
  </w:endnote>
  <w:endnote w:id="4">
    <w:p w:rsidR="00C145E0" w:rsidRDefault="00C145E0">
      <w:pPr>
        <w:pStyle w:val="EndnoteText"/>
      </w:pPr>
      <w:r>
        <w:rPr>
          <w:rStyle w:val="EndnoteReference"/>
        </w:rPr>
        <w:endnoteRef/>
      </w:r>
      <w:r>
        <w:t xml:space="preserve"> See for example: </w:t>
      </w:r>
      <w:hyperlink r:id="rId4" w:history="1">
        <w:r w:rsidRPr="00381E75">
          <w:rPr>
            <w:rStyle w:val="Hyperlink"/>
          </w:rPr>
          <w:t>https://sro.library.usyd.edu.au/bitstream/10765/65919/1/researchintransport.pdf</w:t>
        </w:r>
      </w:hyperlink>
    </w:p>
    <w:p w:rsidR="00C145E0" w:rsidRPr="005D23F1" w:rsidRDefault="00C145E0">
      <w:pPr>
        <w:pStyle w:val="EndnoteText"/>
        <w:rPr>
          <w:lang w:val="en-AU"/>
        </w:rPr>
      </w:pPr>
    </w:p>
  </w:endnote>
  <w:endnote w:id="5">
    <w:p w:rsidR="00C145E0" w:rsidRDefault="00C145E0">
      <w:pPr>
        <w:pStyle w:val="EndnoteText"/>
      </w:pPr>
      <w:r>
        <w:rPr>
          <w:rStyle w:val="EndnoteReference"/>
        </w:rPr>
        <w:endnoteRef/>
      </w:r>
      <w:r>
        <w:t xml:space="preserve"> The second reading speech for the corporatisation, and response from the opposition, did not recognise this issue</w:t>
      </w:r>
      <w:r w:rsidR="000C0825">
        <w:t>.  S</w:t>
      </w:r>
      <w:r>
        <w:t xml:space="preserve">ee: </w:t>
      </w:r>
      <w:hyperlink r:id="rId5" w:history="1">
        <w:r w:rsidRPr="00381E75">
          <w:rPr>
            <w:rStyle w:val="Hyperlink"/>
          </w:rPr>
          <w:t>http://www.parliament.nsw.gov.au/prod/parlment/hansart.nsf/V3Key/LC20031202052</w:t>
        </w:r>
      </w:hyperlink>
    </w:p>
    <w:p w:rsidR="00C145E0" w:rsidRPr="007A5C7E" w:rsidRDefault="00C145E0">
      <w:pPr>
        <w:pStyle w:val="EndnoteText"/>
        <w:rPr>
          <w:lang w:val="en-AU"/>
        </w:rPr>
      </w:pPr>
    </w:p>
  </w:endnote>
  <w:endnote w:id="6">
    <w:p w:rsidR="00C145E0" w:rsidRDefault="00C145E0">
      <w:pPr>
        <w:pStyle w:val="EndnoteText"/>
      </w:pPr>
      <w:r>
        <w:rPr>
          <w:rStyle w:val="EndnoteReference"/>
        </w:rPr>
        <w:endnoteRef/>
      </w:r>
      <w:r>
        <w:t xml:space="preserve"> The author’s submission to the Independent Pricing and Regulatory Tribunal’s review into fares (2015) alludes to the impact of separate entities on fares.  </w:t>
      </w:r>
    </w:p>
    <w:p w:rsidR="00C145E0" w:rsidRDefault="00C145E0">
      <w:pPr>
        <w:pStyle w:val="EndnoteText"/>
      </w:pPr>
      <w:r>
        <w:t>From the late 1980s to the present, the NSW approach to fares is almost unique in the world.  Prior to the intro</w:t>
      </w:r>
      <w:r w:rsidR="000C0825">
        <w:t>duction of the Opal card</w:t>
      </w:r>
      <w:r>
        <w:t xml:space="preserve"> there were major differences in the types of tickets and fares available for trains and buses; notoriously bus tickets were unavailable at railway stations and vice versa.  Bus tickets included ‘travel tens’ involving a discount for buying a book of 10 tickets; this was not available for rail which had periodical tickets such as weekly, monthly and annual.  Bus tickets were based on sections, train tickets origin to destination involving over 300 rail stations.  While an electronic card ticket was promised for the Sydney Olympics in 2000 it did not eventuate; a likely contributing factor would be a ‘requirement’ to preserve all the many thousands of fare types and combinations.  That this is a likely factor can be seen in the Opal card which has greatly reduced the number of fare types and combinations.  See:</w:t>
      </w:r>
      <w:r w:rsidRPr="009A5D02">
        <w:t xml:space="preserve"> </w:t>
      </w:r>
      <w:hyperlink r:id="rId6" w:history="1">
        <w:r w:rsidRPr="0070751B">
          <w:rPr>
            <w:rStyle w:val="Hyperlink"/>
          </w:rPr>
          <w:t>file:///C:/Users/John/Downloads/online_submission_-_individual_-_j._austen_-_27_aug_2015_194956252.pdf</w:t>
        </w:r>
      </w:hyperlink>
    </w:p>
    <w:p w:rsidR="00C145E0" w:rsidRPr="000275AE" w:rsidRDefault="00C145E0">
      <w:pPr>
        <w:pStyle w:val="EndnoteText"/>
        <w:rPr>
          <w:lang w:val="en-AU"/>
        </w:rPr>
      </w:pPr>
    </w:p>
  </w:endnote>
  <w:endnote w:id="7">
    <w:p w:rsidR="00C145E0" w:rsidRDefault="00C145E0">
      <w:pPr>
        <w:pStyle w:val="EndnoteText"/>
        <w:rPr>
          <w:lang w:val="en-AU"/>
        </w:rPr>
      </w:pPr>
      <w:r>
        <w:rPr>
          <w:rStyle w:val="EndnoteReference"/>
        </w:rPr>
        <w:endnoteRef/>
      </w:r>
      <w:r>
        <w:t xml:space="preserve"> Re rail safety see: </w:t>
      </w:r>
      <w:r w:rsidRPr="00F36723">
        <w:rPr>
          <w:lang w:val="en-AU"/>
        </w:rPr>
        <w:t>http://www.onrsr.com.au/</w:t>
      </w:r>
      <w:r>
        <w:rPr>
          <w:lang w:val="en-AU"/>
        </w:rPr>
        <w:t xml:space="preserve"> and </w:t>
      </w:r>
      <w:hyperlink r:id="rId7" w:anchor="/docid/HANSARD-11-10397" w:history="1">
        <w:r w:rsidRPr="00381E75">
          <w:rPr>
            <w:rStyle w:val="Hyperlink"/>
            <w:lang w:val="en-AU"/>
          </w:rPr>
          <w:t>http://hansardpublic.parliament.sa.gov.au/Pages/HansardResult.aspx#/docid/HANSARD-11-10397</w:t>
        </w:r>
      </w:hyperlink>
      <w:r>
        <w:rPr>
          <w:lang w:val="en-AU"/>
        </w:rPr>
        <w:t xml:space="preserve"> where independence relates to Ministerial power.</w:t>
      </w:r>
    </w:p>
    <w:p w:rsidR="00C145E0" w:rsidRPr="00E45629" w:rsidRDefault="00C145E0">
      <w:pPr>
        <w:pStyle w:val="EndnoteText"/>
        <w:rPr>
          <w:lang w:val="en-AU"/>
        </w:rPr>
      </w:pPr>
      <w:r>
        <w:rPr>
          <w:lang w:val="en-AU"/>
        </w:rPr>
        <w:t xml:space="preserve">Re Infrastructure Victoria see: </w:t>
      </w:r>
      <w:hyperlink r:id="rId8" w:history="1">
        <w:r w:rsidRPr="00381E75">
          <w:rPr>
            <w:rStyle w:val="Hyperlink"/>
            <w:lang w:val="en-AU"/>
          </w:rPr>
          <w:t>http://hansard.parliament.vic.gov.au/search/?LDMS=Y&amp;IW_FIELD_ADVANCE_PHRASE=be+now+read+a+second+time&amp;IW_FIELD_IN_SpeechTitle=Infrastructure+Victoria+Bill+2015+&amp;IW_FIELD_IN_HOUSENAME=ASSEMBLY&amp;IW_FIELD_IN_ACTIVITYTYPE=Second+Reading&amp;IW_FIELD_IN_SittingYear=2015&amp;IW_DATABASE=*</w:t>
        </w:r>
      </w:hyperlink>
    </w:p>
  </w:endnote>
  <w:endnote w:id="8">
    <w:p w:rsidR="00C145E0" w:rsidRDefault="00C145E0">
      <w:pPr>
        <w:pStyle w:val="EndnoteText"/>
      </w:pPr>
    </w:p>
    <w:p w:rsidR="00C145E0" w:rsidRDefault="00C145E0">
      <w:pPr>
        <w:pStyle w:val="EndnoteText"/>
        <w:rPr>
          <w:lang w:val="en-AU"/>
        </w:rPr>
      </w:pPr>
      <w:r>
        <w:rPr>
          <w:rStyle w:val="EndnoteReference"/>
        </w:rPr>
        <w:endnoteRef/>
      </w:r>
      <w:r>
        <w:t xml:space="preserve"> </w:t>
      </w:r>
      <w:r>
        <w:rPr>
          <w:lang w:val="en-AU"/>
        </w:rPr>
        <w:t>Appropriation Bills in which public funding is determined need to come from the lower house.  This house is controlled by the government of the day.</w:t>
      </w:r>
    </w:p>
    <w:p w:rsidR="00C145E0" w:rsidRPr="006A3584" w:rsidRDefault="00C145E0">
      <w:pPr>
        <w:pStyle w:val="EndnoteText"/>
        <w:rPr>
          <w:lang w:val="en-AU"/>
        </w:rPr>
      </w:pPr>
    </w:p>
  </w:endnote>
  <w:endnote w:id="9">
    <w:p w:rsidR="00C145E0" w:rsidRDefault="00C145E0">
      <w:pPr>
        <w:pStyle w:val="EndnoteText"/>
        <w:rPr>
          <w:lang w:val="en-AU"/>
        </w:rPr>
      </w:pPr>
      <w:r>
        <w:rPr>
          <w:rStyle w:val="EndnoteReference"/>
        </w:rPr>
        <w:endnoteRef/>
      </w:r>
      <w:r>
        <w:t xml:space="preserve"> The echo is from the r</w:t>
      </w:r>
      <w:r>
        <w:rPr>
          <w:lang w:val="en-AU"/>
        </w:rPr>
        <w:t xml:space="preserve">ules of natural justice: a right of affected parties to be heard; a person cannot judge </w:t>
      </w:r>
      <w:r w:rsidR="000C0825">
        <w:rPr>
          <w:lang w:val="en-AU"/>
        </w:rPr>
        <w:t>their</w:t>
      </w:r>
      <w:r>
        <w:rPr>
          <w:lang w:val="en-AU"/>
        </w:rPr>
        <w:t xml:space="preserve"> own rights. </w:t>
      </w:r>
    </w:p>
    <w:p w:rsidR="00C145E0" w:rsidRPr="00E45629" w:rsidRDefault="00C145E0">
      <w:pPr>
        <w:pStyle w:val="EndnoteText"/>
        <w:rPr>
          <w:lang w:val="en-AU"/>
        </w:rPr>
      </w:pPr>
    </w:p>
  </w:endnote>
  <w:endnote w:id="10">
    <w:p w:rsidR="00C145E0" w:rsidRDefault="00C145E0" w:rsidP="00CA2E6E">
      <w:pPr>
        <w:pStyle w:val="FootnoteText"/>
      </w:pPr>
      <w:r>
        <w:rPr>
          <w:rStyle w:val="EndnoteReference"/>
        </w:rPr>
        <w:endnoteRef/>
      </w:r>
      <w:r>
        <w:t xml:space="preserve"> </w:t>
      </w:r>
      <w:r>
        <w:rPr>
          <w:lang w:val="en-AU"/>
        </w:rPr>
        <w:t xml:space="preserve">In relation to a different organisation, Infrastructure Australia, the view that </w:t>
      </w:r>
      <w:r>
        <w:t xml:space="preserve">‘independence’ relates </w:t>
      </w:r>
      <w:r w:rsidR="000C0825">
        <w:t>just</w:t>
      </w:r>
      <w:r>
        <w:t xml:space="preserve"> to independence from the Government was challenged only by </w:t>
      </w:r>
      <w:r w:rsidRPr="00C425AC">
        <w:t xml:space="preserve">Dr Edwards in </w:t>
      </w:r>
      <w:r>
        <w:t xml:space="preserve">an article on the </w:t>
      </w:r>
      <w:r w:rsidRPr="00C425AC">
        <w:t xml:space="preserve">changes </w:t>
      </w:r>
      <w:r>
        <w:t xml:space="preserve">proposed for Infrastructure Australia </w:t>
      </w:r>
      <w:r w:rsidRPr="00C425AC">
        <w:t xml:space="preserve">in 2014.  </w:t>
      </w:r>
      <w:r>
        <w:t xml:space="preserve">In his view, independence from industry was a significant issue. </w:t>
      </w:r>
      <w:r w:rsidRPr="00C425AC">
        <w:t xml:space="preserve">See: Dr Geoff Edwards, </w:t>
      </w:r>
      <w:r w:rsidRPr="001A398D">
        <w:rPr>
          <w:i/>
        </w:rPr>
        <w:t>New body not in the public interest</w:t>
      </w:r>
      <w:r w:rsidRPr="00C425AC">
        <w:t>, Public Administration Today, April 2014.</w:t>
      </w:r>
      <w:r w:rsidR="00073E99">
        <w:t xml:space="preserve">  </w:t>
      </w:r>
    </w:p>
    <w:p w:rsidR="00073E99" w:rsidRDefault="00073E99" w:rsidP="00CA2E6E">
      <w:pPr>
        <w:pStyle w:val="FootnoteText"/>
        <w:rPr>
          <w:lang w:val="en-AU"/>
        </w:rPr>
      </w:pPr>
      <w:r>
        <w:t xml:space="preserve">In the current article the author is in part agreement with his thesis but cannot agree that the departmental public service is a superior institutional form for advising the Commonwealth on matters which fall outside the Government’s direct powers, but need to be dealt with by the Parliament via s.96 </w:t>
      </w:r>
      <w:r w:rsidR="006C7934">
        <w:t>i.e.</w:t>
      </w:r>
      <w:r>
        <w:t xml:space="preserve"> much infrastructure funding. </w:t>
      </w:r>
    </w:p>
    <w:p w:rsidR="00C145E0" w:rsidRPr="006A3584" w:rsidRDefault="00C145E0">
      <w:pPr>
        <w:pStyle w:val="EndnoteText"/>
        <w:rPr>
          <w:lang w:val="en-AU"/>
        </w:rPr>
      </w:pPr>
    </w:p>
  </w:endnote>
  <w:endnote w:id="11">
    <w:p w:rsidR="00C145E0" w:rsidRDefault="00C145E0">
      <w:pPr>
        <w:pStyle w:val="EndnoteText"/>
        <w:rPr>
          <w:lang w:val="en-AU"/>
        </w:rPr>
      </w:pPr>
      <w:r>
        <w:rPr>
          <w:rStyle w:val="EndnoteReference"/>
        </w:rPr>
        <w:t>F</w:t>
      </w:r>
      <w:r>
        <w:t>F</w:t>
      </w:r>
      <w:r>
        <w:rPr>
          <w:lang w:val="en-AU"/>
        </w:rPr>
        <w:t xml:space="preserve">or a charitable view of reasons for gauge differences see: </w:t>
      </w:r>
      <w:hyperlink r:id="rId9" w:history="1">
        <w:r w:rsidRPr="00381E75">
          <w:rPr>
            <w:rStyle w:val="Hyperlink"/>
            <w:lang w:val="en-AU"/>
          </w:rPr>
          <w:t>http://www.australia.gov.au/about-australia/australian-story/railways-in-australia</w:t>
        </w:r>
      </w:hyperlink>
      <w:r>
        <w:rPr>
          <w:lang w:val="en-AU"/>
        </w:rPr>
        <w:t>.</w:t>
      </w:r>
    </w:p>
    <w:p w:rsidR="00C145E0" w:rsidRPr="00E50456" w:rsidRDefault="00C145E0">
      <w:pPr>
        <w:pStyle w:val="EndnoteText"/>
        <w:rPr>
          <w:lang w:val="en-AU"/>
        </w:rPr>
      </w:pPr>
    </w:p>
  </w:endnote>
  <w:endnote w:id="12">
    <w:p w:rsidR="00FC7ED3" w:rsidRDefault="00FC7ED3" w:rsidP="00FC7ED3">
      <w:pPr>
        <w:pStyle w:val="EndnoteText"/>
        <w:rPr>
          <w:lang w:val="en-AU"/>
        </w:rPr>
      </w:pPr>
      <w:r>
        <w:rPr>
          <w:rStyle w:val="EndnoteReference"/>
        </w:rPr>
        <w:endnoteRef/>
      </w:r>
      <w:r>
        <w:t xml:space="preserve"> </w:t>
      </w:r>
      <w:r>
        <w:rPr>
          <w:lang w:val="en-AU"/>
        </w:rPr>
        <w:t>The Commonwealth inquiries into railways included a royal commission into a uniform railway gauge almost a century ago (1920-21).</w:t>
      </w:r>
    </w:p>
    <w:p w:rsidR="00FC7ED3" w:rsidRPr="00E50456" w:rsidRDefault="00FC7ED3" w:rsidP="00FC7ED3">
      <w:pPr>
        <w:pStyle w:val="EndnoteText"/>
        <w:rPr>
          <w:lang w:val="en-AU"/>
        </w:rPr>
      </w:pPr>
    </w:p>
  </w:endnote>
  <w:endnote w:id="13">
    <w:p w:rsidR="00C145E0" w:rsidRDefault="00C145E0">
      <w:pPr>
        <w:pStyle w:val="EndnoteText"/>
      </w:pPr>
      <w:r>
        <w:rPr>
          <w:rStyle w:val="EndnoteReference"/>
        </w:rPr>
        <w:endnoteRef/>
      </w:r>
      <w:r>
        <w:t xml:space="preserve"> For example while interoperability featured prominently in the two Infrastructure Australia reports on a national land freight strategy, it was mentioned only twice in the relevant later document prepared by officials for the Ministerial Council.  See: </w:t>
      </w:r>
      <w:hyperlink r:id="rId10" w:history="1">
        <w:r w:rsidRPr="0070751B">
          <w:rPr>
            <w:rStyle w:val="Hyperlink"/>
          </w:rPr>
          <w:t>http://infrastructureaustralia.gov.au/policy-publications/publications/index.aspx?collection=IA-publications&amp;form=simple&amp;query=land+freight&amp;Submit=Search</w:t>
        </w:r>
      </w:hyperlink>
      <w:r>
        <w:t xml:space="preserve"> and </w:t>
      </w:r>
      <w:hyperlink r:id="rId11" w:history="1">
        <w:r w:rsidRPr="0070751B">
          <w:rPr>
            <w:rStyle w:val="Hyperlink"/>
          </w:rPr>
          <w:t>http://transportinfrastructurecouncil.gov.au/publications/</w:t>
        </w:r>
      </w:hyperlink>
    </w:p>
    <w:p w:rsidR="00C145E0" w:rsidRDefault="00073E99">
      <w:pPr>
        <w:pStyle w:val="EndnoteText"/>
      </w:pPr>
      <w:r>
        <w:t>A</w:t>
      </w:r>
      <w:r w:rsidR="00C145E0">
        <w:t xml:space="preserve"> critical </w:t>
      </w:r>
      <w:r>
        <w:t>point of</w:t>
      </w:r>
      <w:r w:rsidR="00C145E0">
        <w:t xml:space="preserve"> Infrastructure Australia reports </w:t>
      </w:r>
      <w:r>
        <w:t xml:space="preserve">is that its proposal is for a </w:t>
      </w:r>
      <w:r w:rsidR="00C145E0">
        <w:t xml:space="preserve">‘national network’ </w:t>
      </w:r>
      <w:r>
        <w:t xml:space="preserve">that </w:t>
      </w:r>
      <w:r w:rsidR="00C145E0">
        <w:t>would only come into existence when gauge standardisation is achieved eg. most of Queensland should be, but is not yet, served by a national network.  Th</w:t>
      </w:r>
      <w:r>
        <w:t xml:space="preserve">is is different to </w:t>
      </w:r>
      <w:r w:rsidR="00C145E0">
        <w:t xml:space="preserve">material at the Department of Infrastructure Transport and Regional Development website, purports that Queensland is already served by the national rail network.  See: the roads articles at thejadebeagle.com and </w:t>
      </w:r>
      <w:hyperlink r:id="rId12" w:history="1">
        <w:r w:rsidR="00C145E0" w:rsidRPr="00381E75">
          <w:rPr>
            <w:rStyle w:val="Hyperlink"/>
          </w:rPr>
          <w:t>http://investment.infrastructure.gov.au/whatis/network/images/QLD_National_Land_Transport_Network_Rail_Corridors_update_2014.pdf</w:t>
        </w:r>
      </w:hyperlink>
    </w:p>
    <w:p w:rsidR="00C145E0" w:rsidRDefault="00C145E0">
      <w:pPr>
        <w:pStyle w:val="EndnoteText"/>
        <w:rPr>
          <w:lang w:val="en-AU"/>
        </w:rPr>
      </w:pPr>
      <w:r>
        <w:t>Rail gauge s</w:t>
      </w:r>
      <w:r>
        <w:rPr>
          <w:lang w:val="en-AU"/>
        </w:rPr>
        <w:t>tandardisation is not mentioned in the 2015 national infrastructure audit.</w:t>
      </w:r>
    </w:p>
    <w:p w:rsidR="00C145E0" w:rsidRPr="00E50456" w:rsidRDefault="00C145E0">
      <w:pPr>
        <w:pStyle w:val="EndnoteText"/>
        <w:rPr>
          <w:lang w:val="en-AU"/>
        </w:rPr>
      </w:pPr>
    </w:p>
  </w:endnote>
  <w:endnote w:id="14">
    <w:p w:rsidR="00C145E0" w:rsidRDefault="00C145E0" w:rsidP="001956E0">
      <w:pPr>
        <w:pStyle w:val="EndnoteText"/>
        <w:rPr>
          <w:lang w:val="en-AU"/>
        </w:rPr>
      </w:pPr>
      <w:r>
        <w:rPr>
          <w:rStyle w:val="EndnoteReference"/>
        </w:rPr>
        <w:endnoteRef/>
      </w:r>
      <w:r>
        <w:t xml:space="preserve"> Given the proposed definition of </w:t>
      </w:r>
      <w:r>
        <w:rPr>
          <w:lang w:val="en-AU"/>
        </w:rPr>
        <w:t xml:space="preserve">governance as the effective exercise of legal control, Figure 2 shows four types of governance instruments available to a government to control an organisation.   </w:t>
      </w:r>
    </w:p>
    <w:p w:rsidR="00C145E0" w:rsidRDefault="00C145E0" w:rsidP="001956E0">
      <w:pPr>
        <w:pStyle w:val="EndnoteText"/>
        <w:rPr>
          <w:lang w:val="en-AU"/>
        </w:rPr>
      </w:pPr>
      <w:r w:rsidRPr="00A41014">
        <w:rPr>
          <w:u w:val="single"/>
          <w:lang w:val="en-AU"/>
        </w:rPr>
        <w:t xml:space="preserve">Ownership </w:t>
      </w:r>
      <w:r>
        <w:rPr>
          <w:lang w:val="en-AU"/>
        </w:rPr>
        <w:t>allows the government to directly intervene, for example by appointing management or issuing directives.  This can only be used for a public sector organisation, and in some cases the government’s power is circumscribed.  For example usually the government appoints a board and the board appoints management for a government trading corporation.  Corporatisation is discussed in the text and later notes.</w:t>
      </w:r>
    </w:p>
    <w:p w:rsidR="00C145E0" w:rsidRDefault="00C145E0" w:rsidP="001956E0">
      <w:pPr>
        <w:pStyle w:val="EndnoteText"/>
        <w:rPr>
          <w:lang w:val="en-AU"/>
        </w:rPr>
      </w:pPr>
      <w:r w:rsidRPr="00A41014">
        <w:rPr>
          <w:u w:val="single"/>
          <w:lang w:val="en-AU"/>
        </w:rPr>
        <w:t>Contracts</w:t>
      </w:r>
      <w:r>
        <w:rPr>
          <w:lang w:val="en-AU"/>
        </w:rPr>
        <w:t xml:space="preserve"> involve an exchange between parties.  For governments they involve the purchase of goods or services.  Contracts can include community service obligations.</w:t>
      </w:r>
    </w:p>
    <w:p w:rsidR="00C145E0" w:rsidRDefault="00C145E0" w:rsidP="001956E0">
      <w:pPr>
        <w:pStyle w:val="EndnoteText"/>
        <w:rPr>
          <w:lang w:val="en-AU"/>
        </w:rPr>
      </w:pPr>
      <w:r w:rsidRPr="00A41014">
        <w:rPr>
          <w:u w:val="single"/>
          <w:lang w:val="en-AU"/>
        </w:rPr>
        <w:t>Regulation</w:t>
      </w:r>
      <w:r>
        <w:rPr>
          <w:lang w:val="en-AU"/>
        </w:rPr>
        <w:t xml:space="preserve"> can compel organisations to behave in a particular way.  For example rail safety regulation requires an organisation involved in railways to have a safety management system.</w:t>
      </w:r>
    </w:p>
    <w:p w:rsidR="00C145E0" w:rsidRDefault="00C145E0" w:rsidP="001956E0">
      <w:pPr>
        <w:pStyle w:val="EndnoteText"/>
        <w:rPr>
          <w:lang w:val="en-AU"/>
        </w:rPr>
      </w:pPr>
      <w:r w:rsidRPr="00A41014">
        <w:rPr>
          <w:u w:val="single"/>
          <w:lang w:val="en-AU"/>
        </w:rPr>
        <w:t xml:space="preserve">Financing and accounting standards </w:t>
      </w:r>
      <w:r>
        <w:rPr>
          <w:lang w:val="en-AU"/>
        </w:rPr>
        <w:t xml:space="preserve">are relevant to the charter of an organisation.  A for-profit organisation will seek a return on capital; for it a community service obligation contract will need to include a rate of return component, or in the case of a public sector organisation an ‘exemption’ from a return.  Accounting standards can be critical for public sector organisations </w:t>
      </w:r>
      <w:r w:rsidR="00425A75">
        <w:rPr>
          <w:lang w:val="en-AU"/>
        </w:rPr>
        <w:t>undertaking</w:t>
      </w:r>
      <w:r>
        <w:rPr>
          <w:lang w:val="en-AU"/>
        </w:rPr>
        <w:t xml:space="preserve"> community service obligations; if a profit component is not included in payments the value of assets deployed will be less than historic or replacement cost, and consequently </w:t>
      </w:r>
      <w:r w:rsidR="00425A75">
        <w:rPr>
          <w:lang w:val="en-AU"/>
        </w:rPr>
        <w:t>the</w:t>
      </w:r>
      <w:r>
        <w:rPr>
          <w:lang w:val="en-AU"/>
        </w:rPr>
        <w:t xml:space="preserve"> depreciation schedule </w:t>
      </w:r>
      <w:r w:rsidR="00425A75">
        <w:rPr>
          <w:lang w:val="en-AU"/>
        </w:rPr>
        <w:t xml:space="preserve">may </w:t>
      </w:r>
      <w:r>
        <w:rPr>
          <w:lang w:val="en-AU"/>
        </w:rPr>
        <w:t>not depict capital replacement needs for continuity of services.</w:t>
      </w:r>
    </w:p>
    <w:p w:rsidR="00C145E0" w:rsidRPr="00F0069D" w:rsidRDefault="00C145E0" w:rsidP="001956E0">
      <w:pPr>
        <w:pStyle w:val="EndnoteText"/>
        <w:rPr>
          <w:lang w:val="en-AU"/>
        </w:rPr>
      </w:pPr>
      <w:r>
        <w:rPr>
          <w:lang w:val="en-AU"/>
        </w:rPr>
        <w:t xml:space="preserve"> </w:t>
      </w:r>
    </w:p>
  </w:endnote>
  <w:endnote w:id="15">
    <w:p w:rsidR="00C145E0" w:rsidRDefault="00C145E0">
      <w:pPr>
        <w:pStyle w:val="EndnoteText"/>
      </w:pPr>
      <w:r>
        <w:rPr>
          <w:rStyle w:val="EndnoteReference"/>
        </w:rPr>
        <w:endnoteRef/>
      </w:r>
      <w:r>
        <w:t xml:space="preserve"> For example: </w:t>
      </w:r>
      <w:hyperlink r:id="rId13" w:history="1">
        <w:r w:rsidRPr="00381E75">
          <w:rPr>
            <w:rStyle w:val="Hyperlink"/>
          </w:rPr>
          <w:t>https://infrastructure.gov.au/rail/legislation/ntc_ris.aspx</w:t>
        </w:r>
      </w:hyperlink>
    </w:p>
    <w:p w:rsidR="00C145E0" w:rsidRPr="00F92F8D" w:rsidRDefault="00C145E0">
      <w:pPr>
        <w:pStyle w:val="EndnoteText"/>
        <w:rPr>
          <w:lang w:val="en-AU"/>
        </w:rPr>
      </w:pPr>
    </w:p>
  </w:endnote>
  <w:endnote w:id="16">
    <w:p w:rsidR="00C145E0" w:rsidRDefault="00C145E0">
      <w:pPr>
        <w:pStyle w:val="EndnoteText"/>
      </w:pPr>
      <w:r>
        <w:rPr>
          <w:rStyle w:val="EndnoteReference"/>
        </w:rPr>
        <w:endnoteRef/>
      </w:r>
      <w:r>
        <w:t xml:space="preserve"> The relevant regulatory impact statement, assum</w:t>
      </w:r>
      <w:r w:rsidR="00425A75">
        <w:t>ed</w:t>
      </w:r>
      <w:r>
        <w:t xml:space="preserve"> (but </w:t>
      </w:r>
      <w:r w:rsidR="00425A75">
        <w:t xml:space="preserve">did </w:t>
      </w:r>
      <w:r>
        <w:t>not demonstrat</w:t>
      </w:r>
      <w:r w:rsidR="00425A75">
        <w:t>e</w:t>
      </w:r>
      <w:r>
        <w:t>) a reduction in accidents</w:t>
      </w:r>
      <w:r w:rsidR="00425A75">
        <w:t xml:space="preserve"> and </w:t>
      </w:r>
      <w:r>
        <w:t xml:space="preserve">estimated a net present value benefit in 2009 of around $50m, or around $4m annually.  In comparison the Australian Bureau of Statistics estimates industry income to have been around $13bn in that year.  See: </w:t>
      </w:r>
      <w:hyperlink r:id="rId14" w:history="1">
        <w:r w:rsidRPr="0070751B">
          <w:rPr>
            <w:rStyle w:val="Hyperlink"/>
          </w:rPr>
          <w:t>https://infrastructure.gov.au/rail/legislation/ntc_ris.aspx</w:t>
        </w:r>
      </w:hyperlink>
      <w:r>
        <w:t xml:space="preserve"> and </w:t>
      </w:r>
      <w:hyperlink r:id="rId15" w:history="1">
        <w:r w:rsidRPr="0070751B">
          <w:rPr>
            <w:rStyle w:val="Hyperlink"/>
          </w:rPr>
          <w:t>http://www.abs.gov.au/ausstats/abs@.nsf/Lookup/by%20Subject/1301.0~2012~Main%20Features~Transport,%20postal%20and%20warehousing%20industry~186</w:t>
        </w:r>
      </w:hyperlink>
    </w:p>
    <w:p w:rsidR="00C145E0" w:rsidRPr="001956E0" w:rsidRDefault="00C145E0">
      <w:pPr>
        <w:pStyle w:val="EndnoteText"/>
        <w:rPr>
          <w:lang w:val="en-AU"/>
        </w:rPr>
      </w:pPr>
    </w:p>
  </w:endnote>
  <w:endnote w:id="17">
    <w:p w:rsidR="00C145E0" w:rsidRDefault="00C145E0">
      <w:pPr>
        <w:pStyle w:val="EndnoteText"/>
      </w:pPr>
      <w:r>
        <w:rPr>
          <w:rStyle w:val="EndnoteReference"/>
        </w:rPr>
        <w:endnoteRef/>
      </w:r>
      <w:r>
        <w:t xml:space="preserve"> The ability of heavy vehicles to use local roads is the ‘access’ issue unsuccessfully sought by a series of proposals including the heavy vehicle charging and investment initiative and the national heavy vehicle regulator.  This is outlined in the htfu paper at thejadebeagle.com.  The suspicion about ‘cost shifting’ is hardly dispelled by: the Commonwealth not offering to take responsibility for a (properly defined) national road network; several States (and the Commonwealth) not addressing access issues to their roads outlined by Infrastructure Australia eg. the ability of higher productivity vehicles to use the Hume Highway.</w:t>
      </w:r>
    </w:p>
    <w:p w:rsidR="00C145E0" w:rsidRPr="00B75870" w:rsidRDefault="00C145E0">
      <w:pPr>
        <w:pStyle w:val="EndnoteText"/>
        <w:rPr>
          <w:lang w:val="en-AU"/>
        </w:rPr>
      </w:pPr>
    </w:p>
  </w:endnote>
  <w:endnote w:id="18">
    <w:p w:rsidR="00C145E0" w:rsidRPr="006D7EB1" w:rsidRDefault="00C145E0">
      <w:pPr>
        <w:pStyle w:val="EndnoteText"/>
        <w:rPr>
          <w:lang w:val="en-AU"/>
        </w:rPr>
      </w:pPr>
      <w:r>
        <w:rPr>
          <w:rStyle w:val="EndnoteReference"/>
        </w:rPr>
        <w:endnoteRef/>
      </w:r>
      <w:r>
        <w:t xml:space="preserve"> The final product of rail regulatory reform, a national regulator operating a permission based system, commenced in 2013.  From that time, in at least the States subject to the regulator, it cannot be rationally suggested that regulation is impeding interoperability.  A similar point was forcefully made in a 2012 external report commissioned by the Ministerial Council:  see finding 13 and pages 40 to 43 of </w:t>
      </w:r>
      <w:hyperlink r:id="rId16" w:history="1">
        <w:r w:rsidRPr="0070751B">
          <w:rPr>
            <w:rStyle w:val="Hyperlink"/>
          </w:rPr>
          <w:t>http://transportinfrastructurecouncil.gov.au/publications/files/RISSB_review_report.pd</w:t>
        </w:r>
      </w:hyperlink>
      <w:r w:rsidRPr="009A5D02">
        <w:t>f</w:t>
      </w:r>
      <w:r>
        <w:t>.  Since then there have been relatively few references in reports to standardisation and interoperability.</w:t>
      </w:r>
    </w:p>
  </w:endnote>
  <w:endnote w:id="19">
    <w:p w:rsidR="00C145E0" w:rsidRDefault="00C145E0">
      <w:pPr>
        <w:pStyle w:val="EndnoteText"/>
      </w:pPr>
    </w:p>
    <w:p w:rsidR="00C145E0" w:rsidRDefault="00C145E0">
      <w:pPr>
        <w:pStyle w:val="EndnoteText"/>
        <w:rPr>
          <w:lang w:val="en-AU"/>
        </w:rPr>
      </w:pPr>
      <w:r>
        <w:rPr>
          <w:rStyle w:val="EndnoteReference"/>
        </w:rPr>
        <w:endnoteRef/>
      </w:r>
      <w:r>
        <w:t xml:space="preserve"> For c</w:t>
      </w:r>
      <w:r>
        <w:rPr>
          <w:lang w:val="en-AU"/>
        </w:rPr>
        <w:t xml:space="preserve">orporatisation see:  </w:t>
      </w:r>
      <w:hyperlink r:id="rId17" w:history="1">
        <w:r w:rsidRPr="00855B4E">
          <w:rPr>
            <w:rStyle w:val="Hyperlink"/>
            <w:lang w:val="en-AU"/>
          </w:rPr>
          <w:t>http://www.treasury.nsw.gov.au/Commercial_Policy_Framework/Glossary_of_Terms</w:t>
        </w:r>
      </w:hyperlink>
      <w:r>
        <w:rPr>
          <w:lang w:val="en-AU"/>
        </w:rPr>
        <w:t>.</w:t>
      </w:r>
    </w:p>
    <w:p w:rsidR="00425A75" w:rsidRDefault="00C145E0">
      <w:pPr>
        <w:pStyle w:val="EndnoteText"/>
        <w:rPr>
          <w:lang w:val="en-AU"/>
        </w:rPr>
      </w:pPr>
      <w:r>
        <w:rPr>
          <w:lang w:val="en-AU"/>
        </w:rPr>
        <w:t xml:space="preserve">The basic idea of a corporation is to separate ownership from direct control, this was seen as a cornerstone of modern capitalism; a mechanism necessary to marshal larger amounts of financial capital than available to individuals, families and partnerships etc.  </w:t>
      </w:r>
    </w:p>
    <w:p w:rsidR="00C145E0" w:rsidRDefault="00C145E0">
      <w:pPr>
        <w:pStyle w:val="EndnoteText"/>
        <w:rPr>
          <w:lang w:val="en-AU"/>
        </w:rPr>
      </w:pPr>
      <w:r>
        <w:rPr>
          <w:lang w:val="en-AU"/>
        </w:rPr>
        <w:t>It is believed (by many economists) that a corporation is a superior form of organisation to operate in a market as it is driven by a profit motive.</w:t>
      </w:r>
    </w:p>
    <w:p w:rsidR="00C145E0" w:rsidRPr="00E45629" w:rsidRDefault="00C145E0">
      <w:pPr>
        <w:pStyle w:val="EndnoteText"/>
        <w:rPr>
          <w:lang w:val="en-AU"/>
        </w:rPr>
      </w:pPr>
    </w:p>
  </w:endnote>
  <w:endnote w:id="20">
    <w:p w:rsidR="00C145E0" w:rsidRDefault="00C145E0">
      <w:pPr>
        <w:pStyle w:val="EndnoteText"/>
      </w:pPr>
      <w:r>
        <w:rPr>
          <w:rStyle w:val="EndnoteReference"/>
        </w:rPr>
        <w:endnoteRef/>
      </w:r>
      <w:r>
        <w:t xml:space="preserve"> See the references in note ii.  In some cases, a portfolio minister may be able to provide directions to a government corporation.  The circumstances and procedures are set out in legislation.  Usually, such directions need to be tabled in parliament.  </w:t>
      </w:r>
    </w:p>
    <w:p w:rsidR="00C145E0" w:rsidRDefault="00C145E0">
      <w:pPr>
        <w:pStyle w:val="EndnoteText"/>
      </w:pPr>
      <w:r>
        <w:t xml:space="preserve">There have been some curious points about some of these procedures.  In </w:t>
      </w:r>
      <w:r w:rsidR="00425A75">
        <w:t>a few</w:t>
      </w:r>
      <w:r>
        <w:t xml:space="preserve"> cases directions needed to be ‘approved’ by a shareholder minister, which defeated the purpose of the exercise; incidentally demonstrating that intricate guidelines for public sector organisations, even when drafted by central agencies, can err.</w:t>
      </w:r>
    </w:p>
    <w:p w:rsidR="005F6B90" w:rsidRDefault="00C145E0">
      <w:pPr>
        <w:pStyle w:val="EndnoteText"/>
      </w:pPr>
      <w:r>
        <w:t xml:space="preserve">In other cases directions could be made on the grounds of ‘public interest’.   Such directions only </w:t>
      </w:r>
      <w:r w:rsidR="00425A75">
        <w:t>make sense i</w:t>
      </w:r>
      <w:r>
        <w:t xml:space="preserve">f the government owned corporation was not acting in the public interest, calling into question the actions of its management, board and supervising (shareholder) ministers.  </w:t>
      </w:r>
    </w:p>
    <w:p w:rsidR="00C145E0" w:rsidRDefault="00C145E0">
      <w:pPr>
        <w:pStyle w:val="EndnoteText"/>
      </w:pPr>
      <w:r>
        <w:t>Th</w:t>
      </w:r>
      <w:r w:rsidR="00425A75">
        <w:t>ese points</w:t>
      </w:r>
      <w:r>
        <w:t xml:space="preserve"> indicate fundamental tensions in the corporatisation model, possibly arising from the fact that the original purpose of a corporation, to marshal capital for profit, can hardly be a valid rationale for the form of a public sector organisation.</w:t>
      </w:r>
    </w:p>
    <w:p w:rsidR="00C145E0" w:rsidRDefault="00C145E0">
      <w:pPr>
        <w:pStyle w:val="EndnoteText"/>
      </w:pPr>
      <w:r>
        <w:t xml:space="preserve">Among the other ‘purposes’ for public sector corporatisation is an attempt to place an organisation at ‘arms length’ from the executive government; usually expressed in financial terms </w:t>
      </w:r>
      <w:r w:rsidR="00425A75">
        <w:t xml:space="preserve">or </w:t>
      </w:r>
      <w:r>
        <w:t>as removing ‘ shield of the crown’ or limiting liabilities</w:t>
      </w:r>
      <w:r w:rsidR="00425A75">
        <w:t>.  B</w:t>
      </w:r>
      <w:r>
        <w:t xml:space="preserve">ut </w:t>
      </w:r>
      <w:r w:rsidR="00425A75">
        <w:t>the</w:t>
      </w:r>
      <w:r>
        <w:t xml:space="preserve"> realism of this </w:t>
      </w:r>
      <w:r w:rsidR="00425A75">
        <w:t>can be</w:t>
      </w:r>
      <w:r>
        <w:t xml:space="preserve"> highly suspect; would a government allow a significant government owned corporation to become insolvent and then be liquidated?</w:t>
      </w:r>
    </w:p>
    <w:p w:rsidR="00C145E0" w:rsidRDefault="00C145E0">
      <w:pPr>
        <w:pStyle w:val="EndnoteText"/>
      </w:pPr>
      <w:r>
        <w:t xml:space="preserve">For this reason, some suspect corporatisation to relate more to reducing ‘political interference’ in the organisation.  See for example the Productivity Commissions writings on the subject: </w:t>
      </w:r>
      <w:hyperlink r:id="rId18" w:history="1">
        <w:r w:rsidRPr="0070751B">
          <w:rPr>
            <w:rStyle w:val="Hyperlink"/>
          </w:rPr>
          <w:t>http://www.pc.gov.au/research/completed/government-trading-enterprises</w:t>
        </w:r>
      </w:hyperlink>
      <w:r>
        <w:t xml:space="preserve">.  </w:t>
      </w:r>
    </w:p>
    <w:p w:rsidR="00C145E0" w:rsidRDefault="00C145E0">
      <w:pPr>
        <w:pStyle w:val="EndnoteText"/>
      </w:pPr>
      <w:r>
        <w:t>However, arguably the real effect (and possibly part intention) of corporatisation is to lessen the influence on the organisation of some ministers, portfolio ministers, by increasing the influence of other ministers, shareholder ministers eg. treasurers.  It may be that shareholder-treasurers are less likely to exert political influence than portfolio ministers, but th</w:t>
      </w:r>
      <w:r w:rsidR="005F6B90">
        <w:t>is</w:t>
      </w:r>
      <w:r>
        <w:t xml:space="preserve"> idea has some interesting implications for responsible government via cabinet processes.   </w:t>
      </w:r>
    </w:p>
    <w:p w:rsidR="00C145E0" w:rsidRPr="00E176BA" w:rsidRDefault="00C145E0">
      <w:pPr>
        <w:pStyle w:val="EndnoteText"/>
        <w:rPr>
          <w:lang w:val="en-AU"/>
        </w:rPr>
      </w:pPr>
    </w:p>
  </w:endnote>
  <w:endnote w:id="21">
    <w:p w:rsidR="00C145E0" w:rsidRDefault="00C145E0" w:rsidP="004E652F">
      <w:pPr>
        <w:pStyle w:val="EndnoteText"/>
      </w:pPr>
      <w:r>
        <w:rPr>
          <w:rStyle w:val="EndnoteReference"/>
        </w:rPr>
        <w:endnoteRef/>
      </w:r>
      <w:r>
        <w:t xml:space="preserve"> The Coalition’s election platform placed appointment of a chief executive at the top of its commitments regarding Infrastructure Australia, ahead of the tasks the organisation would perform: </w:t>
      </w:r>
    </w:p>
    <w:p w:rsidR="00C145E0" w:rsidRDefault="00C145E0" w:rsidP="004E652F">
      <w:pPr>
        <w:pStyle w:val="EndnoteText"/>
        <w:rPr>
          <w:i/>
        </w:rPr>
      </w:pPr>
      <w:r>
        <w:t>‘</w:t>
      </w:r>
      <w:r w:rsidRPr="00C81AB5">
        <w:rPr>
          <w:i/>
        </w:rPr>
        <w:t xml:space="preserve">Under a Coalition government Infrastructure Australia will: </w:t>
      </w:r>
      <w:r w:rsidRPr="00C81AB5">
        <w:rPr>
          <w:i/>
        </w:rPr>
        <w:sym w:font="Symbol" w:char="F0B7"/>
      </w:r>
      <w:r w:rsidRPr="00C81AB5">
        <w:rPr>
          <w:i/>
        </w:rPr>
        <w:t xml:space="preserve"> be led by a Chief Executive Officer, responsible to the Board who will be tasked with implementing the Board’s strategic objectives and direction; </w:t>
      </w:r>
      <w:r w:rsidRPr="00C81AB5">
        <w:rPr>
          <w:i/>
        </w:rPr>
        <w:sym w:font="Symbol" w:char="F0B7"/>
      </w:r>
      <w:r w:rsidRPr="00C81AB5">
        <w:rPr>
          <w:i/>
        </w:rPr>
        <w:t xml:space="preserve"> develop a 15-year pipeline of major infrastructure projects</w:t>
      </w:r>
      <w:r>
        <w:rPr>
          <w:i/>
        </w:rPr>
        <w:t xml:space="preserve">……..’.  </w:t>
      </w:r>
    </w:p>
    <w:p w:rsidR="00C145E0" w:rsidRDefault="00C145E0" w:rsidP="004E652F">
      <w:pPr>
        <w:pStyle w:val="EndnoteText"/>
      </w:pPr>
      <w:r w:rsidRPr="00C81AB5">
        <w:t xml:space="preserve">See: </w:t>
      </w:r>
      <w:hyperlink r:id="rId19" w:history="1">
        <w:r w:rsidRPr="00855B4E">
          <w:rPr>
            <w:rStyle w:val="Hyperlink"/>
          </w:rPr>
          <w:t>http://lpaweb-static.s3.amazonaws.com/13-09-05%20Coalition%202013%20Election%20Policy%20%E2%80%93%20Better%20Infrastructure%20Planning%20%E2%80%93%20policy%20document.pdf</w:t>
        </w:r>
      </w:hyperlink>
    </w:p>
    <w:p w:rsidR="00C145E0" w:rsidRDefault="00C145E0" w:rsidP="006A3584">
      <w:pPr>
        <w:pStyle w:val="FootnoteText"/>
      </w:pPr>
      <w:r w:rsidRPr="00C425AC">
        <w:t>There is little on the public record regarding the reasons for the structure of Infrastructure Australia</w:t>
      </w:r>
      <w:r>
        <w:t xml:space="preserve"> either at its origins in 2008 or in 2014</w:t>
      </w:r>
      <w:r w:rsidRPr="00C425AC">
        <w:t>.</w:t>
      </w:r>
    </w:p>
    <w:p w:rsidR="00C145E0" w:rsidRPr="00C425AC" w:rsidRDefault="00C145E0" w:rsidP="006A3584">
      <w:pPr>
        <w:pStyle w:val="FootnoteText"/>
      </w:pPr>
      <w:r>
        <w:t>In 2008 t</w:t>
      </w:r>
      <w:r w:rsidRPr="00C425AC">
        <w:t>he Senate initially sought amendments</w:t>
      </w:r>
      <w:r>
        <w:t xml:space="preserve"> to the Bill</w:t>
      </w:r>
      <w:r w:rsidRPr="00C425AC">
        <w:t xml:space="preserve"> including that the Minister consult the </w:t>
      </w:r>
      <w:r>
        <w:t>Council (</w:t>
      </w:r>
      <w:r w:rsidRPr="00C425AC">
        <w:t>board</w:t>
      </w:r>
      <w:r>
        <w:t>)</w:t>
      </w:r>
      <w:r w:rsidRPr="00C425AC">
        <w:t xml:space="preserve"> over appointment of the infrastructure coordinator</w:t>
      </w:r>
      <w:r>
        <w:t>.  The Bill</w:t>
      </w:r>
      <w:r w:rsidRPr="00C425AC">
        <w:t xml:space="preserve"> passed without such amendment.  </w:t>
      </w:r>
    </w:p>
    <w:p w:rsidR="007E2949" w:rsidRDefault="00C145E0" w:rsidP="00425A75">
      <w:pPr>
        <w:pStyle w:val="EndnoteText"/>
      </w:pPr>
      <w:r>
        <w:t>In 2008, the desire to have Commonwealth and State officials on Infrastructure Australia’s Council implied that the Council should be ‘advisory’ rather than ‘governing’.  The reason was the then Commonwealth guidelines which advised against the presence of officials on the governing boards needed for government corporate entities.  For the Council to include officials, the organisation would need to be a non-corporate authority, like the Productivity Commission. The board of a non-corporate authority did not appoint chief executives; hence the infrastructure coordinator (the chief executive) would need to be appointed by another party, logically the Minister.</w:t>
      </w:r>
      <w:r w:rsidR="00425A75">
        <w:t xml:space="preserve">  </w:t>
      </w:r>
    </w:p>
    <w:p w:rsidR="00C145E0" w:rsidRDefault="00C145E0" w:rsidP="00425A75">
      <w:pPr>
        <w:pStyle w:val="EndnoteText"/>
      </w:pPr>
      <w:r>
        <w:t>It may be that the purpose of Coalition’s proposal for a board was to remove the Government’s power to appoint a chief executive, consistent with its comments in 2008.  If so, simpler mechanisms were available; for example appointment on advice by the board, and/or subject to approval of Parliament.</w:t>
      </w:r>
    </w:p>
    <w:p w:rsidR="00C145E0" w:rsidRDefault="00C145E0" w:rsidP="000C16D8">
      <w:pPr>
        <w:pStyle w:val="FootnoteText"/>
      </w:pPr>
      <w:r>
        <w:t>An alternative, which is merely a possibility because it has not been highlighted, is the little (publicly) known relationship between Infrastructure Australia and a tax (loss) concession.  A tax concession, up to a certain total value cap, is available to proponents of projects recommended by Infrastructure Australia as ‘threshold’ or ‘ready to proceed’.  The absence (?) of further decision may make Infrastructure Australia liable for its categorisation of projects, and it may have been thought that financial independence might mitigate Commonwealth liabilities for these decisions.  The comments in note xx indicate this to be a more complex matter than many suspect.</w:t>
      </w:r>
    </w:p>
    <w:p w:rsidR="00C145E0" w:rsidRDefault="00C145E0" w:rsidP="000C16D8">
      <w:pPr>
        <w:pStyle w:val="FootnoteText"/>
      </w:pPr>
      <w:r>
        <w:t xml:space="preserve">Returning to the offered explanation, the Coalition policy included a statement about abolishing the position of the national infrastructure coordinator; curious because redundant, being clearly implied by the statement about a board that appoints a chief executive.   </w:t>
      </w:r>
    </w:p>
    <w:p w:rsidR="00C145E0" w:rsidRDefault="00C145E0" w:rsidP="006A3584">
      <w:pPr>
        <w:pStyle w:val="EndnoteText"/>
      </w:pPr>
      <w:r>
        <w:t xml:space="preserve">This is not the only curious comment about the infrastructure coordinator.  The March 2014 national commission of audit p.138 recommended, without stating a reason, abolition of the position of national infrastructure coordinator.   Abolition could not be considered a ‘saving’ as at that time it was expected a chief executive officer would be appointed instead of the coordinator; it is not a functional rationalisation and as the salary etc. of the chief executive was unknown, it also was unknown whether the replacement would constitute a financial saving.  Was the commission of audit just copying the Coalition platform?  See: </w:t>
      </w:r>
      <w:hyperlink r:id="rId20" w:history="1">
        <w:r w:rsidRPr="003F3696">
          <w:rPr>
            <w:rStyle w:val="Hyperlink"/>
          </w:rPr>
          <w:t>http://www.ncoa.gov.au/report/docs/phase_two_report.pdf</w:t>
        </w:r>
      </w:hyperlink>
      <w:r>
        <w:t>.</w:t>
      </w:r>
    </w:p>
    <w:p w:rsidR="00C145E0" w:rsidRPr="00D6204B" w:rsidRDefault="00C145E0" w:rsidP="006A3584">
      <w:pPr>
        <w:pStyle w:val="EndnoteText"/>
      </w:pPr>
      <w:r>
        <w:t>The (Coalition) Minister’s reported criticism of a recent Labor proposal suggests there are some issues in understanding governance concepts in relation to Infrastructure Australia.  It was reported</w:t>
      </w:r>
      <w:r w:rsidRPr="00D6204B">
        <w:t>:</w:t>
      </w:r>
      <w:r w:rsidRPr="00D6204B">
        <w:rPr>
          <w:color w:val="333333"/>
        </w:rPr>
        <w:t xml:space="preserve"> </w:t>
      </w:r>
      <w:r w:rsidRPr="00D6204B">
        <w:rPr>
          <w:rStyle w:val="apple-converted-space"/>
          <w:color w:val="333333"/>
        </w:rPr>
        <w:t> </w:t>
      </w:r>
      <w:r w:rsidRPr="00D6204B">
        <w:rPr>
          <w:rStyle w:val="apple-converted-space"/>
        </w:rPr>
        <w:t>“</w:t>
      </w:r>
      <w:r w:rsidRPr="00D6204B">
        <w:rPr>
          <w:i/>
        </w:rPr>
        <w:t>Infrastructure Minister Warren Truss said Labor’s move to turn IA into a “banker” created a conflict of interest. “An independent assessor and funding body in one makes no sense and raises issues of propriety,” Mr Truss said.”</w:t>
      </w:r>
      <w:r>
        <w:rPr>
          <w:i/>
        </w:rPr>
        <w:t xml:space="preserve">  </w:t>
      </w:r>
      <w:r w:rsidRPr="00D6204B">
        <w:t>Th</w:t>
      </w:r>
      <w:r>
        <w:t>e comments are noteworthy</w:t>
      </w:r>
      <w:r w:rsidRPr="00D6204B">
        <w:t xml:space="preserve"> for at least </w:t>
      </w:r>
      <w:r>
        <w:t>four</w:t>
      </w:r>
      <w:r w:rsidRPr="00D6204B">
        <w:t xml:space="preserve"> reasons.  </w:t>
      </w:r>
      <w:r>
        <w:t>F</w:t>
      </w:r>
      <w:r w:rsidRPr="00D6204B">
        <w:t>irst</w:t>
      </w:r>
      <w:r>
        <w:t xml:space="preserve">, the notion of independence referred to by Mr Truss relates to the recipient of funding, rather than the Government as previously claimed.  Second, the corporate form of Infrastructure Australia introduced by Mr Truss in 2014 is more appropriate for the types of ‘funding’ activities envisaged than for the advisory body he thinks Infrastructure Australia currently is.  Third, Infrastructure Australia’s current activities in the infrastructure tax concession </w:t>
      </w:r>
      <w:r w:rsidR="009C6C18">
        <w:t xml:space="preserve">could </w:t>
      </w:r>
      <w:r>
        <w:t>make it at least the equivalent of a funding body.  Fourth, an assessor and funder in one body does make sense; indeed this is what Mr Truss’s own Department claims to do.  There is no conflict of interest between assessing whether to dispense funds and then dispensing those funds.  Of course certain disposition of funds might be evidence of pre-existing propriety issues.  A later article might comment on some aspects of Labor’s proposal.  See:</w:t>
      </w:r>
    </w:p>
    <w:p w:rsidR="00C145E0" w:rsidRDefault="00C145E0" w:rsidP="006A3584">
      <w:pPr>
        <w:pStyle w:val="EndnoteText"/>
      </w:pPr>
      <w:r w:rsidRPr="00D6204B">
        <w:t xml:space="preserve"> </w:t>
      </w:r>
      <w:hyperlink r:id="rId21" w:history="1">
        <w:r w:rsidRPr="0070751B">
          <w:rPr>
            <w:rStyle w:val="Hyperlink"/>
          </w:rPr>
          <w:t>http://www.theaustralian.com.au/national-affairs/alp-infrastructure-funding-plan-could-favour-roads/story-fn59niix-1227562544926?sv=d7a50dd81cfd5e51ea4737d103aa0f75</w:t>
        </w:r>
      </w:hyperlink>
      <w:r>
        <w:t>.</w:t>
      </w:r>
    </w:p>
    <w:p w:rsidR="00C145E0" w:rsidRPr="00E42C02" w:rsidRDefault="00C145E0" w:rsidP="006A3584">
      <w:pPr>
        <w:pStyle w:val="EndnoteText"/>
        <w:rPr>
          <w:lang w:val="en-AU"/>
        </w:rPr>
      </w:pPr>
    </w:p>
  </w:endnote>
  <w:endnote w:id="22">
    <w:p w:rsidR="00C145E0" w:rsidRDefault="00C145E0" w:rsidP="00CA577E">
      <w:pPr>
        <w:pStyle w:val="EndnoteText"/>
      </w:pPr>
      <w:r w:rsidRPr="00E42C02">
        <w:rPr>
          <w:rStyle w:val="EndnoteReference"/>
        </w:rPr>
        <w:endnoteRef/>
      </w:r>
      <w:r w:rsidRPr="00E42C02">
        <w:t xml:space="preserve"> </w:t>
      </w:r>
      <w:r>
        <w:t xml:space="preserve">Among the interesting aspects of the review of the National Transport Commission are it: was conducted 3 years after the previous review whereas the usual review interval is 6 years; was conducted by Commonwealth and State transport department officials rather than external parties; recommended greater control of the Commission by those officials and ignored a suggestion from experts that industry have increased input;  recognised that greater control would be inconsistent with the governance model for an independent organisation; recommended against like arrangements for the rail industry safety and standards board.  See: </w:t>
      </w:r>
      <w:hyperlink r:id="rId22" w:history="1">
        <w:r w:rsidRPr="0070751B">
          <w:rPr>
            <w:rStyle w:val="Hyperlink"/>
          </w:rPr>
          <w:t>https://infrastructure.gov.au/transport/australia/ntc/files/NTC_Review_Report_2.pdf</w:t>
        </w:r>
      </w:hyperlink>
      <w:r>
        <w:t>.</w:t>
      </w:r>
    </w:p>
    <w:p w:rsidR="00C145E0" w:rsidRPr="00E176BA" w:rsidRDefault="00C145E0" w:rsidP="00CA577E">
      <w:pPr>
        <w:pStyle w:val="EndnoteText"/>
        <w:rPr>
          <w:lang w:val="en-AU"/>
        </w:rPr>
      </w:pPr>
    </w:p>
  </w:endnote>
  <w:endnote w:id="23">
    <w:p w:rsidR="00C145E0" w:rsidRPr="00CA2E6E" w:rsidRDefault="00C145E0" w:rsidP="00CA2E6E">
      <w:pPr>
        <w:rPr>
          <w:sz w:val="20"/>
          <w:szCs w:val="20"/>
          <w:lang w:val="en-AU"/>
        </w:rPr>
      </w:pPr>
      <w:r w:rsidRPr="00CA2E6E">
        <w:rPr>
          <w:rStyle w:val="EndnoteReference"/>
          <w:sz w:val="20"/>
          <w:szCs w:val="20"/>
        </w:rPr>
        <w:endnoteRef/>
      </w:r>
      <w:r w:rsidRPr="00CA2E6E">
        <w:rPr>
          <w:sz w:val="20"/>
          <w:szCs w:val="20"/>
        </w:rPr>
        <w:t xml:space="preserve"> </w:t>
      </w:r>
      <w:r w:rsidRPr="00CA2E6E">
        <w:rPr>
          <w:sz w:val="20"/>
          <w:szCs w:val="20"/>
          <w:lang w:val="en-AU"/>
        </w:rPr>
        <w:t xml:space="preserve">Twomey argues that the States are entitled to surplus public funds not allocated by the Commonwealth.  This is the basis </w:t>
      </w:r>
      <w:r w:rsidRPr="00994CFA">
        <w:rPr>
          <w:sz w:val="20"/>
          <w:szCs w:val="20"/>
          <w:lang w:val="en-AU"/>
        </w:rPr>
        <w:t xml:space="preserve">for States’ standing in legal challenges to Commonwealth spending, such as on school chaplains.  In theory, if such spending is impugned, the States are entitled to the resultant surplus public funds.  See: </w:t>
      </w:r>
      <w:r w:rsidRPr="00994CFA">
        <w:rPr>
          <w:sz w:val="20"/>
          <w:szCs w:val="20"/>
        </w:rPr>
        <w:t xml:space="preserve">Anne Twomey, </w:t>
      </w:r>
      <w:r w:rsidRPr="00994CFA">
        <w:rPr>
          <w:i/>
          <w:sz w:val="20"/>
          <w:szCs w:val="20"/>
        </w:rPr>
        <w:t xml:space="preserve">Public Money Federal-State Financial Relations and the Constitutional Limits on Spending Public Money, </w:t>
      </w:r>
      <w:r w:rsidRPr="00994CFA">
        <w:rPr>
          <w:sz w:val="20"/>
          <w:szCs w:val="20"/>
        </w:rPr>
        <w:t>Report No 4, 2014, Constitutional Reform Unit Sydney Law School.</w:t>
      </w:r>
      <w:r>
        <w:rPr>
          <w:sz w:val="16"/>
          <w:szCs w:val="16"/>
        </w:rPr>
        <w:t xml:space="preserve">  </w:t>
      </w:r>
    </w:p>
  </w:endnote>
  <w:endnote w:id="24">
    <w:p w:rsidR="00C145E0" w:rsidRDefault="00C145E0">
      <w:pPr>
        <w:pStyle w:val="EndnoteText"/>
        <w:rPr>
          <w:lang w:val="en-AU"/>
        </w:rPr>
      </w:pPr>
      <w:r>
        <w:rPr>
          <w:rStyle w:val="EndnoteReference"/>
        </w:rPr>
        <w:endnoteRef/>
      </w:r>
      <w:r>
        <w:t xml:space="preserve"> </w:t>
      </w:r>
      <w:r>
        <w:rPr>
          <w:lang w:val="en-AU"/>
        </w:rPr>
        <w:t xml:space="preserve">Zines took the view that s.96 allowed intrusion into State affairs.  Williams v Commonwealth </w:t>
      </w:r>
    </w:p>
    <w:p w:rsidR="00C145E0" w:rsidRDefault="00C145E0">
      <w:pPr>
        <w:pStyle w:val="EndnoteText"/>
        <w:rPr>
          <w:lang w:val="en-AU"/>
        </w:rPr>
      </w:pPr>
      <w:r>
        <w:rPr>
          <w:lang w:val="en-AU"/>
        </w:rPr>
        <w:t xml:space="preserve">[2014] HCA 23 confirmed that s.96 conditions are to be set by Parliament, not Government.  The question of how much of this function Parliament can delegate to the Government (Minister) has not been determined.  It is possible that Parliament cannot simply hand over its responsibility to the Government via saying that it will enable ‘any condition the Minister might think fit’.  See: Leslie Zines, </w:t>
      </w:r>
      <w:r w:rsidRPr="00114941">
        <w:rPr>
          <w:i/>
          <w:lang w:val="en-AU"/>
        </w:rPr>
        <w:t>The High Court and the Constitution</w:t>
      </w:r>
      <w:r>
        <w:rPr>
          <w:lang w:val="en-AU"/>
        </w:rPr>
        <w:t>, 5</w:t>
      </w:r>
      <w:r w:rsidRPr="00716973">
        <w:rPr>
          <w:vertAlign w:val="superscript"/>
          <w:lang w:val="en-AU"/>
        </w:rPr>
        <w:t>th</w:t>
      </w:r>
      <w:r>
        <w:rPr>
          <w:lang w:val="en-AU"/>
        </w:rPr>
        <w:t xml:space="preserve"> Edition Federation Press, and Geoffrey Lindell,</w:t>
      </w:r>
      <w:r w:rsidRPr="00A61D59">
        <w:rPr>
          <w:i/>
          <w:lang w:val="en-AU"/>
        </w:rPr>
        <w:t xml:space="preserve"> The changed landscape of executive power of the Commonwealth after the William’s case</w:t>
      </w:r>
      <w:r>
        <w:rPr>
          <w:lang w:val="en-AU"/>
        </w:rPr>
        <w:t>, Monash University Law Review (Vol 39 No. 2).</w:t>
      </w:r>
    </w:p>
    <w:p w:rsidR="00C145E0" w:rsidRPr="00A46D2F" w:rsidRDefault="00C145E0">
      <w:pPr>
        <w:pStyle w:val="EndnoteText"/>
        <w:rPr>
          <w:lang w:val="en-AU"/>
        </w:rPr>
      </w:pPr>
    </w:p>
  </w:endnote>
  <w:endnote w:id="25">
    <w:p w:rsidR="00670AA1" w:rsidRDefault="00670AA1" w:rsidP="00670AA1">
      <w:pPr>
        <w:pStyle w:val="EndnoteText"/>
        <w:rPr>
          <w:lang w:val="en-AU"/>
        </w:rPr>
      </w:pPr>
      <w:r>
        <w:rPr>
          <w:rStyle w:val="EndnoteReference"/>
        </w:rPr>
        <w:endnoteRef/>
      </w:r>
      <w:r>
        <w:t xml:space="preserve"> </w:t>
      </w:r>
      <w:r>
        <w:rPr>
          <w:lang w:val="en-AU"/>
        </w:rPr>
        <w:t>A more technical difference is between Parliament (legislature) and Government (executive).  The legislature represents the people, the executive (Governor General and Ministers) represents the crown.  The convention, post Whitlam, of the Governor General following the advice of the Prime Minister (and Ministers) effectively means the Government, supported by the lower house majority, represents the crown.</w:t>
      </w:r>
    </w:p>
    <w:p w:rsidR="00670AA1" w:rsidRPr="000456A6" w:rsidRDefault="00670AA1" w:rsidP="00670AA1">
      <w:pPr>
        <w:pStyle w:val="EndnoteText"/>
        <w:rPr>
          <w:lang w:val="en-AU"/>
        </w:rPr>
      </w:pPr>
      <w:r>
        <w:rPr>
          <w:lang w:val="en-AU"/>
        </w:rPr>
        <w:t xml:space="preserve">  </w:t>
      </w:r>
    </w:p>
  </w:endnote>
  <w:endnote w:id="26">
    <w:p w:rsidR="00C145E0" w:rsidRDefault="00C145E0" w:rsidP="009C6C18">
      <w:pPr>
        <w:spacing w:after="0"/>
        <w:rPr>
          <w:sz w:val="20"/>
          <w:szCs w:val="20"/>
          <w:lang w:val="en-AU"/>
        </w:rPr>
      </w:pPr>
      <w:r w:rsidRPr="00CA2E6E">
        <w:rPr>
          <w:rStyle w:val="EndnoteReference"/>
          <w:sz w:val="20"/>
          <w:szCs w:val="20"/>
        </w:rPr>
        <w:endnoteRef/>
      </w:r>
      <w:r w:rsidRPr="00CA2E6E">
        <w:rPr>
          <w:sz w:val="20"/>
          <w:szCs w:val="20"/>
        </w:rPr>
        <w:t xml:space="preserve"> </w:t>
      </w:r>
      <w:r>
        <w:rPr>
          <w:sz w:val="20"/>
          <w:szCs w:val="20"/>
        </w:rPr>
        <w:t>Most p</w:t>
      </w:r>
      <w:r w:rsidRPr="00CA2E6E">
        <w:rPr>
          <w:sz w:val="20"/>
          <w:szCs w:val="20"/>
          <w:lang w:val="en-AU"/>
        </w:rPr>
        <w:t>ublic service departments are part of executive Government.  Departments and their officers represent and are agents of the Government.  Officers have a duty to put the Government’s case to all, including Parliament.</w:t>
      </w:r>
      <w:r w:rsidR="009C6C18">
        <w:rPr>
          <w:sz w:val="20"/>
          <w:szCs w:val="20"/>
          <w:lang w:val="en-AU"/>
        </w:rPr>
        <w:t xml:space="preserve">  </w:t>
      </w:r>
      <w:r w:rsidRPr="00CA2E6E">
        <w:rPr>
          <w:sz w:val="20"/>
          <w:szCs w:val="20"/>
          <w:lang w:val="en-AU"/>
        </w:rPr>
        <w:t>In this light, the ‘black is white’ nature of some comments by officials to Parliamentary Committees are understandable.</w:t>
      </w:r>
    </w:p>
    <w:p w:rsidR="009C6C18" w:rsidRPr="00CA2E6E" w:rsidRDefault="009C6C18" w:rsidP="009C6C18">
      <w:pPr>
        <w:spacing w:after="0"/>
        <w:rPr>
          <w:sz w:val="20"/>
          <w:szCs w:val="20"/>
          <w:lang w:val="en-AU"/>
        </w:rPr>
      </w:pPr>
    </w:p>
  </w:endnote>
  <w:endnote w:id="27">
    <w:p w:rsidR="000F6F71" w:rsidRDefault="000F6F71" w:rsidP="000F6F71">
      <w:pPr>
        <w:pStyle w:val="EndnoteText"/>
      </w:pPr>
      <w:r>
        <w:rPr>
          <w:rStyle w:val="EndnoteReference"/>
        </w:rPr>
        <w:endnoteRef/>
      </w:r>
      <w:r>
        <w:t xml:space="preserve"> Some examples: </w:t>
      </w:r>
    </w:p>
    <w:p w:rsidR="000F6F71" w:rsidRDefault="000F6F71" w:rsidP="000F6F71">
      <w:pPr>
        <w:pStyle w:val="EndnoteText"/>
        <w:rPr>
          <w:rFonts w:cs="Arial"/>
          <w:color w:val="000000"/>
          <w:shd w:val="clear" w:color="auto" w:fill="FFFFFF"/>
        </w:rPr>
      </w:pPr>
      <w:r w:rsidRPr="00D00779">
        <w:rPr>
          <w:u w:val="single"/>
          <w:lang w:val="en-AU"/>
        </w:rPr>
        <w:t>Unambitious</w:t>
      </w:r>
      <w:r>
        <w:rPr>
          <w:lang w:val="en-AU"/>
        </w:rPr>
        <w:t>;</w:t>
      </w:r>
      <w:r w:rsidRPr="00287B95">
        <w:rPr>
          <w:lang w:val="en-AU"/>
        </w:rPr>
        <w:t xml:space="preserve"> while “</w:t>
      </w:r>
      <w:r w:rsidRPr="00287B95">
        <w:rPr>
          <w:i/>
          <w:lang w:val="en-AU"/>
        </w:rPr>
        <w:t xml:space="preserve">the </w:t>
      </w:r>
      <w:r w:rsidRPr="00287B95">
        <w:rPr>
          <w:rFonts w:cs="Arial"/>
          <w:i/>
          <w:color w:val="000000"/>
          <w:shd w:val="clear" w:color="auto" w:fill="FFFFFF"/>
        </w:rPr>
        <w:t>Council's objective is to achieve a co-ordinated and integrated national transport and infrastructure system that is efficient, safe, sustainable, accessible and competitive”</w:t>
      </w:r>
      <w:r w:rsidRPr="00287B95">
        <w:rPr>
          <w:rFonts w:cs="Arial"/>
          <w:color w:val="000000"/>
          <w:shd w:val="clear" w:color="auto" w:fill="FFFFFF"/>
        </w:rPr>
        <w:t xml:space="preserve"> it has not </w:t>
      </w:r>
      <w:r>
        <w:rPr>
          <w:rFonts w:cs="Arial"/>
          <w:color w:val="000000"/>
          <w:shd w:val="clear" w:color="auto" w:fill="FFFFFF"/>
        </w:rPr>
        <w:t xml:space="preserve">publicly </w:t>
      </w:r>
      <w:r w:rsidRPr="00287B95">
        <w:rPr>
          <w:rFonts w:cs="Arial"/>
          <w:color w:val="000000"/>
          <w:shd w:val="clear" w:color="auto" w:fill="FFFFFF"/>
        </w:rPr>
        <w:t>recognised, or attempted to deal with</w:t>
      </w:r>
      <w:r>
        <w:rPr>
          <w:rFonts w:cs="Arial"/>
          <w:color w:val="000000"/>
          <w:shd w:val="clear" w:color="auto" w:fill="FFFFFF"/>
        </w:rPr>
        <w:t>,</w:t>
      </w:r>
      <w:r w:rsidRPr="00287B95">
        <w:rPr>
          <w:rFonts w:cs="Arial"/>
          <w:color w:val="000000"/>
          <w:shd w:val="clear" w:color="auto" w:fill="FFFFFF"/>
        </w:rPr>
        <w:t xml:space="preserve"> the large overall roads fiscal deficit</w:t>
      </w:r>
      <w:r>
        <w:rPr>
          <w:rFonts w:cs="Arial"/>
          <w:color w:val="000000"/>
          <w:shd w:val="clear" w:color="auto" w:fill="FFFFFF"/>
        </w:rPr>
        <w:t>, a deficit demonstrating a failure of coordination in national transport as</w:t>
      </w:r>
      <w:r w:rsidRPr="00287B95">
        <w:rPr>
          <w:rFonts w:cs="Arial"/>
          <w:color w:val="000000"/>
          <w:shd w:val="clear" w:color="auto" w:fill="FFFFFF"/>
        </w:rPr>
        <w:t xml:space="preserve"> described in other articles in this series.</w:t>
      </w:r>
      <w:r>
        <w:rPr>
          <w:rFonts w:cs="Arial"/>
          <w:color w:val="000000"/>
          <w:shd w:val="clear" w:color="auto" w:fill="FFFFFF"/>
        </w:rPr>
        <w:t xml:space="preserve">  See: </w:t>
      </w:r>
      <w:hyperlink r:id="rId23" w:history="1">
        <w:r w:rsidRPr="0070751B">
          <w:rPr>
            <w:rStyle w:val="Hyperlink"/>
            <w:rFonts w:cs="Arial"/>
            <w:shd w:val="clear" w:color="auto" w:fill="FFFFFF"/>
          </w:rPr>
          <w:t>http://transportinfrastructurecouncil.gov.au/about/</w:t>
        </w:r>
      </w:hyperlink>
    </w:p>
    <w:p w:rsidR="000F6F71" w:rsidRDefault="000F6F71" w:rsidP="000F6F71">
      <w:pPr>
        <w:pStyle w:val="EndnoteText"/>
        <w:rPr>
          <w:rFonts w:cs="Arial"/>
          <w:color w:val="000000"/>
          <w:shd w:val="clear" w:color="auto" w:fill="FFFFFF"/>
        </w:rPr>
      </w:pPr>
      <w:r w:rsidRPr="00D00779">
        <w:rPr>
          <w:rFonts w:cs="Arial"/>
          <w:color w:val="000000"/>
          <w:u w:val="single"/>
          <w:shd w:val="clear" w:color="auto" w:fill="FFFFFF"/>
        </w:rPr>
        <w:t>Achieves less more slowly</w:t>
      </w:r>
      <w:r>
        <w:rPr>
          <w:rFonts w:cs="Arial"/>
          <w:color w:val="000000"/>
          <w:shd w:val="clear" w:color="auto" w:fill="FFFFFF"/>
        </w:rPr>
        <w:t>;  the heavy vehicle charging and investment initiative (formerly the Council of Australian Governments Road Reform Plan) was set up in 2007 to deal with heavy vehicle direct charging and related road expenditure, the latest Council Communique May 2015 stated ‘</w:t>
      </w:r>
      <w:r w:rsidRPr="00132F85">
        <w:rPr>
          <w:i/>
        </w:rPr>
        <w:t>The first outputs of the initial measures will be delivered to the Council in November 2015 and will include a national four year forward road expenditure plan and heavy vehicle road asset service standards publication covering Key Freight Routes’</w:t>
      </w:r>
      <w:r>
        <w:t xml:space="preserve">. </w:t>
      </w:r>
      <w:r>
        <w:rPr>
          <w:rFonts w:cs="Arial"/>
          <w:color w:val="000000"/>
          <w:shd w:val="clear" w:color="auto" w:fill="FFFFFF"/>
        </w:rPr>
        <w:t xml:space="preserve"> The communique claims it has taken 8 years to start to do the first part of the initial aspects of part of the ‘reform’ and only for some roads.  Note that the ‘other half of the task’, direct charging, is not mentioned.  The statement does not refer to any oversight of the road expenditure plan, and therefore (for reasons explained in the roads articles) its approach to the half task it might be starting, the spending on a few roads, is incomplete.</w:t>
      </w:r>
    </w:p>
    <w:p w:rsidR="000F6F71" w:rsidRPr="00D00779" w:rsidRDefault="009C7E75" w:rsidP="000F6F71">
      <w:pPr>
        <w:pStyle w:val="EndnoteText"/>
        <w:rPr>
          <w:rFonts w:eastAsia="Times New Roman" w:cs="Arial"/>
          <w:color w:val="000000"/>
          <w:lang w:eastAsia="en-GB"/>
        </w:rPr>
      </w:pPr>
      <w:hyperlink r:id="rId24" w:history="1">
        <w:r w:rsidR="000F6F71" w:rsidRPr="0070751B">
          <w:rPr>
            <w:rStyle w:val="Hyperlink"/>
            <w:rFonts w:cs="Arial"/>
            <w:shd w:val="clear" w:color="auto" w:fill="FFFFFF"/>
          </w:rPr>
          <w:t>http://transportinfrastructurecouncil.gov.au/communique/files/Council_3rd_Communique_22_May_2015.pdf</w:t>
        </w:r>
      </w:hyperlink>
      <w:r w:rsidR="000F6F71" w:rsidRPr="00D00779">
        <w:rPr>
          <w:rFonts w:cs="Arial"/>
          <w:color w:val="000000"/>
          <w:u w:val="single"/>
          <w:shd w:val="clear" w:color="auto" w:fill="FFFFFF"/>
        </w:rPr>
        <w:t>Communications can be terse</w:t>
      </w:r>
      <w:r w:rsidR="000F6F71" w:rsidRPr="00D00779">
        <w:rPr>
          <w:rFonts w:cs="Arial"/>
          <w:color w:val="000000"/>
          <w:shd w:val="clear" w:color="auto" w:fill="FFFFFF"/>
        </w:rPr>
        <w:t>; the above communique also stated “</w:t>
      </w:r>
      <w:r w:rsidR="000F6F71" w:rsidRPr="00D00779">
        <w:rPr>
          <w:i/>
        </w:rPr>
        <w:t xml:space="preserve">The Council also agreed a longer term road map which outlines the sequence of institutional and governance reform steps along the path to full market reform of heavy vehicle investment and charging arrangements.”  </w:t>
      </w:r>
      <w:r w:rsidR="000F6F71" w:rsidRPr="00D00779">
        <w:t xml:space="preserve">And the roadmap might say?  Note: </w:t>
      </w:r>
      <w:r w:rsidR="000F6F71" w:rsidRPr="00D00779">
        <w:rPr>
          <w:color w:val="336985"/>
        </w:rPr>
        <w:t xml:space="preserve">Search scope: </w:t>
      </w:r>
      <w:hyperlink r:id="rId25" w:history="1">
        <w:r w:rsidR="000F6F71" w:rsidRPr="0070751B">
          <w:rPr>
            <w:rStyle w:val="Hyperlink"/>
          </w:rPr>
          <w:t>www.transportinfrastructurecouncil.gov.au</w:t>
        </w:r>
      </w:hyperlink>
      <w:r w:rsidR="000F6F71">
        <w:rPr>
          <w:b/>
          <w:color w:val="336985"/>
        </w:rPr>
        <w:t xml:space="preserve"> </w:t>
      </w:r>
      <w:r w:rsidR="000F6F71" w:rsidRPr="00D00779">
        <w:rPr>
          <w:rFonts w:eastAsia="Times New Roman" w:cs="Arial"/>
          <w:bCs/>
          <w:color w:val="000000"/>
          <w:bdr w:val="none" w:sz="0" w:space="0" w:color="auto" w:frame="1"/>
          <w:lang w:eastAsia="en-GB"/>
        </w:rPr>
        <w:t>Results 0 - 0 of 0 for "roadmap"</w:t>
      </w:r>
    </w:p>
    <w:p w:rsidR="000F6F71" w:rsidRDefault="000F6F71" w:rsidP="000F6F71">
      <w:pPr>
        <w:pStyle w:val="EndnoteText"/>
        <w:rPr>
          <w:lang w:val="en-AU"/>
        </w:rPr>
      </w:pPr>
      <w:r w:rsidRPr="00D00779">
        <w:rPr>
          <w:u w:val="single"/>
          <w:lang w:val="en-AU"/>
        </w:rPr>
        <w:t>Its follow through is sometimes limited or even absent</w:t>
      </w:r>
      <w:r>
        <w:rPr>
          <w:lang w:val="en-AU"/>
        </w:rPr>
        <w:t xml:space="preserve">; see the experience with national transport policy at </w:t>
      </w:r>
      <w:hyperlink r:id="rId26" w:history="1">
        <w:r w:rsidRPr="0070751B">
          <w:rPr>
            <w:rStyle w:val="Hyperlink"/>
            <w:lang w:val="en-AU"/>
          </w:rPr>
          <w:t>http://infrastructureaustralia.gov.au/policy-publications/publications/files/NTC_Review.pdf</w:t>
        </w:r>
      </w:hyperlink>
      <w:r>
        <w:rPr>
          <w:lang w:val="en-AU"/>
        </w:rPr>
        <w:t xml:space="preserve">.  The national transport policy exercise does not feature prominently (or at all) in recent Council communiques and a close reading of background material raises some interesting questions for example: why the policy it is not referred to in the officials’ land freight strategy document (although it is the basis of the strategy recommended by Infrastructure Australia and the relevant Victorian government submission).  See: </w:t>
      </w:r>
      <w:hyperlink r:id="rId27" w:history="1">
        <w:r w:rsidRPr="0070751B">
          <w:rPr>
            <w:rStyle w:val="Hyperlink"/>
            <w:lang w:val="en-AU"/>
          </w:rPr>
          <w:t>http://transportinfrastructurecouncil.gov.au/publications/files/National_Land_Freight_Strategy_Compressed.pdf</w:t>
        </w:r>
      </w:hyperlink>
      <w:r>
        <w:rPr>
          <w:lang w:val="en-AU"/>
        </w:rPr>
        <w:t xml:space="preserve">, note xiii above and </w:t>
      </w:r>
      <w:hyperlink r:id="rId28" w:history="1">
        <w:r w:rsidRPr="0070751B">
          <w:rPr>
            <w:rStyle w:val="Hyperlink"/>
            <w:lang w:val="en-AU"/>
          </w:rPr>
          <w:t>http://infrastructureaustralia.gov.au/policy-publications/submissions/nlfs/files/VIC_Submission_to_NLFS_FINAL.pdf</w:t>
        </w:r>
      </w:hyperlink>
    </w:p>
    <w:p w:rsidR="000F6F71" w:rsidRPr="00287B95" w:rsidRDefault="000F6F71" w:rsidP="000F6F71">
      <w:pPr>
        <w:pStyle w:val="EndnoteText"/>
        <w:rPr>
          <w:lang w:val="en-AU"/>
        </w:rPr>
      </w:pPr>
    </w:p>
  </w:endnote>
  <w:endnote w:id="28">
    <w:p w:rsidR="007E2949" w:rsidRDefault="00C145E0">
      <w:pPr>
        <w:pStyle w:val="EndnoteText"/>
        <w:rPr>
          <w:lang w:val="en-AU"/>
        </w:rPr>
      </w:pPr>
      <w:r>
        <w:rPr>
          <w:rStyle w:val="EndnoteReference"/>
        </w:rPr>
        <w:endnoteRef/>
      </w:r>
      <w:r w:rsidR="009C6C18">
        <w:rPr>
          <w:u w:val="single"/>
        </w:rPr>
        <w:t xml:space="preserve"> Is the</w:t>
      </w:r>
      <w:r w:rsidRPr="000C1C80">
        <w:rPr>
          <w:u w:val="single"/>
          <w:lang w:val="en-AU"/>
        </w:rPr>
        <w:t xml:space="preserve"> agenda </w:t>
      </w:r>
      <w:r w:rsidR="009C6C18">
        <w:rPr>
          <w:u w:val="single"/>
          <w:lang w:val="en-AU"/>
        </w:rPr>
        <w:t xml:space="preserve">set by </w:t>
      </w:r>
      <w:r w:rsidRPr="000C1C80">
        <w:rPr>
          <w:u w:val="single"/>
          <w:lang w:val="en-AU"/>
        </w:rPr>
        <w:t>officials who face a conflict</w:t>
      </w:r>
      <w:r w:rsidR="009C6C18">
        <w:rPr>
          <w:u w:val="single"/>
          <w:lang w:val="en-AU"/>
        </w:rPr>
        <w:t>?</w:t>
      </w:r>
      <w:r>
        <w:rPr>
          <w:lang w:val="en-AU"/>
        </w:rPr>
        <w:t xml:space="preserve">; it is not easy to discern the agenda for any particular meeting or who might set it.  The Council is assisted and advised by a senior officials committee: </w:t>
      </w:r>
      <w:hyperlink r:id="rId29" w:history="1">
        <w:r w:rsidRPr="0070751B">
          <w:rPr>
            <w:rStyle w:val="Hyperlink"/>
            <w:lang w:val="en-AU"/>
          </w:rPr>
          <w:t>http://transportinfrastructurecouncil.gov.au/officials_committee/</w:t>
        </w:r>
      </w:hyperlink>
      <w:r>
        <w:rPr>
          <w:lang w:val="en-AU"/>
        </w:rPr>
        <w:t xml:space="preserve">.  </w:t>
      </w:r>
    </w:p>
    <w:p w:rsidR="007E2949" w:rsidRDefault="00C145E0">
      <w:pPr>
        <w:pStyle w:val="EndnoteText"/>
        <w:rPr>
          <w:lang w:val="en-AU"/>
        </w:rPr>
      </w:pPr>
      <w:r>
        <w:rPr>
          <w:lang w:val="en-AU"/>
        </w:rPr>
        <w:t xml:space="preserve">While the committee members and meeting dates are known, the website does not indicate what might be discussed or decided, advised to the Council or indeed the exclusive function of the committee. </w:t>
      </w:r>
    </w:p>
    <w:p w:rsidR="00C145E0" w:rsidRDefault="00C145E0">
      <w:pPr>
        <w:pStyle w:val="EndnoteText"/>
        <w:rPr>
          <w:lang w:val="en-AU"/>
        </w:rPr>
      </w:pPr>
      <w:r w:rsidRPr="00CA2E6E">
        <w:rPr>
          <w:lang w:val="en-AU"/>
        </w:rPr>
        <w:t xml:space="preserve">One of the characteristics of officials is caution, famously put as: ‘my job is to keep the boss out of trouble’.  Thus officials are unlikely to set an ambitious agenda, on the contrary they would not want their Minister to be </w:t>
      </w:r>
      <w:r>
        <w:rPr>
          <w:lang w:val="en-AU"/>
        </w:rPr>
        <w:t>‘</w:t>
      </w:r>
      <w:r w:rsidRPr="00CA2E6E">
        <w:rPr>
          <w:lang w:val="en-AU"/>
        </w:rPr>
        <w:t>exposed</w:t>
      </w:r>
      <w:r>
        <w:rPr>
          <w:lang w:val="en-AU"/>
        </w:rPr>
        <w:t>’</w:t>
      </w:r>
      <w:r w:rsidRPr="00CA2E6E">
        <w:rPr>
          <w:lang w:val="en-AU"/>
        </w:rPr>
        <w:t xml:space="preserve"> to debate; the issue is not laziness and avoidance of work for the public service, but fear that their Minister might be embarrassed.  </w:t>
      </w:r>
      <w:r w:rsidR="007E2949">
        <w:rPr>
          <w:lang w:val="en-AU"/>
        </w:rPr>
        <w:t>If so</w:t>
      </w:r>
      <w:r w:rsidRPr="00CA2E6E">
        <w:rPr>
          <w:lang w:val="en-AU"/>
        </w:rPr>
        <w:t xml:space="preserve"> a</w:t>
      </w:r>
      <w:r>
        <w:rPr>
          <w:lang w:val="en-AU"/>
        </w:rPr>
        <w:t>ny</w:t>
      </w:r>
      <w:r w:rsidRPr="00CA2E6E">
        <w:rPr>
          <w:lang w:val="en-AU"/>
        </w:rPr>
        <w:t xml:space="preserve"> matter which could cause contention to any jurisdiction will </w:t>
      </w:r>
      <w:r>
        <w:rPr>
          <w:lang w:val="en-AU"/>
        </w:rPr>
        <w:t xml:space="preserve">likely </w:t>
      </w:r>
      <w:r w:rsidRPr="00CA2E6E">
        <w:rPr>
          <w:lang w:val="en-AU"/>
        </w:rPr>
        <w:t xml:space="preserve">be minimised, prior to consideration by Ministers.  An attempt to create ‘sub groups’ would entrench the </w:t>
      </w:r>
      <w:r>
        <w:rPr>
          <w:lang w:val="en-AU"/>
        </w:rPr>
        <w:t>narrowing</w:t>
      </w:r>
      <w:r w:rsidRPr="00CA2E6E">
        <w:rPr>
          <w:lang w:val="en-AU"/>
        </w:rPr>
        <w:t xml:space="preserve"> further.  </w:t>
      </w:r>
      <w:r>
        <w:rPr>
          <w:lang w:val="en-AU"/>
        </w:rPr>
        <w:t>Officials face a conflict between addressing the Council’s objective and ensuring their boss is not troubled.</w:t>
      </w:r>
    </w:p>
    <w:p w:rsidR="00C145E0" w:rsidRDefault="009C6C18">
      <w:pPr>
        <w:pStyle w:val="EndnoteText"/>
        <w:rPr>
          <w:lang w:val="en-AU"/>
        </w:rPr>
      </w:pPr>
      <w:r>
        <w:rPr>
          <w:u w:val="single"/>
          <w:lang w:val="en-AU"/>
        </w:rPr>
        <w:t>If the Commonwealth has the least responsibility and most contentious involvement…?</w:t>
      </w:r>
      <w:r w:rsidR="00C145E0">
        <w:rPr>
          <w:lang w:val="en-AU"/>
        </w:rPr>
        <w:t>; Council and committee chair, and secretariat, is the Commonwealth Government.  The Government has no Constitutional responsibility for most of the transport tasks in Australia, and m</w:t>
      </w:r>
      <w:r w:rsidR="00952EB7">
        <w:rPr>
          <w:lang w:val="en-AU"/>
        </w:rPr>
        <w:t>uch</w:t>
      </w:r>
      <w:r w:rsidR="00C145E0">
        <w:rPr>
          <w:lang w:val="en-AU"/>
        </w:rPr>
        <w:t xml:space="preserve"> of subject matter of the Council’s agenda.  Taking the latest communique as an example, the Commonwealth does not have responsibility for: investment in infrastructure it does not own; forward road expenditure plan; heavy vehicle regulation; rail regulation; remote and regional transport; cycling.  Its involvement in these is by choice, and published State views (see note xxvi for example) indicate questions about Commonwealth intentions in some transport issues. </w:t>
      </w:r>
    </w:p>
    <w:p w:rsidR="00C145E0" w:rsidRDefault="00952EB7">
      <w:pPr>
        <w:pStyle w:val="EndnoteText"/>
        <w:rPr>
          <w:lang w:val="en-AU"/>
        </w:rPr>
      </w:pPr>
      <w:r>
        <w:rPr>
          <w:u w:val="single"/>
          <w:lang w:val="en-AU"/>
        </w:rPr>
        <w:t xml:space="preserve">Involvement of or reporting back to </w:t>
      </w:r>
      <w:r w:rsidR="00C145E0" w:rsidRPr="001E3B97">
        <w:rPr>
          <w:u w:val="single"/>
          <w:lang w:val="en-AU"/>
        </w:rPr>
        <w:t>the Commonwealth Parliament</w:t>
      </w:r>
      <w:r w:rsidR="00C145E0">
        <w:rPr>
          <w:u w:val="single"/>
          <w:lang w:val="en-AU"/>
        </w:rPr>
        <w:t xml:space="preserve">; </w:t>
      </w:r>
      <w:r w:rsidR="00C145E0" w:rsidRPr="001E3B97">
        <w:rPr>
          <w:lang w:val="en-AU"/>
        </w:rPr>
        <w:t>the Minister is representing the Government, as the Council is a subsidiary of the Council of Australian Governments (not parliaments)</w:t>
      </w:r>
      <w:r w:rsidR="00C145E0">
        <w:rPr>
          <w:lang w:val="en-AU"/>
        </w:rPr>
        <w:t xml:space="preserve">; there is little evidence generally, and none at the Council’s website, of interest in its </w:t>
      </w:r>
      <w:r w:rsidR="007E2949">
        <w:rPr>
          <w:lang w:val="en-AU"/>
        </w:rPr>
        <w:t xml:space="preserve">general </w:t>
      </w:r>
      <w:r w:rsidR="00C145E0">
        <w:rPr>
          <w:lang w:val="en-AU"/>
        </w:rPr>
        <w:t>proceedings by the Parliament.</w:t>
      </w:r>
    </w:p>
    <w:p w:rsidR="00C145E0" w:rsidRDefault="00C145E0">
      <w:pPr>
        <w:pStyle w:val="EndnoteText"/>
        <w:rPr>
          <w:lang w:val="en-AU"/>
        </w:rPr>
      </w:pPr>
      <w:r w:rsidRPr="00952EB7">
        <w:rPr>
          <w:u w:val="single"/>
          <w:lang w:val="en-AU"/>
        </w:rPr>
        <w:t>Limited transparency</w:t>
      </w:r>
      <w:r w:rsidR="00952EB7">
        <w:rPr>
          <w:u w:val="single"/>
          <w:lang w:val="en-AU"/>
        </w:rPr>
        <w:t>?</w:t>
      </w:r>
      <w:r>
        <w:rPr>
          <w:lang w:val="en-AU"/>
        </w:rPr>
        <w:t>; difficulties in discerning agenda (above), communications can be terse and opaque (note xvi), meetings not open to the public.</w:t>
      </w:r>
    </w:p>
    <w:p w:rsidR="00C145E0" w:rsidRPr="00A46D2F" w:rsidRDefault="00C145E0">
      <w:pPr>
        <w:pStyle w:val="EndnoteText"/>
        <w:rPr>
          <w:lang w:val="en-AU"/>
        </w:rPr>
      </w:pPr>
    </w:p>
  </w:endnote>
  <w:endnote w:id="29">
    <w:p w:rsidR="00C145E0" w:rsidRDefault="00C145E0">
      <w:pPr>
        <w:pStyle w:val="EndnoteText"/>
      </w:pPr>
      <w:r>
        <w:rPr>
          <w:rStyle w:val="EndnoteReference"/>
        </w:rPr>
        <w:endnoteRef/>
      </w:r>
      <w:r>
        <w:t xml:space="preserve"> The suggestion, of a national transport advisory council, was made in the 2002 review of the national road transport commission by Affleck and Aplin.  It was not acted on, with the Commonwealth’s Auslink program supposedly superseding it.  A national transport secretariat operated between 2000 and 2003, however, it was effectively controlled by the senior officials and thus suffered the same governance problems indicated in notes xxv to x</w:t>
      </w:r>
      <w:r w:rsidR="006C7934">
        <w:t>x</w:t>
      </w:r>
      <w:r>
        <w:t>vii above.</w:t>
      </w:r>
    </w:p>
    <w:p w:rsidR="00C145E0" w:rsidRPr="00A46D2F" w:rsidRDefault="00C145E0">
      <w:pPr>
        <w:pStyle w:val="EndnoteText"/>
        <w:rPr>
          <w:lang w:val="en-AU"/>
        </w:rPr>
      </w:pPr>
      <w:r>
        <w:t xml:space="preserve"> </w:t>
      </w:r>
    </w:p>
  </w:endnote>
  <w:endnote w:id="30">
    <w:p w:rsidR="00C145E0" w:rsidRDefault="00C145E0" w:rsidP="00BC364F">
      <w:pPr>
        <w:pStyle w:val="EndnoteText"/>
      </w:pPr>
      <w:r>
        <w:rPr>
          <w:rStyle w:val="EndnoteReference"/>
        </w:rPr>
        <w:endnoteRef/>
      </w:r>
      <w:r>
        <w:t xml:space="preserve"> The full text is: </w:t>
      </w:r>
      <w:r w:rsidRPr="00546CE0">
        <w:rPr>
          <w:i/>
        </w:rPr>
        <w:t>“Oh Lord, we give thee humble and hearty thanks for this, thy gift of discipline, knowing that it is only through the constraints of others that we come to know ourselves, and only through true misery can we find true contentment”.</w:t>
      </w:r>
      <w:r>
        <w:t xml:space="preserve">  </w:t>
      </w:r>
      <w:hyperlink r:id="rId30" w:history="1">
        <w:r w:rsidRPr="0070751B">
          <w:rPr>
            <w:rStyle w:val="Hyperlink"/>
          </w:rPr>
          <w:t>http://www.imdb.com/title/tt0686867/quotes</w:t>
        </w:r>
      </w:hyperlink>
    </w:p>
    <w:p w:rsidR="00C145E0" w:rsidRPr="00BC364F" w:rsidRDefault="00C145E0" w:rsidP="00BC364F">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E0" w:rsidRDefault="00C14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59168"/>
      <w:docPartObj>
        <w:docPartGallery w:val="Page Numbers (Bottom of Page)"/>
        <w:docPartUnique/>
      </w:docPartObj>
    </w:sdtPr>
    <w:sdtEndPr>
      <w:rPr>
        <w:noProof/>
      </w:rPr>
    </w:sdtEndPr>
    <w:sdtContent>
      <w:p w:rsidR="00C145E0" w:rsidRDefault="00C145E0">
        <w:pPr>
          <w:pStyle w:val="Footer"/>
          <w:jc w:val="center"/>
        </w:pPr>
        <w:r>
          <w:fldChar w:fldCharType="begin"/>
        </w:r>
        <w:r>
          <w:instrText xml:space="preserve"> PAGE   \* MERGEFORMAT </w:instrText>
        </w:r>
        <w:r>
          <w:fldChar w:fldCharType="separate"/>
        </w:r>
        <w:r w:rsidR="000B6AF2">
          <w:rPr>
            <w:noProof/>
          </w:rPr>
          <w:t>14</w:t>
        </w:r>
        <w:r>
          <w:rPr>
            <w:noProof/>
          </w:rPr>
          <w:fldChar w:fldCharType="end"/>
        </w:r>
      </w:p>
    </w:sdtContent>
  </w:sdt>
  <w:p w:rsidR="00C145E0" w:rsidRDefault="00C145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E0" w:rsidRDefault="00C14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E75" w:rsidRDefault="009C7E75" w:rsidP="00404F06">
      <w:pPr>
        <w:spacing w:after="0" w:line="240" w:lineRule="auto"/>
      </w:pPr>
      <w:r>
        <w:separator/>
      </w:r>
    </w:p>
  </w:footnote>
  <w:footnote w:type="continuationSeparator" w:id="0">
    <w:p w:rsidR="009C7E75" w:rsidRDefault="009C7E75" w:rsidP="00404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E0" w:rsidRDefault="00C14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E0" w:rsidRDefault="00C14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E0" w:rsidRDefault="00C14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29B"/>
    <w:multiLevelType w:val="hybridMultilevel"/>
    <w:tmpl w:val="4A0A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4410F"/>
    <w:multiLevelType w:val="hybridMultilevel"/>
    <w:tmpl w:val="5CFA3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711080"/>
    <w:multiLevelType w:val="hybridMultilevel"/>
    <w:tmpl w:val="578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78"/>
    <w:rsid w:val="00003A4C"/>
    <w:rsid w:val="00014102"/>
    <w:rsid w:val="00026309"/>
    <w:rsid w:val="000275AE"/>
    <w:rsid w:val="00030895"/>
    <w:rsid w:val="000443F0"/>
    <w:rsid w:val="000456A6"/>
    <w:rsid w:val="000577A9"/>
    <w:rsid w:val="0006276A"/>
    <w:rsid w:val="00073E99"/>
    <w:rsid w:val="000A03B9"/>
    <w:rsid w:val="000B01E4"/>
    <w:rsid w:val="000B0578"/>
    <w:rsid w:val="000B25CA"/>
    <w:rsid w:val="000B6AF2"/>
    <w:rsid w:val="000C0825"/>
    <w:rsid w:val="000C16D8"/>
    <w:rsid w:val="000C1C80"/>
    <w:rsid w:val="000E4EE1"/>
    <w:rsid w:val="000E5AE5"/>
    <w:rsid w:val="000F5349"/>
    <w:rsid w:val="000F6F71"/>
    <w:rsid w:val="00101590"/>
    <w:rsid w:val="00103670"/>
    <w:rsid w:val="00103B24"/>
    <w:rsid w:val="001079BA"/>
    <w:rsid w:val="00114941"/>
    <w:rsid w:val="00125D3E"/>
    <w:rsid w:val="00126586"/>
    <w:rsid w:val="0012678C"/>
    <w:rsid w:val="00132F85"/>
    <w:rsid w:val="00133CBA"/>
    <w:rsid w:val="00142D06"/>
    <w:rsid w:val="001559C7"/>
    <w:rsid w:val="001633E3"/>
    <w:rsid w:val="00177780"/>
    <w:rsid w:val="001826ED"/>
    <w:rsid w:val="00193332"/>
    <w:rsid w:val="001936D4"/>
    <w:rsid w:val="00194008"/>
    <w:rsid w:val="001956E0"/>
    <w:rsid w:val="001A08D7"/>
    <w:rsid w:val="001B1D43"/>
    <w:rsid w:val="001C7A28"/>
    <w:rsid w:val="001D7525"/>
    <w:rsid w:val="001E3B97"/>
    <w:rsid w:val="001E5BAA"/>
    <w:rsid w:val="001E7DA1"/>
    <w:rsid w:val="001F3516"/>
    <w:rsid w:val="001F69FD"/>
    <w:rsid w:val="0021352B"/>
    <w:rsid w:val="00214374"/>
    <w:rsid w:val="0021447C"/>
    <w:rsid w:val="00253C0C"/>
    <w:rsid w:val="002550DC"/>
    <w:rsid w:val="00260164"/>
    <w:rsid w:val="002710B2"/>
    <w:rsid w:val="00271D5C"/>
    <w:rsid w:val="00273FBE"/>
    <w:rsid w:val="002758F2"/>
    <w:rsid w:val="0027614F"/>
    <w:rsid w:val="00287B95"/>
    <w:rsid w:val="002B5964"/>
    <w:rsid w:val="002C024B"/>
    <w:rsid w:val="002D491F"/>
    <w:rsid w:val="002F0E32"/>
    <w:rsid w:val="002F43A8"/>
    <w:rsid w:val="00307A50"/>
    <w:rsid w:val="00324187"/>
    <w:rsid w:val="003367E6"/>
    <w:rsid w:val="00340D67"/>
    <w:rsid w:val="00362F48"/>
    <w:rsid w:val="00366395"/>
    <w:rsid w:val="00380E8B"/>
    <w:rsid w:val="00385AA3"/>
    <w:rsid w:val="00393A42"/>
    <w:rsid w:val="003A2C41"/>
    <w:rsid w:val="003A49E4"/>
    <w:rsid w:val="003B0B86"/>
    <w:rsid w:val="003B3FC3"/>
    <w:rsid w:val="003C70E2"/>
    <w:rsid w:val="003D54C4"/>
    <w:rsid w:val="003D6F78"/>
    <w:rsid w:val="003F26F7"/>
    <w:rsid w:val="00402F39"/>
    <w:rsid w:val="00404F06"/>
    <w:rsid w:val="00410DE9"/>
    <w:rsid w:val="004226BF"/>
    <w:rsid w:val="00422D07"/>
    <w:rsid w:val="00423370"/>
    <w:rsid w:val="004238AA"/>
    <w:rsid w:val="00425A75"/>
    <w:rsid w:val="00432D50"/>
    <w:rsid w:val="00434A17"/>
    <w:rsid w:val="00443110"/>
    <w:rsid w:val="004621ED"/>
    <w:rsid w:val="004631ED"/>
    <w:rsid w:val="00465911"/>
    <w:rsid w:val="004765B9"/>
    <w:rsid w:val="004801FF"/>
    <w:rsid w:val="00496A04"/>
    <w:rsid w:val="004A47C7"/>
    <w:rsid w:val="004A595A"/>
    <w:rsid w:val="004D72CB"/>
    <w:rsid w:val="004E1497"/>
    <w:rsid w:val="004E1A61"/>
    <w:rsid w:val="004E652F"/>
    <w:rsid w:val="0050439F"/>
    <w:rsid w:val="00515773"/>
    <w:rsid w:val="005218FE"/>
    <w:rsid w:val="00522DD6"/>
    <w:rsid w:val="00522E1B"/>
    <w:rsid w:val="005330B1"/>
    <w:rsid w:val="00536E85"/>
    <w:rsid w:val="00537CBE"/>
    <w:rsid w:val="00546CE0"/>
    <w:rsid w:val="005531CC"/>
    <w:rsid w:val="005576D0"/>
    <w:rsid w:val="005631CC"/>
    <w:rsid w:val="00585FAE"/>
    <w:rsid w:val="00586E03"/>
    <w:rsid w:val="005903DC"/>
    <w:rsid w:val="0059551F"/>
    <w:rsid w:val="005B0494"/>
    <w:rsid w:val="005C542C"/>
    <w:rsid w:val="005D23A4"/>
    <w:rsid w:val="005D23F1"/>
    <w:rsid w:val="005E4D26"/>
    <w:rsid w:val="005E7A9A"/>
    <w:rsid w:val="005F6B90"/>
    <w:rsid w:val="00605521"/>
    <w:rsid w:val="00607377"/>
    <w:rsid w:val="0062123C"/>
    <w:rsid w:val="00624E65"/>
    <w:rsid w:val="00625138"/>
    <w:rsid w:val="006279C2"/>
    <w:rsid w:val="00635B1F"/>
    <w:rsid w:val="0064383F"/>
    <w:rsid w:val="006444B5"/>
    <w:rsid w:val="00644DFD"/>
    <w:rsid w:val="006546F2"/>
    <w:rsid w:val="006678EB"/>
    <w:rsid w:val="00670AA1"/>
    <w:rsid w:val="00675A07"/>
    <w:rsid w:val="00684D4F"/>
    <w:rsid w:val="006A3584"/>
    <w:rsid w:val="006B3BA6"/>
    <w:rsid w:val="006B46AF"/>
    <w:rsid w:val="006B5365"/>
    <w:rsid w:val="006C00FE"/>
    <w:rsid w:val="006C45E6"/>
    <w:rsid w:val="006C7934"/>
    <w:rsid w:val="006D7A1F"/>
    <w:rsid w:val="006D7EB1"/>
    <w:rsid w:val="006E1603"/>
    <w:rsid w:val="006E1FBB"/>
    <w:rsid w:val="006E56F4"/>
    <w:rsid w:val="00700FDA"/>
    <w:rsid w:val="00702B79"/>
    <w:rsid w:val="00714564"/>
    <w:rsid w:val="007157A9"/>
    <w:rsid w:val="00716973"/>
    <w:rsid w:val="00726928"/>
    <w:rsid w:val="007366C0"/>
    <w:rsid w:val="00741DAD"/>
    <w:rsid w:val="00750260"/>
    <w:rsid w:val="00757A74"/>
    <w:rsid w:val="00763D5E"/>
    <w:rsid w:val="0077014E"/>
    <w:rsid w:val="00774ACC"/>
    <w:rsid w:val="00774B86"/>
    <w:rsid w:val="00777C93"/>
    <w:rsid w:val="00791D6F"/>
    <w:rsid w:val="00792B0C"/>
    <w:rsid w:val="007A4A6B"/>
    <w:rsid w:val="007A5C7E"/>
    <w:rsid w:val="007A5D49"/>
    <w:rsid w:val="007B4974"/>
    <w:rsid w:val="007C295E"/>
    <w:rsid w:val="007D6217"/>
    <w:rsid w:val="007E12F1"/>
    <w:rsid w:val="007E2949"/>
    <w:rsid w:val="007E4622"/>
    <w:rsid w:val="007F1F3C"/>
    <w:rsid w:val="007F7E13"/>
    <w:rsid w:val="0082014E"/>
    <w:rsid w:val="0082491E"/>
    <w:rsid w:val="00877DE3"/>
    <w:rsid w:val="00881473"/>
    <w:rsid w:val="00886146"/>
    <w:rsid w:val="008951A4"/>
    <w:rsid w:val="008A06F8"/>
    <w:rsid w:val="008A56B2"/>
    <w:rsid w:val="008B2D89"/>
    <w:rsid w:val="008B6DD5"/>
    <w:rsid w:val="008C0FCB"/>
    <w:rsid w:val="008C69AF"/>
    <w:rsid w:val="008E2D59"/>
    <w:rsid w:val="008F2244"/>
    <w:rsid w:val="0090295D"/>
    <w:rsid w:val="00907A1B"/>
    <w:rsid w:val="0092507E"/>
    <w:rsid w:val="00925302"/>
    <w:rsid w:val="0093343A"/>
    <w:rsid w:val="00944ED4"/>
    <w:rsid w:val="00946F71"/>
    <w:rsid w:val="009516D1"/>
    <w:rsid w:val="00952EB7"/>
    <w:rsid w:val="00976F7B"/>
    <w:rsid w:val="009812B8"/>
    <w:rsid w:val="009839B6"/>
    <w:rsid w:val="00983BDE"/>
    <w:rsid w:val="00984F52"/>
    <w:rsid w:val="00985247"/>
    <w:rsid w:val="00986242"/>
    <w:rsid w:val="00994CFA"/>
    <w:rsid w:val="00995035"/>
    <w:rsid w:val="009A5AD6"/>
    <w:rsid w:val="009A5D02"/>
    <w:rsid w:val="009A7E87"/>
    <w:rsid w:val="009C0237"/>
    <w:rsid w:val="009C6C18"/>
    <w:rsid w:val="009C7E75"/>
    <w:rsid w:val="009D126E"/>
    <w:rsid w:val="009D16AD"/>
    <w:rsid w:val="009D7E8C"/>
    <w:rsid w:val="009E025E"/>
    <w:rsid w:val="009F135C"/>
    <w:rsid w:val="009F22ED"/>
    <w:rsid w:val="00A04E9A"/>
    <w:rsid w:val="00A06FE0"/>
    <w:rsid w:val="00A219F3"/>
    <w:rsid w:val="00A331E4"/>
    <w:rsid w:val="00A356F7"/>
    <w:rsid w:val="00A4058E"/>
    <w:rsid w:val="00A41014"/>
    <w:rsid w:val="00A46D2F"/>
    <w:rsid w:val="00A541B2"/>
    <w:rsid w:val="00A54679"/>
    <w:rsid w:val="00A55D55"/>
    <w:rsid w:val="00A61D59"/>
    <w:rsid w:val="00A812A4"/>
    <w:rsid w:val="00A86876"/>
    <w:rsid w:val="00AA1CCE"/>
    <w:rsid w:val="00AA48F3"/>
    <w:rsid w:val="00AA5855"/>
    <w:rsid w:val="00AB1DF4"/>
    <w:rsid w:val="00AB7E00"/>
    <w:rsid w:val="00AC2C01"/>
    <w:rsid w:val="00AD7F7E"/>
    <w:rsid w:val="00AE1A02"/>
    <w:rsid w:val="00AE32E7"/>
    <w:rsid w:val="00AE3FBB"/>
    <w:rsid w:val="00AE6E7F"/>
    <w:rsid w:val="00AF2ABE"/>
    <w:rsid w:val="00B01E24"/>
    <w:rsid w:val="00B05500"/>
    <w:rsid w:val="00B07A6E"/>
    <w:rsid w:val="00B11576"/>
    <w:rsid w:val="00B41731"/>
    <w:rsid w:val="00B41890"/>
    <w:rsid w:val="00B61A8B"/>
    <w:rsid w:val="00B75870"/>
    <w:rsid w:val="00BA16B4"/>
    <w:rsid w:val="00BB15B7"/>
    <w:rsid w:val="00BC364F"/>
    <w:rsid w:val="00BD21A3"/>
    <w:rsid w:val="00BE3884"/>
    <w:rsid w:val="00BE5BC1"/>
    <w:rsid w:val="00BE78B6"/>
    <w:rsid w:val="00C029B0"/>
    <w:rsid w:val="00C0683C"/>
    <w:rsid w:val="00C07AA2"/>
    <w:rsid w:val="00C1066C"/>
    <w:rsid w:val="00C145E0"/>
    <w:rsid w:val="00C16D75"/>
    <w:rsid w:val="00C2509E"/>
    <w:rsid w:val="00C43AC0"/>
    <w:rsid w:val="00C44AEA"/>
    <w:rsid w:val="00C52DC2"/>
    <w:rsid w:val="00C63B3B"/>
    <w:rsid w:val="00C7029F"/>
    <w:rsid w:val="00C8096D"/>
    <w:rsid w:val="00C81AB5"/>
    <w:rsid w:val="00C83385"/>
    <w:rsid w:val="00C92435"/>
    <w:rsid w:val="00C92711"/>
    <w:rsid w:val="00CA2E6E"/>
    <w:rsid w:val="00CA577E"/>
    <w:rsid w:val="00CD49F9"/>
    <w:rsid w:val="00CD7485"/>
    <w:rsid w:val="00CE19AB"/>
    <w:rsid w:val="00CE6BA2"/>
    <w:rsid w:val="00CE6FED"/>
    <w:rsid w:val="00D001D9"/>
    <w:rsid w:val="00D00779"/>
    <w:rsid w:val="00D05625"/>
    <w:rsid w:val="00D113DB"/>
    <w:rsid w:val="00D2414E"/>
    <w:rsid w:val="00D34F57"/>
    <w:rsid w:val="00D369B2"/>
    <w:rsid w:val="00D40A66"/>
    <w:rsid w:val="00D41896"/>
    <w:rsid w:val="00D45812"/>
    <w:rsid w:val="00D544AD"/>
    <w:rsid w:val="00D557EB"/>
    <w:rsid w:val="00D6204B"/>
    <w:rsid w:val="00D860F7"/>
    <w:rsid w:val="00D9184E"/>
    <w:rsid w:val="00DD0738"/>
    <w:rsid w:val="00DD3405"/>
    <w:rsid w:val="00DD47CE"/>
    <w:rsid w:val="00DE697A"/>
    <w:rsid w:val="00DF5C4C"/>
    <w:rsid w:val="00E0481F"/>
    <w:rsid w:val="00E16DA5"/>
    <w:rsid w:val="00E176BA"/>
    <w:rsid w:val="00E22187"/>
    <w:rsid w:val="00E27CDC"/>
    <w:rsid w:val="00E33A74"/>
    <w:rsid w:val="00E42512"/>
    <w:rsid w:val="00E42C02"/>
    <w:rsid w:val="00E44661"/>
    <w:rsid w:val="00E45629"/>
    <w:rsid w:val="00E50456"/>
    <w:rsid w:val="00E56C54"/>
    <w:rsid w:val="00E57560"/>
    <w:rsid w:val="00E613A3"/>
    <w:rsid w:val="00E64B0A"/>
    <w:rsid w:val="00E72A49"/>
    <w:rsid w:val="00E91A3D"/>
    <w:rsid w:val="00EA5DCD"/>
    <w:rsid w:val="00EB5D82"/>
    <w:rsid w:val="00EC5BF5"/>
    <w:rsid w:val="00EC5F42"/>
    <w:rsid w:val="00EC6016"/>
    <w:rsid w:val="00ED2DAB"/>
    <w:rsid w:val="00EE4F49"/>
    <w:rsid w:val="00F0069D"/>
    <w:rsid w:val="00F05BF7"/>
    <w:rsid w:val="00F05DEC"/>
    <w:rsid w:val="00F07589"/>
    <w:rsid w:val="00F158C7"/>
    <w:rsid w:val="00F17B4F"/>
    <w:rsid w:val="00F21940"/>
    <w:rsid w:val="00F354C8"/>
    <w:rsid w:val="00F36723"/>
    <w:rsid w:val="00F541F4"/>
    <w:rsid w:val="00F54E91"/>
    <w:rsid w:val="00F70A69"/>
    <w:rsid w:val="00F74382"/>
    <w:rsid w:val="00F764F6"/>
    <w:rsid w:val="00F81276"/>
    <w:rsid w:val="00F81CEE"/>
    <w:rsid w:val="00F82F5C"/>
    <w:rsid w:val="00F854D1"/>
    <w:rsid w:val="00F92F8D"/>
    <w:rsid w:val="00F93165"/>
    <w:rsid w:val="00F934D6"/>
    <w:rsid w:val="00F93E80"/>
    <w:rsid w:val="00F94437"/>
    <w:rsid w:val="00FA5CEF"/>
    <w:rsid w:val="00FC7ED3"/>
    <w:rsid w:val="00FD2C8D"/>
    <w:rsid w:val="00FE5320"/>
    <w:rsid w:val="00FE6AF9"/>
    <w:rsid w:val="00FF0861"/>
    <w:rsid w:val="00FF2FB0"/>
    <w:rsid w:val="00FF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46144-2E08-4862-B873-6B7D0E0F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4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44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3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D0077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4B5"/>
    <w:pPr>
      <w:ind w:left="720"/>
      <w:contextualSpacing/>
    </w:pPr>
  </w:style>
  <w:style w:type="character" w:customStyle="1" w:styleId="Heading1Char">
    <w:name w:val="Heading 1 Char"/>
    <w:basedOn w:val="DefaultParagraphFont"/>
    <w:link w:val="Heading1"/>
    <w:uiPriority w:val="9"/>
    <w:rsid w:val="00F944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443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35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04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F06"/>
  </w:style>
  <w:style w:type="paragraph" w:styleId="Footer">
    <w:name w:val="footer"/>
    <w:basedOn w:val="Normal"/>
    <w:link w:val="FooterChar"/>
    <w:uiPriority w:val="99"/>
    <w:unhideWhenUsed/>
    <w:rsid w:val="00404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F06"/>
  </w:style>
  <w:style w:type="paragraph" w:styleId="EndnoteText">
    <w:name w:val="endnote text"/>
    <w:basedOn w:val="Normal"/>
    <w:link w:val="EndnoteTextChar"/>
    <w:uiPriority w:val="99"/>
    <w:unhideWhenUsed/>
    <w:rsid w:val="00F05BF7"/>
    <w:pPr>
      <w:spacing w:after="0" w:line="240" w:lineRule="auto"/>
    </w:pPr>
    <w:rPr>
      <w:sz w:val="20"/>
      <w:szCs w:val="20"/>
    </w:rPr>
  </w:style>
  <w:style w:type="character" w:customStyle="1" w:styleId="EndnoteTextChar">
    <w:name w:val="Endnote Text Char"/>
    <w:basedOn w:val="DefaultParagraphFont"/>
    <w:link w:val="EndnoteText"/>
    <w:uiPriority w:val="99"/>
    <w:rsid w:val="00F05BF7"/>
    <w:rPr>
      <w:sz w:val="20"/>
      <w:szCs w:val="20"/>
    </w:rPr>
  </w:style>
  <w:style w:type="paragraph" w:styleId="FootnoteText">
    <w:name w:val="footnote text"/>
    <w:basedOn w:val="Normal"/>
    <w:link w:val="FootnoteTextChar"/>
    <w:uiPriority w:val="99"/>
    <w:unhideWhenUsed/>
    <w:rsid w:val="00F05BF7"/>
    <w:pPr>
      <w:spacing w:after="0" w:line="240" w:lineRule="auto"/>
    </w:pPr>
    <w:rPr>
      <w:sz w:val="20"/>
      <w:szCs w:val="20"/>
    </w:rPr>
  </w:style>
  <w:style w:type="character" w:customStyle="1" w:styleId="FootnoteTextChar">
    <w:name w:val="Footnote Text Char"/>
    <w:basedOn w:val="DefaultParagraphFont"/>
    <w:link w:val="FootnoteText"/>
    <w:uiPriority w:val="99"/>
    <w:rsid w:val="00F05BF7"/>
    <w:rPr>
      <w:sz w:val="20"/>
      <w:szCs w:val="20"/>
    </w:rPr>
  </w:style>
  <w:style w:type="character" w:styleId="Hyperlink">
    <w:name w:val="Hyperlink"/>
    <w:basedOn w:val="DefaultParagraphFont"/>
    <w:uiPriority w:val="99"/>
    <w:unhideWhenUsed/>
    <w:rsid w:val="001B1D43"/>
    <w:rPr>
      <w:color w:val="0563C1" w:themeColor="hyperlink"/>
      <w:u w:val="single"/>
    </w:rPr>
  </w:style>
  <w:style w:type="character" w:styleId="EndnoteReference">
    <w:name w:val="endnote reference"/>
    <w:basedOn w:val="DefaultParagraphFont"/>
    <w:uiPriority w:val="99"/>
    <w:semiHidden/>
    <w:unhideWhenUsed/>
    <w:rsid w:val="006A3584"/>
    <w:rPr>
      <w:vertAlign w:val="superscript"/>
    </w:rPr>
  </w:style>
  <w:style w:type="character" w:styleId="Emphasis">
    <w:name w:val="Emphasis"/>
    <w:basedOn w:val="DefaultParagraphFont"/>
    <w:uiPriority w:val="20"/>
    <w:qFormat/>
    <w:rsid w:val="00F354C8"/>
    <w:rPr>
      <w:i/>
      <w:iCs/>
    </w:rPr>
  </w:style>
  <w:style w:type="character" w:customStyle="1" w:styleId="Heading4Char">
    <w:name w:val="Heading 4 Char"/>
    <w:basedOn w:val="DefaultParagraphFont"/>
    <w:link w:val="Heading4"/>
    <w:uiPriority w:val="9"/>
    <w:rsid w:val="00D0077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007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0779"/>
    <w:rPr>
      <w:b/>
      <w:bCs/>
    </w:rPr>
  </w:style>
  <w:style w:type="character" w:customStyle="1" w:styleId="apple-converted-space">
    <w:name w:val="apple-converted-space"/>
    <w:basedOn w:val="DefaultParagraphFont"/>
    <w:rsid w:val="00D62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hansard.parliament.vic.gov.au/search/?LDMS=Y&amp;IW_FIELD_ADVANCE_PHRASE=be+now+read+a+second+time&amp;IW_FIELD_IN_SpeechTitle=Infrastructure+Victoria+Bill+2015+&amp;IW_FIELD_IN_HOUSENAME=ASSEMBLY&amp;IW_FIELD_IN_ACTIVITYTYPE=Second+Reading&amp;IW_FIELD_IN_SittingYear=2015&amp;IW_DATABASE=*" TargetMode="External"/><Relationship Id="rId13" Type="http://schemas.openxmlformats.org/officeDocument/2006/relationships/hyperlink" Target="https://infrastructure.gov.au/rail/legislation/ntc_ris.aspx" TargetMode="External"/><Relationship Id="rId18" Type="http://schemas.openxmlformats.org/officeDocument/2006/relationships/hyperlink" Target="http://www.pc.gov.au/research/completed/government-trading-enterprises" TargetMode="External"/><Relationship Id="rId26" Type="http://schemas.openxmlformats.org/officeDocument/2006/relationships/hyperlink" Target="http://infrastructureaustralia.gov.au/policy-publications/publications/files/NTC_Review.pdf" TargetMode="External"/><Relationship Id="rId3" Type="http://schemas.openxmlformats.org/officeDocument/2006/relationships/hyperlink" Target="https://www.coag.gov.au/node/52" TargetMode="External"/><Relationship Id="rId21" Type="http://schemas.openxmlformats.org/officeDocument/2006/relationships/hyperlink" Target="http://www.theaustralian.com.au/national-affairs/alp-infrastructure-funding-plan-could-favour-roads/story-fn59niix-1227562544926?sv=d7a50dd81cfd5e51ea4737d103aa0f75" TargetMode="External"/><Relationship Id="rId7" Type="http://schemas.openxmlformats.org/officeDocument/2006/relationships/hyperlink" Target="http://hansardpublic.parliament.sa.gov.au/Pages/HansardResult.aspx" TargetMode="External"/><Relationship Id="rId12" Type="http://schemas.openxmlformats.org/officeDocument/2006/relationships/hyperlink" Target="http://investment.infrastructure.gov.au/whatis/network/images/QLD_National_Land_Transport_Network_Rail_Corridors_update_2014.pdf" TargetMode="External"/><Relationship Id="rId17" Type="http://schemas.openxmlformats.org/officeDocument/2006/relationships/hyperlink" Target="http://www.treasury.nsw.gov.au/Commercial_Policy_Framework/Glossary_of_Terms" TargetMode="External"/><Relationship Id="rId25" Type="http://schemas.openxmlformats.org/officeDocument/2006/relationships/hyperlink" Target="http://www.transportinfrastructurecouncil.gov.au" TargetMode="External"/><Relationship Id="rId2" Type="http://schemas.openxmlformats.org/officeDocument/2006/relationships/hyperlink" Target="http://www.treasury.nsw.gov.au/__data/assets/pdf_file/0009/4779/bp66.pdf" TargetMode="External"/><Relationship Id="rId16" Type="http://schemas.openxmlformats.org/officeDocument/2006/relationships/hyperlink" Target="http://transportinfrastructurecouncil.gov.au/publications/files/RISSB_review_report.pd" TargetMode="External"/><Relationship Id="rId20" Type="http://schemas.openxmlformats.org/officeDocument/2006/relationships/hyperlink" Target="http://www.ncoa.gov.au/report/docs/phase_two_report.pdf" TargetMode="External"/><Relationship Id="rId29" Type="http://schemas.openxmlformats.org/officeDocument/2006/relationships/hyperlink" Target="http://transportinfrastructurecouncil.gov.au/officials_committee/" TargetMode="External"/><Relationship Id="rId1" Type="http://schemas.openxmlformats.org/officeDocument/2006/relationships/hyperlink" Target="http://www.treasury.nsw.gov.au/__data/assets/pdf_file/0015/357/91_gtereform.pdf" TargetMode="External"/><Relationship Id="rId6" Type="http://schemas.openxmlformats.org/officeDocument/2006/relationships/hyperlink" Target="file:///C:/Users/John/Downloads/online_submission_-_individual_-_j._austen_-_27_aug_2015_194956252.pdf" TargetMode="External"/><Relationship Id="rId11" Type="http://schemas.openxmlformats.org/officeDocument/2006/relationships/hyperlink" Target="http://transportinfrastructurecouncil.gov.au/publications/" TargetMode="External"/><Relationship Id="rId24" Type="http://schemas.openxmlformats.org/officeDocument/2006/relationships/hyperlink" Target="http://transportinfrastructurecouncil.gov.au/communique/files/Council_3rd_Communique_22_May_2015.pdf" TargetMode="External"/><Relationship Id="rId5" Type="http://schemas.openxmlformats.org/officeDocument/2006/relationships/hyperlink" Target="http://www.parliament.nsw.gov.au/prod/parlment/hansart.nsf/V3Key/LC20031202052" TargetMode="External"/><Relationship Id="rId15" Type="http://schemas.openxmlformats.org/officeDocument/2006/relationships/hyperlink" Target="http://www.abs.gov.au/ausstats/abs@.nsf/Lookup/by%20Subject/1301.0~2012~Main%20Features~Transport,%20postal%20and%20warehousing%20industry~186" TargetMode="External"/><Relationship Id="rId23" Type="http://schemas.openxmlformats.org/officeDocument/2006/relationships/hyperlink" Target="http://transportinfrastructurecouncil.gov.au/about/" TargetMode="External"/><Relationship Id="rId28" Type="http://schemas.openxmlformats.org/officeDocument/2006/relationships/hyperlink" Target="http://infrastructureaustralia.gov.au/policy-publications/submissions/nlfs/files/VIC_Submission_to_NLFS_FINAL.pdf" TargetMode="External"/><Relationship Id="rId10" Type="http://schemas.openxmlformats.org/officeDocument/2006/relationships/hyperlink" Target="http://infrastructureaustralia.gov.au/policy-publications/publications/index.aspx?collection=IA-publications&amp;form=simple&amp;query=land+freight&amp;Submit=Search" TargetMode="External"/><Relationship Id="rId19" Type="http://schemas.openxmlformats.org/officeDocument/2006/relationships/hyperlink" Target="http://lpaweb-static.s3.amazonaws.com/13-09-05%20Coalition%202013%20Election%20Policy%20%E2%80%93%20Better%20Infrastructure%20Planning%20%E2%80%93%20policy%20document.pdf" TargetMode="External"/><Relationship Id="rId4" Type="http://schemas.openxmlformats.org/officeDocument/2006/relationships/hyperlink" Target="https://sro.library.usyd.edu.au/bitstream/10765/65919/1/researchintransport.pdf" TargetMode="External"/><Relationship Id="rId9" Type="http://schemas.openxmlformats.org/officeDocument/2006/relationships/hyperlink" Target="http://www.australia.gov.au/about-australia/australian-story/railways-in-australia" TargetMode="External"/><Relationship Id="rId14" Type="http://schemas.openxmlformats.org/officeDocument/2006/relationships/hyperlink" Target="https://infrastructure.gov.au/rail/legislation/ntc_ris.aspx" TargetMode="External"/><Relationship Id="rId22" Type="http://schemas.openxmlformats.org/officeDocument/2006/relationships/hyperlink" Target="https://infrastructure.gov.au/transport/australia/ntc/files/NTC_Review_Report_2.pdf" TargetMode="External"/><Relationship Id="rId27" Type="http://schemas.openxmlformats.org/officeDocument/2006/relationships/hyperlink" Target="http://transportinfrastructurecouncil.gov.au/publications/files/National_Land_Freight_Strategy_Compressed.pdf" TargetMode="External"/><Relationship Id="rId30" Type="http://schemas.openxmlformats.org/officeDocument/2006/relationships/hyperlink" Target="http://www.imdb.com/title/tt0686867/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D920-740A-4BDD-9168-21DDAB6E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3</cp:revision>
  <dcterms:created xsi:type="dcterms:W3CDTF">2015-10-23T05:12:00Z</dcterms:created>
  <dcterms:modified xsi:type="dcterms:W3CDTF">2015-10-24T08:12:00Z</dcterms:modified>
</cp:coreProperties>
</file>