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094C" w14:textId="29439DB3" w:rsidR="00BD6C2E" w:rsidRPr="00707978" w:rsidRDefault="001468A6" w:rsidP="00B81580">
      <w:pPr>
        <w:pStyle w:val="Heading1"/>
        <w:spacing w:before="0"/>
        <w:rPr>
          <w:rFonts w:asciiTheme="minorHAnsi" w:hAnsiTheme="minorHAnsi" w:cstheme="minorHAnsi"/>
          <w:b/>
          <w:bCs/>
        </w:rPr>
      </w:pPr>
      <w:bookmarkStart w:id="0" w:name="_Toc100321733"/>
      <w:bookmarkStart w:id="1" w:name="_Toc100419376"/>
      <w:r>
        <w:rPr>
          <w:rFonts w:asciiTheme="minorHAnsi" w:hAnsiTheme="minorHAnsi" w:cstheme="minorHAnsi"/>
          <w:b/>
          <w:bCs/>
        </w:rPr>
        <w:t>F</w:t>
      </w:r>
      <w:r w:rsidR="000D555D" w:rsidRPr="00707978">
        <w:rPr>
          <w:rFonts w:asciiTheme="minorHAnsi" w:hAnsiTheme="minorHAnsi" w:cstheme="minorHAnsi"/>
          <w:b/>
          <w:bCs/>
        </w:rPr>
        <w:t xml:space="preserve">ossil fuel </w:t>
      </w:r>
      <w:r w:rsidR="00707978">
        <w:rPr>
          <w:rFonts w:asciiTheme="minorHAnsi" w:hAnsiTheme="minorHAnsi" w:cstheme="minorHAnsi"/>
          <w:b/>
          <w:bCs/>
        </w:rPr>
        <w:t>‘</w:t>
      </w:r>
      <w:r w:rsidR="000D555D" w:rsidRPr="00707978">
        <w:rPr>
          <w:rFonts w:asciiTheme="minorHAnsi" w:hAnsiTheme="minorHAnsi" w:cstheme="minorHAnsi"/>
          <w:b/>
          <w:bCs/>
        </w:rPr>
        <w:t>subsidies’</w:t>
      </w:r>
      <w:bookmarkEnd w:id="0"/>
      <w:bookmarkEnd w:id="1"/>
    </w:p>
    <w:sdt>
      <w:sdtPr>
        <w:id w:val="-635183905"/>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6B44ADE3" w14:textId="374D2F58" w:rsidR="00B15108" w:rsidRDefault="00B15108" w:rsidP="00B81580">
          <w:pPr>
            <w:pStyle w:val="TOCHeading"/>
          </w:pPr>
          <w:r>
            <w:t>Contents</w:t>
          </w:r>
        </w:p>
        <w:p w14:paraId="532A9FDB" w14:textId="57DF97C0" w:rsidR="00D73E45" w:rsidRDefault="00B15108" w:rsidP="0030206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0419377" w:history="1">
            <w:r w:rsidR="00D73E45" w:rsidRPr="00290113">
              <w:rPr>
                <w:rStyle w:val="Hyperlink"/>
                <w:noProof/>
              </w:rPr>
              <w:t>Summary</w:t>
            </w:r>
            <w:r w:rsidR="00D73E45">
              <w:rPr>
                <w:noProof/>
                <w:webHidden/>
              </w:rPr>
              <w:tab/>
            </w:r>
            <w:r w:rsidR="00D73E45">
              <w:rPr>
                <w:noProof/>
                <w:webHidden/>
              </w:rPr>
              <w:fldChar w:fldCharType="begin"/>
            </w:r>
            <w:r w:rsidR="00D73E45">
              <w:rPr>
                <w:noProof/>
                <w:webHidden/>
              </w:rPr>
              <w:instrText xml:space="preserve"> PAGEREF _Toc100419377 \h </w:instrText>
            </w:r>
            <w:r w:rsidR="00D73E45">
              <w:rPr>
                <w:noProof/>
                <w:webHidden/>
              </w:rPr>
            </w:r>
            <w:r w:rsidR="00D73E45">
              <w:rPr>
                <w:noProof/>
                <w:webHidden/>
              </w:rPr>
              <w:fldChar w:fldCharType="separate"/>
            </w:r>
            <w:r w:rsidR="00D73E45">
              <w:rPr>
                <w:noProof/>
                <w:webHidden/>
              </w:rPr>
              <w:t>2</w:t>
            </w:r>
            <w:r w:rsidR="00D73E45">
              <w:rPr>
                <w:noProof/>
                <w:webHidden/>
              </w:rPr>
              <w:fldChar w:fldCharType="end"/>
            </w:r>
          </w:hyperlink>
        </w:p>
        <w:p w14:paraId="254373A5" w14:textId="1232A3CC" w:rsidR="00D73E45" w:rsidRDefault="00D73E45">
          <w:pPr>
            <w:pStyle w:val="TOC2"/>
            <w:tabs>
              <w:tab w:val="left" w:pos="660"/>
              <w:tab w:val="right" w:leader="dot" w:pos="9016"/>
            </w:tabs>
            <w:rPr>
              <w:rFonts w:eastAsiaTheme="minorEastAsia"/>
              <w:noProof/>
              <w:lang w:eastAsia="en-AU"/>
            </w:rPr>
          </w:pPr>
          <w:hyperlink w:anchor="_Toc100419378" w:history="1">
            <w:r w:rsidRPr="00290113">
              <w:rPr>
                <w:rStyle w:val="Hyperlink"/>
                <w:noProof/>
              </w:rPr>
              <w:t>0.</w:t>
            </w:r>
            <w:r>
              <w:rPr>
                <w:rFonts w:eastAsiaTheme="minorEastAsia"/>
                <w:noProof/>
                <w:lang w:eastAsia="en-AU"/>
              </w:rPr>
              <w:tab/>
            </w:r>
            <w:r w:rsidRPr="00290113">
              <w:rPr>
                <w:rStyle w:val="Hyperlink"/>
                <w:noProof/>
              </w:rPr>
              <w:t>Introduction</w:t>
            </w:r>
            <w:r>
              <w:rPr>
                <w:noProof/>
                <w:webHidden/>
              </w:rPr>
              <w:tab/>
            </w:r>
            <w:r>
              <w:rPr>
                <w:noProof/>
                <w:webHidden/>
              </w:rPr>
              <w:fldChar w:fldCharType="begin"/>
            </w:r>
            <w:r>
              <w:rPr>
                <w:noProof/>
                <w:webHidden/>
              </w:rPr>
              <w:instrText xml:space="preserve"> PAGEREF _Toc100419378 \h </w:instrText>
            </w:r>
            <w:r>
              <w:rPr>
                <w:noProof/>
                <w:webHidden/>
              </w:rPr>
            </w:r>
            <w:r>
              <w:rPr>
                <w:noProof/>
                <w:webHidden/>
              </w:rPr>
              <w:fldChar w:fldCharType="separate"/>
            </w:r>
            <w:r>
              <w:rPr>
                <w:noProof/>
                <w:webHidden/>
              </w:rPr>
              <w:t>4</w:t>
            </w:r>
            <w:r>
              <w:rPr>
                <w:noProof/>
                <w:webHidden/>
              </w:rPr>
              <w:fldChar w:fldCharType="end"/>
            </w:r>
          </w:hyperlink>
        </w:p>
        <w:p w14:paraId="27B847AD" w14:textId="726B4BF3" w:rsidR="00D73E45" w:rsidRDefault="00D73E45">
          <w:pPr>
            <w:pStyle w:val="TOC2"/>
            <w:tabs>
              <w:tab w:val="left" w:pos="660"/>
              <w:tab w:val="right" w:leader="dot" w:pos="9016"/>
            </w:tabs>
            <w:rPr>
              <w:rFonts w:eastAsiaTheme="minorEastAsia"/>
              <w:noProof/>
              <w:lang w:eastAsia="en-AU"/>
            </w:rPr>
          </w:pPr>
          <w:hyperlink w:anchor="_Toc100419379" w:history="1">
            <w:r w:rsidRPr="00290113">
              <w:rPr>
                <w:rStyle w:val="Hyperlink"/>
                <w:noProof/>
              </w:rPr>
              <w:t>1.</w:t>
            </w:r>
            <w:r>
              <w:rPr>
                <w:rFonts w:eastAsiaTheme="minorEastAsia"/>
                <w:noProof/>
                <w:lang w:eastAsia="en-AU"/>
              </w:rPr>
              <w:tab/>
            </w:r>
            <w:r w:rsidRPr="00290113">
              <w:rPr>
                <w:rStyle w:val="Hyperlink"/>
                <w:noProof/>
              </w:rPr>
              <w:t>Fossil fuel subsidies – Australia Institute 28 March</w:t>
            </w:r>
            <w:r>
              <w:rPr>
                <w:noProof/>
                <w:webHidden/>
              </w:rPr>
              <w:tab/>
            </w:r>
            <w:r>
              <w:rPr>
                <w:noProof/>
                <w:webHidden/>
              </w:rPr>
              <w:fldChar w:fldCharType="begin"/>
            </w:r>
            <w:r>
              <w:rPr>
                <w:noProof/>
                <w:webHidden/>
              </w:rPr>
              <w:instrText xml:space="preserve"> PAGEREF _Toc100419379 \h </w:instrText>
            </w:r>
            <w:r>
              <w:rPr>
                <w:noProof/>
                <w:webHidden/>
              </w:rPr>
            </w:r>
            <w:r>
              <w:rPr>
                <w:noProof/>
                <w:webHidden/>
              </w:rPr>
              <w:fldChar w:fldCharType="separate"/>
            </w:r>
            <w:r>
              <w:rPr>
                <w:noProof/>
                <w:webHidden/>
              </w:rPr>
              <w:t>4</w:t>
            </w:r>
            <w:r>
              <w:rPr>
                <w:noProof/>
                <w:webHidden/>
              </w:rPr>
              <w:fldChar w:fldCharType="end"/>
            </w:r>
          </w:hyperlink>
        </w:p>
        <w:p w14:paraId="63A27D4E" w14:textId="556FB157" w:rsidR="00D73E45" w:rsidRDefault="00D73E45">
          <w:pPr>
            <w:pStyle w:val="TOC2"/>
            <w:tabs>
              <w:tab w:val="left" w:pos="660"/>
              <w:tab w:val="right" w:leader="dot" w:pos="9016"/>
            </w:tabs>
            <w:rPr>
              <w:rFonts w:eastAsiaTheme="minorEastAsia"/>
              <w:noProof/>
              <w:lang w:eastAsia="en-AU"/>
            </w:rPr>
          </w:pPr>
          <w:hyperlink w:anchor="_Toc100419380" w:history="1">
            <w:r w:rsidRPr="00290113">
              <w:rPr>
                <w:rStyle w:val="Hyperlink"/>
                <w:noProof/>
              </w:rPr>
              <w:t>2.</w:t>
            </w:r>
            <w:r>
              <w:rPr>
                <w:rFonts w:eastAsiaTheme="minorEastAsia"/>
                <w:noProof/>
                <w:lang w:eastAsia="en-AU"/>
              </w:rPr>
              <w:tab/>
            </w:r>
            <w:r w:rsidRPr="00290113">
              <w:rPr>
                <w:rStyle w:val="Hyperlink"/>
                <w:noProof/>
              </w:rPr>
              <w:t>Publicly invalidated – 29 March</w:t>
            </w:r>
            <w:r>
              <w:rPr>
                <w:noProof/>
                <w:webHidden/>
              </w:rPr>
              <w:tab/>
            </w:r>
            <w:r>
              <w:rPr>
                <w:noProof/>
                <w:webHidden/>
              </w:rPr>
              <w:fldChar w:fldCharType="begin"/>
            </w:r>
            <w:r>
              <w:rPr>
                <w:noProof/>
                <w:webHidden/>
              </w:rPr>
              <w:instrText xml:space="preserve"> PAGEREF _Toc100419380 \h </w:instrText>
            </w:r>
            <w:r>
              <w:rPr>
                <w:noProof/>
                <w:webHidden/>
              </w:rPr>
            </w:r>
            <w:r>
              <w:rPr>
                <w:noProof/>
                <w:webHidden/>
              </w:rPr>
              <w:fldChar w:fldCharType="separate"/>
            </w:r>
            <w:r>
              <w:rPr>
                <w:noProof/>
                <w:webHidden/>
              </w:rPr>
              <w:t>4</w:t>
            </w:r>
            <w:r>
              <w:rPr>
                <w:noProof/>
                <w:webHidden/>
              </w:rPr>
              <w:fldChar w:fldCharType="end"/>
            </w:r>
          </w:hyperlink>
        </w:p>
        <w:p w14:paraId="6BAE01C9" w14:textId="42B7A593" w:rsidR="00D73E45" w:rsidRDefault="00D73E45">
          <w:pPr>
            <w:pStyle w:val="TOC2"/>
            <w:tabs>
              <w:tab w:val="left" w:pos="660"/>
              <w:tab w:val="right" w:leader="dot" w:pos="9016"/>
            </w:tabs>
            <w:rPr>
              <w:rFonts w:eastAsiaTheme="minorEastAsia"/>
              <w:noProof/>
              <w:lang w:eastAsia="en-AU"/>
            </w:rPr>
          </w:pPr>
          <w:hyperlink w:anchor="_Toc100419381" w:history="1">
            <w:r w:rsidRPr="00290113">
              <w:rPr>
                <w:rStyle w:val="Hyperlink"/>
                <w:noProof/>
              </w:rPr>
              <w:t>3.</w:t>
            </w:r>
            <w:r>
              <w:rPr>
                <w:rFonts w:eastAsiaTheme="minorEastAsia"/>
                <w:noProof/>
                <w:lang w:eastAsia="en-AU"/>
              </w:rPr>
              <w:tab/>
            </w:r>
            <w:r w:rsidRPr="00290113">
              <w:rPr>
                <w:rStyle w:val="Hyperlink"/>
                <w:noProof/>
              </w:rPr>
              <w:t>Big mistake</w:t>
            </w:r>
            <w:r>
              <w:rPr>
                <w:noProof/>
                <w:webHidden/>
              </w:rPr>
              <w:tab/>
            </w:r>
            <w:r>
              <w:rPr>
                <w:noProof/>
                <w:webHidden/>
              </w:rPr>
              <w:fldChar w:fldCharType="begin"/>
            </w:r>
            <w:r>
              <w:rPr>
                <w:noProof/>
                <w:webHidden/>
              </w:rPr>
              <w:instrText xml:space="preserve"> PAGEREF _Toc100419381 \h </w:instrText>
            </w:r>
            <w:r>
              <w:rPr>
                <w:noProof/>
                <w:webHidden/>
              </w:rPr>
            </w:r>
            <w:r>
              <w:rPr>
                <w:noProof/>
                <w:webHidden/>
              </w:rPr>
              <w:fldChar w:fldCharType="separate"/>
            </w:r>
            <w:r>
              <w:rPr>
                <w:noProof/>
                <w:webHidden/>
              </w:rPr>
              <w:t>5</w:t>
            </w:r>
            <w:r>
              <w:rPr>
                <w:noProof/>
                <w:webHidden/>
              </w:rPr>
              <w:fldChar w:fldCharType="end"/>
            </w:r>
          </w:hyperlink>
        </w:p>
        <w:p w14:paraId="0D875DCE" w14:textId="29803BA1" w:rsidR="00D73E45" w:rsidRDefault="00D73E45">
          <w:pPr>
            <w:pStyle w:val="TOC2"/>
            <w:tabs>
              <w:tab w:val="left" w:pos="660"/>
              <w:tab w:val="right" w:leader="dot" w:pos="9016"/>
            </w:tabs>
            <w:rPr>
              <w:rFonts w:eastAsiaTheme="minorEastAsia"/>
              <w:noProof/>
              <w:lang w:eastAsia="en-AU"/>
            </w:rPr>
          </w:pPr>
          <w:hyperlink w:anchor="_Toc100419382" w:history="1">
            <w:r w:rsidRPr="00290113">
              <w:rPr>
                <w:rStyle w:val="Hyperlink"/>
                <w:noProof/>
              </w:rPr>
              <w:t>4.</w:t>
            </w:r>
            <w:r>
              <w:rPr>
                <w:rFonts w:eastAsiaTheme="minorEastAsia"/>
                <w:noProof/>
                <w:lang w:eastAsia="en-AU"/>
              </w:rPr>
              <w:tab/>
            </w:r>
            <w:r w:rsidRPr="00290113">
              <w:rPr>
                <w:rStyle w:val="Hyperlink"/>
                <w:noProof/>
              </w:rPr>
              <w:t>Miscellaneous material mistakes and inaccuracies</w:t>
            </w:r>
            <w:r>
              <w:rPr>
                <w:noProof/>
                <w:webHidden/>
              </w:rPr>
              <w:tab/>
            </w:r>
            <w:r>
              <w:rPr>
                <w:noProof/>
                <w:webHidden/>
              </w:rPr>
              <w:fldChar w:fldCharType="begin"/>
            </w:r>
            <w:r>
              <w:rPr>
                <w:noProof/>
                <w:webHidden/>
              </w:rPr>
              <w:instrText xml:space="preserve"> PAGEREF _Toc100419382 \h </w:instrText>
            </w:r>
            <w:r>
              <w:rPr>
                <w:noProof/>
                <w:webHidden/>
              </w:rPr>
            </w:r>
            <w:r>
              <w:rPr>
                <w:noProof/>
                <w:webHidden/>
              </w:rPr>
              <w:fldChar w:fldCharType="separate"/>
            </w:r>
            <w:r>
              <w:rPr>
                <w:noProof/>
                <w:webHidden/>
              </w:rPr>
              <w:t>6</w:t>
            </w:r>
            <w:r>
              <w:rPr>
                <w:noProof/>
                <w:webHidden/>
              </w:rPr>
              <w:fldChar w:fldCharType="end"/>
            </w:r>
          </w:hyperlink>
        </w:p>
        <w:p w14:paraId="1D265CF6" w14:textId="58BA91AD" w:rsidR="00D73E45" w:rsidRDefault="00D73E45">
          <w:pPr>
            <w:pStyle w:val="TOC3"/>
            <w:tabs>
              <w:tab w:val="left" w:pos="1100"/>
              <w:tab w:val="right" w:leader="dot" w:pos="9016"/>
            </w:tabs>
            <w:rPr>
              <w:rFonts w:eastAsiaTheme="minorEastAsia"/>
              <w:noProof/>
              <w:lang w:eastAsia="en-AU"/>
            </w:rPr>
          </w:pPr>
          <w:hyperlink w:anchor="_Toc100419383" w:history="1">
            <w:r w:rsidRPr="00290113">
              <w:rPr>
                <w:rStyle w:val="Hyperlink"/>
                <w:noProof/>
              </w:rPr>
              <w:t>4.1</w:t>
            </w:r>
            <w:r>
              <w:rPr>
                <w:rFonts w:eastAsiaTheme="minorEastAsia"/>
                <w:noProof/>
                <w:lang w:eastAsia="en-AU"/>
              </w:rPr>
              <w:tab/>
            </w:r>
            <w:r w:rsidRPr="00290113">
              <w:rPr>
                <w:rStyle w:val="Hyperlink"/>
                <w:noProof/>
              </w:rPr>
              <w:t>Tax break for coal mines?</w:t>
            </w:r>
            <w:r>
              <w:rPr>
                <w:noProof/>
                <w:webHidden/>
              </w:rPr>
              <w:tab/>
            </w:r>
            <w:r>
              <w:rPr>
                <w:noProof/>
                <w:webHidden/>
              </w:rPr>
              <w:fldChar w:fldCharType="begin"/>
            </w:r>
            <w:r>
              <w:rPr>
                <w:noProof/>
                <w:webHidden/>
              </w:rPr>
              <w:instrText xml:space="preserve"> PAGEREF _Toc100419383 \h </w:instrText>
            </w:r>
            <w:r>
              <w:rPr>
                <w:noProof/>
                <w:webHidden/>
              </w:rPr>
            </w:r>
            <w:r>
              <w:rPr>
                <w:noProof/>
                <w:webHidden/>
              </w:rPr>
              <w:fldChar w:fldCharType="separate"/>
            </w:r>
            <w:r>
              <w:rPr>
                <w:noProof/>
                <w:webHidden/>
              </w:rPr>
              <w:t>6</w:t>
            </w:r>
            <w:r>
              <w:rPr>
                <w:noProof/>
                <w:webHidden/>
              </w:rPr>
              <w:fldChar w:fldCharType="end"/>
            </w:r>
          </w:hyperlink>
        </w:p>
        <w:p w14:paraId="63C91AE3" w14:textId="4C41995D" w:rsidR="00D73E45" w:rsidRDefault="00D73E45">
          <w:pPr>
            <w:pStyle w:val="TOC3"/>
            <w:tabs>
              <w:tab w:val="left" w:pos="1100"/>
              <w:tab w:val="right" w:leader="dot" w:pos="9016"/>
            </w:tabs>
            <w:rPr>
              <w:rFonts w:eastAsiaTheme="minorEastAsia"/>
              <w:noProof/>
              <w:lang w:eastAsia="en-AU"/>
            </w:rPr>
          </w:pPr>
          <w:hyperlink w:anchor="_Toc100419384" w:history="1">
            <w:r w:rsidRPr="00290113">
              <w:rPr>
                <w:rStyle w:val="Hyperlink"/>
                <w:noProof/>
              </w:rPr>
              <w:t>4.2</w:t>
            </w:r>
            <w:r>
              <w:rPr>
                <w:rFonts w:eastAsiaTheme="minorEastAsia"/>
                <w:noProof/>
                <w:lang w:eastAsia="en-AU"/>
              </w:rPr>
              <w:tab/>
            </w:r>
            <w:r w:rsidRPr="00290113">
              <w:rPr>
                <w:rStyle w:val="Hyperlink"/>
                <w:noProof/>
              </w:rPr>
              <w:t>Excise not linked to road funding?</w:t>
            </w:r>
            <w:r>
              <w:rPr>
                <w:noProof/>
                <w:webHidden/>
              </w:rPr>
              <w:tab/>
            </w:r>
            <w:r>
              <w:rPr>
                <w:noProof/>
                <w:webHidden/>
              </w:rPr>
              <w:fldChar w:fldCharType="begin"/>
            </w:r>
            <w:r>
              <w:rPr>
                <w:noProof/>
                <w:webHidden/>
              </w:rPr>
              <w:instrText xml:space="preserve"> PAGEREF _Toc100419384 \h </w:instrText>
            </w:r>
            <w:r>
              <w:rPr>
                <w:noProof/>
                <w:webHidden/>
              </w:rPr>
            </w:r>
            <w:r>
              <w:rPr>
                <w:noProof/>
                <w:webHidden/>
              </w:rPr>
              <w:fldChar w:fldCharType="separate"/>
            </w:r>
            <w:r>
              <w:rPr>
                <w:noProof/>
                <w:webHidden/>
              </w:rPr>
              <w:t>7</w:t>
            </w:r>
            <w:r>
              <w:rPr>
                <w:noProof/>
                <w:webHidden/>
              </w:rPr>
              <w:fldChar w:fldCharType="end"/>
            </w:r>
          </w:hyperlink>
        </w:p>
        <w:p w14:paraId="35196848" w14:textId="751DF78B" w:rsidR="00D73E45" w:rsidRDefault="00D73E45">
          <w:pPr>
            <w:pStyle w:val="TOC3"/>
            <w:tabs>
              <w:tab w:val="left" w:pos="1100"/>
              <w:tab w:val="right" w:leader="dot" w:pos="9016"/>
            </w:tabs>
            <w:rPr>
              <w:rFonts w:eastAsiaTheme="minorEastAsia"/>
              <w:noProof/>
              <w:lang w:eastAsia="en-AU"/>
            </w:rPr>
          </w:pPr>
          <w:hyperlink w:anchor="_Toc100419385" w:history="1">
            <w:r w:rsidRPr="00290113">
              <w:rPr>
                <w:rStyle w:val="Hyperlink"/>
                <w:noProof/>
              </w:rPr>
              <w:t>4.3</w:t>
            </w:r>
            <w:r>
              <w:rPr>
                <w:rFonts w:eastAsiaTheme="minorEastAsia"/>
                <w:noProof/>
                <w:lang w:eastAsia="en-AU"/>
              </w:rPr>
              <w:tab/>
            </w:r>
            <w:r w:rsidRPr="00290113">
              <w:rPr>
                <w:rStyle w:val="Hyperlink"/>
                <w:noProof/>
              </w:rPr>
              <w:t>Lowering the cost of inputs?</w:t>
            </w:r>
            <w:r>
              <w:rPr>
                <w:noProof/>
                <w:webHidden/>
              </w:rPr>
              <w:tab/>
            </w:r>
            <w:r>
              <w:rPr>
                <w:noProof/>
                <w:webHidden/>
              </w:rPr>
              <w:fldChar w:fldCharType="begin"/>
            </w:r>
            <w:r>
              <w:rPr>
                <w:noProof/>
                <w:webHidden/>
              </w:rPr>
              <w:instrText xml:space="preserve"> PAGEREF _Toc100419385 \h </w:instrText>
            </w:r>
            <w:r>
              <w:rPr>
                <w:noProof/>
                <w:webHidden/>
              </w:rPr>
            </w:r>
            <w:r>
              <w:rPr>
                <w:noProof/>
                <w:webHidden/>
              </w:rPr>
              <w:fldChar w:fldCharType="separate"/>
            </w:r>
            <w:r>
              <w:rPr>
                <w:noProof/>
                <w:webHidden/>
              </w:rPr>
              <w:t>7</w:t>
            </w:r>
            <w:r>
              <w:rPr>
                <w:noProof/>
                <w:webHidden/>
              </w:rPr>
              <w:fldChar w:fldCharType="end"/>
            </w:r>
          </w:hyperlink>
        </w:p>
        <w:p w14:paraId="2AC268A0" w14:textId="3AAFD0E4" w:rsidR="00D73E45" w:rsidRDefault="00D73E45">
          <w:pPr>
            <w:pStyle w:val="TOC3"/>
            <w:tabs>
              <w:tab w:val="left" w:pos="1100"/>
              <w:tab w:val="right" w:leader="dot" w:pos="9016"/>
            </w:tabs>
            <w:rPr>
              <w:rFonts w:eastAsiaTheme="minorEastAsia"/>
              <w:noProof/>
              <w:lang w:eastAsia="en-AU"/>
            </w:rPr>
          </w:pPr>
          <w:hyperlink w:anchor="_Toc100419386" w:history="1">
            <w:r w:rsidRPr="00290113">
              <w:rPr>
                <w:rStyle w:val="Hyperlink"/>
                <w:noProof/>
              </w:rPr>
              <w:t>4.4</w:t>
            </w:r>
            <w:r>
              <w:rPr>
                <w:rFonts w:eastAsiaTheme="minorEastAsia"/>
                <w:noProof/>
                <w:lang w:eastAsia="en-AU"/>
              </w:rPr>
              <w:tab/>
            </w:r>
            <w:r w:rsidRPr="00290113">
              <w:rPr>
                <w:rStyle w:val="Hyperlink"/>
                <w:noProof/>
              </w:rPr>
              <w:t>Rail and seaports</w:t>
            </w:r>
            <w:r>
              <w:rPr>
                <w:noProof/>
                <w:webHidden/>
              </w:rPr>
              <w:tab/>
            </w:r>
            <w:r>
              <w:rPr>
                <w:noProof/>
                <w:webHidden/>
              </w:rPr>
              <w:fldChar w:fldCharType="begin"/>
            </w:r>
            <w:r>
              <w:rPr>
                <w:noProof/>
                <w:webHidden/>
              </w:rPr>
              <w:instrText xml:space="preserve"> PAGEREF _Toc100419386 \h </w:instrText>
            </w:r>
            <w:r>
              <w:rPr>
                <w:noProof/>
                <w:webHidden/>
              </w:rPr>
            </w:r>
            <w:r>
              <w:rPr>
                <w:noProof/>
                <w:webHidden/>
              </w:rPr>
              <w:fldChar w:fldCharType="separate"/>
            </w:r>
            <w:r>
              <w:rPr>
                <w:noProof/>
                <w:webHidden/>
              </w:rPr>
              <w:t>7</w:t>
            </w:r>
            <w:r>
              <w:rPr>
                <w:noProof/>
                <w:webHidden/>
              </w:rPr>
              <w:fldChar w:fldCharType="end"/>
            </w:r>
          </w:hyperlink>
        </w:p>
        <w:p w14:paraId="7F348D20" w14:textId="64B4F038" w:rsidR="00D73E45" w:rsidRDefault="00D73E45">
          <w:pPr>
            <w:pStyle w:val="TOC3"/>
            <w:tabs>
              <w:tab w:val="left" w:pos="1100"/>
              <w:tab w:val="right" w:leader="dot" w:pos="9016"/>
            </w:tabs>
            <w:rPr>
              <w:rFonts w:eastAsiaTheme="minorEastAsia"/>
              <w:noProof/>
              <w:lang w:eastAsia="en-AU"/>
            </w:rPr>
          </w:pPr>
          <w:hyperlink w:anchor="_Toc100419387" w:history="1">
            <w:r w:rsidRPr="00290113">
              <w:rPr>
                <w:rStyle w:val="Hyperlink"/>
                <w:noProof/>
              </w:rPr>
              <w:t>4.5</w:t>
            </w:r>
            <w:r>
              <w:rPr>
                <w:rFonts w:eastAsiaTheme="minorEastAsia"/>
                <w:noProof/>
                <w:lang w:eastAsia="en-AU"/>
              </w:rPr>
              <w:tab/>
            </w:r>
            <w:r w:rsidRPr="00290113">
              <w:rPr>
                <w:rStyle w:val="Hyperlink"/>
                <w:noProof/>
              </w:rPr>
              <w:t>Productivity Commission</w:t>
            </w:r>
            <w:r>
              <w:rPr>
                <w:noProof/>
                <w:webHidden/>
              </w:rPr>
              <w:tab/>
            </w:r>
            <w:r>
              <w:rPr>
                <w:noProof/>
                <w:webHidden/>
              </w:rPr>
              <w:fldChar w:fldCharType="begin"/>
            </w:r>
            <w:r>
              <w:rPr>
                <w:noProof/>
                <w:webHidden/>
              </w:rPr>
              <w:instrText xml:space="preserve"> PAGEREF _Toc100419387 \h </w:instrText>
            </w:r>
            <w:r>
              <w:rPr>
                <w:noProof/>
                <w:webHidden/>
              </w:rPr>
            </w:r>
            <w:r>
              <w:rPr>
                <w:noProof/>
                <w:webHidden/>
              </w:rPr>
              <w:fldChar w:fldCharType="separate"/>
            </w:r>
            <w:r>
              <w:rPr>
                <w:noProof/>
                <w:webHidden/>
              </w:rPr>
              <w:t>8</w:t>
            </w:r>
            <w:r>
              <w:rPr>
                <w:noProof/>
                <w:webHidden/>
              </w:rPr>
              <w:fldChar w:fldCharType="end"/>
            </w:r>
          </w:hyperlink>
        </w:p>
        <w:p w14:paraId="1E16FE03" w14:textId="0B5DF3FB" w:rsidR="00D73E45" w:rsidRDefault="00D73E45">
          <w:pPr>
            <w:pStyle w:val="TOC3"/>
            <w:tabs>
              <w:tab w:val="left" w:pos="1100"/>
              <w:tab w:val="right" w:leader="dot" w:pos="9016"/>
            </w:tabs>
            <w:rPr>
              <w:rFonts w:eastAsiaTheme="minorEastAsia"/>
              <w:noProof/>
              <w:lang w:eastAsia="en-AU"/>
            </w:rPr>
          </w:pPr>
          <w:hyperlink w:anchor="_Toc100419388" w:history="1">
            <w:r w:rsidRPr="00290113">
              <w:rPr>
                <w:rStyle w:val="Hyperlink"/>
                <w:noProof/>
              </w:rPr>
              <w:t>4.6</w:t>
            </w:r>
            <w:r>
              <w:rPr>
                <w:rFonts w:eastAsiaTheme="minorEastAsia"/>
                <w:noProof/>
                <w:lang w:eastAsia="en-AU"/>
              </w:rPr>
              <w:tab/>
            </w:r>
            <w:r w:rsidRPr="00290113">
              <w:rPr>
                <w:rStyle w:val="Hyperlink"/>
                <w:noProof/>
              </w:rPr>
              <w:t>Summary – so far…</w:t>
            </w:r>
            <w:r>
              <w:rPr>
                <w:noProof/>
                <w:webHidden/>
              </w:rPr>
              <w:tab/>
            </w:r>
            <w:r>
              <w:rPr>
                <w:noProof/>
                <w:webHidden/>
              </w:rPr>
              <w:fldChar w:fldCharType="begin"/>
            </w:r>
            <w:r>
              <w:rPr>
                <w:noProof/>
                <w:webHidden/>
              </w:rPr>
              <w:instrText xml:space="preserve"> PAGEREF _Toc100419388 \h </w:instrText>
            </w:r>
            <w:r>
              <w:rPr>
                <w:noProof/>
                <w:webHidden/>
              </w:rPr>
            </w:r>
            <w:r>
              <w:rPr>
                <w:noProof/>
                <w:webHidden/>
              </w:rPr>
              <w:fldChar w:fldCharType="separate"/>
            </w:r>
            <w:r>
              <w:rPr>
                <w:noProof/>
                <w:webHidden/>
              </w:rPr>
              <w:t>8</w:t>
            </w:r>
            <w:r>
              <w:rPr>
                <w:noProof/>
                <w:webHidden/>
              </w:rPr>
              <w:fldChar w:fldCharType="end"/>
            </w:r>
          </w:hyperlink>
        </w:p>
        <w:p w14:paraId="731B7674" w14:textId="48002E22" w:rsidR="00D73E45" w:rsidRDefault="00D73E45">
          <w:pPr>
            <w:pStyle w:val="TOC2"/>
            <w:tabs>
              <w:tab w:val="left" w:pos="660"/>
              <w:tab w:val="right" w:leader="dot" w:pos="9016"/>
            </w:tabs>
            <w:rPr>
              <w:rFonts w:eastAsiaTheme="minorEastAsia"/>
              <w:noProof/>
              <w:lang w:eastAsia="en-AU"/>
            </w:rPr>
          </w:pPr>
          <w:hyperlink w:anchor="_Toc100419389" w:history="1">
            <w:r w:rsidRPr="00290113">
              <w:rPr>
                <w:rStyle w:val="Hyperlink"/>
                <w:noProof/>
              </w:rPr>
              <w:t>5.</w:t>
            </w:r>
            <w:r>
              <w:rPr>
                <w:rFonts w:eastAsiaTheme="minorEastAsia"/>
                <w:noProof/>
                <w:lang w:eastAsia="en-AU"/>
              </w:rPr>
              <w:tab/>
            </w:r>
            <w:r w:rsidRPr="00290113">
              <w:rPr>
                <w:rStyle w:val="Hyperlink"/>
                <w:noProof/>
              </w:rPr>
              <w:t>Road transport</w:t>
            </w:r>
            <w:r>
              <w:rPr>
                <w:noProof/>
                <w:webHidden/>
              </w:rPr>
              <w:tab/>
            </w:r>
            <w:r>
              <w:rPr>
                <w:noProof/>
                <w:webHidden/>
              </w:rPr>
              <w:fldChar w:fldCharType="begin"/>
            </w:r>
            <w:r>
              <w:rPr>
                <w:noProof/>
                <w:webHidden/>
              </w:rPr>
              <w:instrText xml:space="preserve"> PAGEREF _Toc100419389 \h </w:instrText>
            </w:r>
            <w:r>
              <w:rPr>
                <w:noProof/>
                <w:webHidden/>
              </w:rPr>
            </w:r>
            <w:r>
              <w:rPr>
                <w:noProof/>
                <w:webHidden/>
              </w:rPr>
              <w:fldChar w:fldCharType="separate"/>
            </w:r>
            <w:r>
              <w:rPr>
                <w:noProof/>
                <w:webHidden/>
              </w:rPr>
              <w:t>9</w:t>
            </w:r>
            <w:r>
              <w:rPr>
                <w:noProof/>
                <w:webHidden/>
              </w:rPr>
              <w:fldChar w:fldCharType="end"/>
            </w:r>
          </w:hyperlink>
        </w:p>
        <w:p w14:paraId="7F9C3746" w14:textId="46FA3988" w:rsidR="00D73E45" w:rsidRDefault="00D73E45">
          <w:pPr>
            <w:pStyle w:val="TOC3"/>
            <w:tabs>
              <w:tab w:val="left" w:pos="1100"/>
              <w:tab w:val="right" w:leader="dot" w:pos="9016"/>
            </w:tabs>
            <w:rPr>
              <w:rFonts w:eastAsiaTheme="minorEastAsia"/>
              <w:noProof/>
              <w:lang w:eastAsia="en-AU"/>
            </w:rPr>
          </w:pPr>
          <w:hyperlink w:anchor="_Toc100419390" w:history="1">
            <w:r w:rsidRPr="00290113">
              <w:rPr>
                <w:rStyle w:val="Hyperlink"/>
                <w:noProof/>
              </w:rPr>
              <w:t>5.1</w:t>
            </w:r>
            <w:r>
              <w:rPr>
                <w:rFonts w:eastAsiaTheme="minorEastAsia"/>
                <w:noProof/>
                <w:lang w:eastAsia="en-AU"/>
              </w:rPr>
              <w:tab/>
            </w:r>
            <w:r w:rsidRPr="00290113">
              <w:rPr>
                <w:rStyle w:val="Hyperlink"/>
                <w:noProof/>
              </w:rPr>
              <w:t>Basics</w:t>
            </w:r>
            <w:r>
              <w:rPr>
                <w:noProof/>
                <w:webHidden/>
              </w:rPr>
              <w:tab/>
            </w:r>
            <w:r>
              <w:rPr>
                <w:noProof/>
                <w:webHidden/>
              </w:rPr>
              <w:fldChar w:fldCharType="begin"/>
            </w:r>
            <w:r>
              <w:rPr>
                <w:noProof/>
                <w:webHidden/>
              </w:rPr>
              <w:instrText xml:space="preserve"> PAGEREF _Toc100419390 \h </w:instrText>
            </w:r>
            <w:r>
              <w:rPr>
                <w:noProof/>
                <w:webHidden/>
              </w:rPr>
            </w:r>
            <w:r>
              <w:rPr>
                <w:noProof/>
                <w:webHidden/>
              </w:rPr>
              <w:fldChar w:fldCharType="separate"/>
            </w:r>
            <w:r>
              <w:rPr>
                <w:noProof/>
                <w:webHidden/>
              </w:rPr>
              <w:t>9</w:t>
            </w:r>
            <w:r>
              <w:rPr>
                <w:noProof/>
                <w:webHidden/>
              </w:rPr>
              <w:fldChar w:fldCharType="end"/>
            </w:r>
          </w:hyperlink>
        </w:p>
        <w:p w14:paraId="27017171" w14:textId="556075E1" w:rsidR="00D73E45" w:rsidRDefault="00D73E45">
          <w:pPr>
            <w:pStyle w:val="TOC3"/>
            <w:tabs>
              <w:tab w:val="left" w:pos="1100"/>
              <w:tab w:val="right" w:leader="dot" w:pos="9016"/>
            </w:tabs>
            <w:rPr>
              <w:rFonts w:eastAsiaTheme="minorEastAsia"/>
              <w:noProof/>
              <w:lang w:eastAsia="en-AU"/>
            </w:rPr>
          </w:pPr>
          <w:hyperlink w:anchor="_Toc100419391" w:history="1">
            <w:r w:rsidRPr="00290113">
              <w:rPr>
                <w:rStyle w:val="Hyperlink"/>
                <w:noProof/>
              </w:rPr>
              <w:t>5.2</w:t>
            </w:r>
            <w:r>
              <w:rPr>
                <w:rFonts w:eastAsiaTheme="minorEastAsia"/>
                <w:noProof/>
                <w:lang w:eastAsia="en-AU"/>
              </w:rPr>
              <w:tab/>
            </w:r>
            <w:r w:rsidRPr="00290113">
              <w:rPr>
                <w:rStyle w:val="Hyperlink"/>
                <w:noProof/>
              </w:rPr>
              <w:t>Curious omission</w:t>
            </w:r>
            <w:r>
              <w:rPr>
                <w:noProof/>
                <w:webHidden/>
              </w:rPr>
              <w:tab/>
            </w:r>
            <w:r>
              <w:rPr>
                <w:noProof/>
                <w:webHidden/>
              </w:rPr>
              <w:fldChar w:fldCharType="begin"/>
            </w:r>
            <w:r>
              <w:rPr>
                <w:noProof/>
                <w:webHidden/>
              </w:rPr>
              <w:instrText xml:space="preserve"> PAGEREF _Toc100419391 \h </w:instrText>
            </w:r>
            <w:r>
              <w:rPr>
                <w:noProof/>
                <w:webHidden/>
              </w:rPr>
            </w:r>
            <w:r>
              <w:rPr>
                <w:noProof/>
                <w:webHidden/>
              </w:rPr>
              <w:fldChar w:fldCharType="separate"/>
            </w:r>
            <w:r>
              <w:rPr>
                <w:noProof/>
                <w:webHidden/>
              </w:rPr>
              <w:t>9</w:t>
            </w:r>
            <w:r>
              <w:rPr>
                <w:noProof/>
                <w:webHidden/>
              </w:rPr>
              <w:fldChar w:fldCharType="end"/>
            </w:r>
          </w:hyperlink>
        </w:p>
        <w:p w14:paraId="7D69BD03" w14:textId="2BE5D051" w:rsidR="00D73E45" w:rsidRDefault="00D73E45">
          <w:pPr>
            <w:pStyle w:val="TOC3"/>
            <w:tabs>
              <w:tab w:val="left" w:pos="1100"/>
              <w:tab w:val="right" w:leader="dot" w:pos="9016"/>
            </w:tabs>
            <w:rPr>
              <w:rFonts w:eastAsiaTheme="minorEastAsia"/>
              <w:noProof/>
              <w:lang w:eastAsia="en-AU"/>
            </w:rPr>
          </w:pPr>
          <w:hyperlink w:anchor="_Toc100419392" w:history="1">
            <w:r w:rsidRPr="00290113">
              <w:rPr>
                <w:rStyle w:val="Hyperlink"/>
                <w:noProof/>
              </w:rPr>
              <w:t>5.3</w:t>
            </w:r>
            <w:r>
              <w:rPr>
                <w:rFonts w:eastAsiaTheme="minorEastAsia"/>
                <w:noProof/>
                <w:lang w:eastAsia="en-AU"/>
              </w:rPr>
              <w:tab/>
            </w:r>
            <w:r w:rsidRPr="00290113">
              <w:rPr>
                <w:rStyle w:val="Hyperlink"/>
                <w:noProof/>
              </w:rPr>
              <w:t>Dangerous implication</w:t>
            </w:r>
            <w:r>
              <w:rPr>
                <w:noProof/>
                <w:webHidden/>
              </w:rPr>
              <w:tab/>
            </w:r>
            <w:r>
              <w:rPr>
                <w:noProof/>
                <w:webHidden/>
              </w:rPr>
              <w:fldChar w:fldCharType="begin"/>
            </w:r>
            <w:r>
              <w:rPr>
                <w:noProof/>
                <w:webHidden/>
              </w:rPr>
              <w:instrText xml:space="preserve"> PAGEREF _Toc100419392 \h </w:instrText>
            </w:r>
            <w:r>
              <w:rPr>
                <w:noProof/>
                <w:webHidden/>
              </w:rPr>
            </w:r>
            <w:r>
              <w:rPr>
                <w:noProof/>
                <w:webHidden/>
              </w:rPr>
              <w:fldChar w:fldCharType="separate"/>
            </w:r>
            <w:r>
              <w:rPr>
                <w:noProof/>
                <w:webHidden/>
              </w:rPr>
              <w:t>10</w:t>
            </w:r>
            <w:r>
              <w:rPr>
                <w:noProof/>
                <w:webHidden/>
              </w:rPr>
              <w:fldChar w:fldCharType="end"/>
            </w:r>
          </w:hyperlink>
        </w:p>
        <w:p w14:paraId="5C85086F" w14:textId="2DF1C62A" w:rsidR="00D73E45" w:rsidRDefault="00D73E45">
          <w:pPr>
            <w:pStyle w:val="TOC3"/>
            <w:tabs>
              <w:tab w:val="left" w:pos="1100"/>
              <w:tab w:val="right" w:leader="dot" w:pos="9016"/>
            </w:tabs>
            <w:rPr>
              <w:rFonts w:eastAsiaTheme="minorEastAsia"/>
              <w:noProof/>
              <w:lang w:eastAsia="en-AU"/>
            </w:rPr>
          </w:pPr>
          <w:hyperlink w:anchor="_Toc100419393" w:history="1">
            <w:r w:rsidRPr="00290113">
              <w:rPr>
                <w:rStyle w:val="Hyperlink"/>
                <w:noProof/>
              </w:rPr>
              <w:t>5.4</w:t>
            </w:r>
            <w:r>
              <w:rPr>
                <w:rFonts w:eastAsiaTheme="minorEastAsia"/>
                <w:noProof/>
                <w:lang w:eastAsia="en-AU"/>
              </w:rPr>
              <w:tab/>
            </w:r>
            <w:r w:rsidRPr="00290113">
              <w:rPr>
                <w:rStyle w:val="Hyperlink"/>
                <w:noProof/>
              </w:rPr>
              <w:t>Curing the curio</w:t>
            </w:r>
            <w:r>
              <w:rPr>
                <w:noProof/>
                <w:webHidden/>
              </w:rPr>
              <w:tab/>
            </w:r>
            <w:r>
              <w:rPr>
                <w:noProof/>
                <w:webHidden/>
              </w:rPr>
              <w:fldChar w:fldCharType="begin"/>
            </w:r>
            <w:r>
              <w:rPr>
                <w:noProof/>
                <w:webHidden/>
              </w:rPr>
              <w:instrText xml:space="preserve"> PAGEREF _Toc100419393 \h </w:instrText>
            </w:r>
            <w:r>
              <w:rPr>
                <w:noProof/>
                <w:webHidden/>
              </w:rPr>
            </w:r>
            <w:r>
              <w:rPr>
                <w:noProof/>
                <w:webHidden/>
              </w:rPr>
              <w:fldChar w:fldCharType="separate"/>
            </w:r>
            <w:r>
              <w:rPr>
                <w:noProof/>
                <w:webHidden/>
              </w:rPr>
              <w:t>10</w:t>
            </w:r>
            <w:r>
              <w:rPr>
                <w:noProof/>
                <w:webHidden/>
              </w:rPr>
              <w:fldChar w:fldCharType="end"/>
            </w:r>
          </w:hyperlink>
        </w:p>
        <w:p w14:paraId="76A17D56" w14:textId="04E9356E" w:rsidR="00D73E45" w:rsidRDefault="00D73E45">
          <w:pPr>
            <w:pStyle w:val="TOC2"/>
            <w:tabs>
              <w:tab w:val="left" w:pos="660"/>
              <w:tab w:val="right" w:leader="dot" w:pos="9016"/>
            </w:tabs>
            <w:rPr>
              <w:rFonts w:eastAsiaTheme="minorEastAsia"/>
              <w:noProof/>
              <w:lang w:eastAsia="en-AU"/>
            </w:rPr>
          </w:pPr>
          <w:hyperlink w:anchor="_Toc100419394" w:history="1">
            <w:r w:rsidRPr="00290113">
              <w:rPr>
                <w:rStyle w:val="Hyperlink"/>
                <w:noProof/>
              </w:rPr>
              <w:t>6.</w:t>
            </w:r>
            <w:r>
              <w:rPr>
                <w:rFonts w:eastAsiaTheme="minorEastAsia"/>
                <w:noProof/>
                <w:lang w:eastAsia="en-AU"/>
              </w:rPr>
              <w:tab/>
            </w:r>
            <w:r w:rsidRPr="00290113">
              <w:rPr>
                <w:rStyle w:val="Hyperlink"/>
                <w:noProof/>
              </w:rPr>
              <w:t>Concluding comments</w:t>
            </w:r>
            <w:r>
              <w:rPr>
                <w:noProof/>
                <w:webHidden/>
              </w:rPr>
              <w:tab/>
            </w:r>
            <w:r>
              <w:rPr>
                <w:noProof/>
                <w:webHidden/>
              </w:rPr>
              <w:fldChar w:fldCharType="begin"/>
            </w:r>
            <w:r>
              <w:rPr>
                <w:noProof/>
                <w:webHidden/>
              </w:rPr>
              <w:instrText xml:space="preserve"> PAGEREF _Toc100419394 \h </w:instrText>
            </w:r>
            <w:r>
              <w:rPr>
                <w:noProof/>
                <w:webHidden/>
              </w:rPr>
            </w:r>
            <w:r>
              <w:rPr>
                <w:noProof/>
                <w:webHidden/>
              </w:rPr>
              <w:fldChar w:fldCharType="separate"/>
            </w:r>
            <w:r>
              <w:rPr>
                <w:noProof/>
                <w:webHidden/>
              </w:rPr>
              <w:t>11</w:t>
            </w:r>
            <w:r>
              <w:rPr>
                <w:noProof/>
                <w:webHidden/>
              </w:rPr>
              <w:fldChar w:fldCharType="end"/>
            </w:r>
          </w:hyperlink>
        </w:p>
        <w:p w14:paraId="2C52457A" w14:textId="3C0BCB8F" w:rsidR="00D73E45" w:rsidRDefault="00D73E45">
          <w:pPr>
            <w:pStyle w:val="TOC2"/>
            <w:tabs>
              <w:tab w:val="right" w:leader="dot" w:pos="9016"/>
            </w:tabs>
            <w:rPr>
              <w:rFonts w:eastAsiaTheme="minorEastAsia"/>
              <w:noProof/>
              <w:lang w:eastAsia="en-AU"/>
            </w:rPr>
          </w:pPr>
          <w:hyperlink w:anchor="_Toc100419395" w:history="1">
            <w:r w:rsidRPr="00290113">
              <w:rPr>
                <w:rStyle w:val="Hyperlink"/>
                <w:noProof/>
              </w:rPr>
              <w:t>Appendix: charts and better charts</w:t>
            </w:r>
            <w:r>
              <w:rPr>
                <w:noProof/>
                <w:webHidden/>
              </w:rPr>
              <w:tab/>
            </w:r>
            <w:r>
              <w:rPr>
                <w:noProof/>
                <w:webHidden/>
              </w:rPr>
              <w:fldChar w:fldCharType="begin"/>
            </w:r>
            <w:r>
              <w:rPr>
                <w:noProof/>
                <w:webHidden/>
              </w:rPr>
              <w:instrText xml:space="preserve"> PAGEREF _Toc100419395 \h </w:instrText>
            </w:r>
            <w:r>
              <w:rPr>
                <w:noProof/>
                <w:webHidden/>
              </w:rPr>
            </w:r>
            <w:r>
              <w:rPr>
                <w:noProof/>
                <w:webHidden/>
              </w:rPr>
              <w:fldChar w:fldCharType="separate"/>
            </w:r>
            <w:r>
              <w:rPr>
                <w:noProof/>
                <w:webHidden/>
              </w:rPr>
              <w:t>13</w:t>
            </w:r>
            <w:r>
              <w:rPr>
                <w:noProof/>
                <w:webHidden/>
              </w:rPr>
              <w:fldChar w:fldCharType="end"/>
            </w:r>
          </w:hyperlink>
        </w:p>
        <w:p w14:paraId="6B402F43" w14:textId="42840235" w:rsidR="00D73E45" w:rsidRDefault="00D73E45">
          <w:pPr>
            <w:pStyle w:val="TOC3"/>
            <w:tabs>
              <w:tab w:val="right" w:leader="dot" w:pos="9016"/>
            </w:tabs>
            <w:rPr>
              <w:rFonts w:eastAsiaTheme="minorEastAsia"/>
              <w:noProof/>
              <w:lang w:eastAsia="en-AU"/>
            </w:rPr>
          </w:pPr>
          <w:hyperlink w:anchor="_Toc100419396" w:history="1">
            <w:r w:rsidRPr="00290113">
              <w:rPr>
                <w:rStyle w:val="Hyperlink"/>
                <w:noProof/>
              </w:rPr>
              <w:t>Australia Institute</w:t>
            </w:r>
            <w:r>
              <w:rPr>
                <w:noProof/>
                <w:webHidden/>
              </w:rPr>
              <w:tab/>
            </w:r>
            <w:r>
              <w:rPr>
                <w:noProof/>
                <w:webHidden/>
              </w:rPr>
              <w:fldChar w:fldCharType="begin"/>
            </w:r>
            <w:r>
              <w:rPr>
                <w:noProof/>
                <w:webHidden/>
              </w:rPr>
              <w:instrText xml:space="preserve"> PAGEREF _Toc100419396 \h </w:instrText>
            </w:r>
            <w:r>
              <w:rPr>
                <w:noProof/>
                <w:webHidden/>
              </w:rPr>
            </w:r>
            <w:r>
              <w:rPr>
                <w:noProof/>
                <w:webHidden/>
              </w:rPr>
              <w:fldChar w:fldCharType="separate"/>
            </w:r>
            <w:r>
              <w:rPr>
                <w:noProof/>
                <w:webHidden/>
              </w:rPr>
              <w:t>13</w:t>
            </w:r>
            <w:r>
              <w:rPr>
                <w:noProof/>
                <w:webHidden/>
              </w:rPr>
              <w:fldChar w:fldCharType="end"/>
            </w:r>
          </w:hyperlink>
        </w:p>
        <w:p w14:paraId="1862044B" w14:textId="38D5E4D5" w:rsidR="00D73E45" w:rsidRDefault="00D73E45">
          <w:pPr>
            <w:pStyle w:val="TOC3"/>
            <w:tabs>
              <w:tab w:val="right" w:leader="dot" w:pos="9016"/>
            </w:tabs>
            <w:rPr>
              <w:rFonts w:eastAsiaTheme="minorEastAsia"/>
              <w:noProof/>
              <w:lang w:eastAsia="en-AU"/>
            </w:rPr>
          </w:pPr>
          <w:hyperlink w:anchor="_Toc100419397" w:history="1">
            <w:r w:rsidRPr="00290113">
              <w:rPr>
                <w:rStyle w:val="Hyperlink"/>
                <w:noProof/>
              </w:rPr>
              <w:t>Fuel Tax Credit Alliance</w:t>
            </w:r>
            <w:r>
              <w:rPr>
                <w:noProof/>
                <w:webHidden/>
              </w:rPr>
              <w:tab/>
            </w:r>
            <w:r>
              <w:rPr>
                <w:noProof/>
                <w:webHidden/>
              </w:rPr>
              <w:fldChar w:fldCharType="begin"/>
            </w:r>
            <w:r>
              <w:rPr>
                <w:noProof/>
                <w:webHidden/>
              </w:rPr>
              <w:instrText xml:space="preserve"> PAGEREF _Toc100419397 \h </w:instrText>
            </w:r>
            <w:r>
              <w:rPr>
                <w:noProof/>
                <w:webHidden/>
              </w:rPr>
            </w:r>
            <w:r>
              <w:rPr>
                <w:noProof/>
                <w:webHidden/>
              </w:rPr>
              <w:fldChar w:fldCharType="separate"/>
            </w:r>
            <w:r>
              <w:rPr>
                <w:noProof/>
                <w:webHidden/>
              </w:rPr>
              <w:t>14</w:t>
            </w:r>
            <w:r>
              <w:rPr>
                <w:noProof/>
                <w:webHidden/>
              </w:rPr>
              <w:fldChar w:fldCharType="end"/>
            </w:r>
          </w:hyperlink>
        </w:p>
        <w:p w14:paraId="44CFBC06" w14:textId="034B7AE8" w:rsidR="00B15108" w:rsidRDefault="00B15108" w:rsidP="00B81580">
          <w:pPr>
            <w:spacing w:after="0"/>
          </w:pPr>
          <w:r>
            <w:rPr>
              <w:b/>
              <w:bCs/>
              <w:noProof/>
            </w:rPr>
            <w:fldChar w:fldCharType="end"/>
          </w:r>
        </w:p>
      </w:sdtContent>
    </w:sdt>
    <w:p w14:paraId="0DD5C4B4" w14:textId="5B094518" w:rsidR="00A34F47" w:rsidRDefault="00A34F47">
      <w:r>
        <w:br w:type="page"/>
      </w:r>
    </w:p>
    <w:p w14:paraId="209325B6" w14:textId="545EEEB1" w:rsidR="00A34F47" w:rsidRDefault="00A34F47" w:rsidP="00A34F47">
      <w:pPr>
        <w:pStyle w:val="Heading2"/>
      </w:pPr>
      <w:bookmarkStart w:id="2" w:name="_Toc100419377"/>
      <w:r>
        <w:lastRenderedPageBreak/>
        <w:t>Summary</w:t>
      </w:r>
      <w:bookmarkEnd w:id="2"/>
    </w:p>
    <w:p w14:paraId="39C22F93" w14:textId="75191DEF" w:rsidR="00B56C62" w:rsidRDefault="00B56C62" w:rsidP="00B81580">
      <w:pPr>
        <w:spacing w:after="0"/>
      </w:pPr>
      <w:r>
        <w:t>The Australia Institute recently claim</w:t>
      </w:r>
      <w:r w:rsidR="003A7041">
        <w:t>ed</w:t>
      </w:r>
      <w:r>
        <w:t xml:space="preserve"> Australia provides large and increasing subsidies to fossil fuels, the largest being a rebate of excise for fuel not used on roads – costed at $8.1bn for 2021-22. </w:t>
      </w:r>
    </w:p>
    <w:p w14:paraId="6A0CEECF" w14:textId="77777777" w:rsidR="00B56C62" w:rsidRDefault="00B56C62" w:rsidP="00B81580">
      <w:pPr>
        <w:spacing w:after="0"/>
      </w:pPr>
    </w:p>
    <w:p w14:paraId="260A7FD8" w14:textId="3ABAA5FF" w:rsidR="002039D1" w:rsidRDefault="00B56C62" w:rsidP="00B81580">
      <w:pPr>
        <w:spacing w:after="0"/>
      </w:pPr>
      <w:r>
        <w:t xml:space="preserve">The </w:t>
      </w:r>
      <w:r w:rsidR="003A7041">
        <w:t xml:space="preserve">accompanying </w:t>
      </w:r>
      <w:r>
        <w:t>report d</w:t>
      </w:r>
      <w:r w:rsidR="00075AE5">
        <w:t>id</w:t>
      </w:r>
      <w:r>
        <w:t xml:space="preserve"> not establish whether fossil fuel use is subsidised.  </w:t>
      </w:r>
      <w:r w:rsidR="002039D1">
        <w:t>The primary reason</w:t>
      </w:r>
      <w:r w:rsidR="00075AE5">
        <w:t>:</w:t>
      </w:r>
      <w:r w:rsidR="002039D1">
        <w:t xml:space="preserve"> it used an arithmetic approach to subsidy estimation</w:t>
      </w:r>
      <w:r w:rsidR="003A7041">
        <w:t xml:space="preserve"> which</w:t>
      </w:r>
      <w:r w:rsidR="002039D1">
        <w:t xml:space="preserve"> </w:t>
      </w:r>
      <w:r w:rsidR="003A7041">
        <w:t xml:space="preserve">despite </w:t>
      </w:r>
      <w:r w:rsidR="002039D1">
        <w:t>ignor</w:t>
      </w:r>
      <w:r w:rsidR="003A7041">
        <w:t>ing</w:t>
      </w:r>
      <w:r w:rsidR="002039D1">
        <w:t xml:space="preserve"> taxes on fossil fuels</w:t>
      </w:r>
      <w:r w:rsidR="003A7041">
        <w:t xml:space="preserve"> included </w:t>
      </w:r>
      <w:r w:rsidR="005764D5">
        <w:t>rebates of</w:t>
      </w:r>
      <w:r w:rsidR="003A7041">
        <w:t xml:space="preserve"> </w:t>
      </w:r>
      <w:r w:rsidR="005764D5">
        <w:t xml:space="preserve">those </w:t>
      </w:r>
      <w:r w:rsidR="003A7041">
        <w:t>taxes.</w:t>
      </w:r>
    </w:p>
    <w:p w14:paraId="0C357308" w14:textId="798AAF54" w:rsidR="002039D1" w:rsidRDefault="002039D1" w:rsidP="00B81580">
      <w:pPr>
        <w:spacing w:after="0"/>
      </w:pPr>
    </w:p>
    <w:p w14:paraId="587516E9" w14:textId="53AACFC3" w:rsidR="002039D1" w:rsidRDefault="003A7041" w:rsidP="00B81580">
      <w:pPr>
        <w:spacing w:after="0"/>
      </w:pPr>
      <w:r>
        <w:t>Such an</w:t>
      </w:r>
      <w:r w:rsidR="002039D1">
        <w:t xml:space="preserve"> </w:t>
      </w:r>
      <w:r w:rsidR="005764D5">
        <w:t>approach suggests lower</w:t>
      </w:r>
      <w:r w:rsidR="002039D1">
        <w:t xml:space="preserve"> taxes </w:t>
      </w:r>
      <w:r w:rsidR="005764D5">
        <w:t xml:space="preserve">on fuels </w:t>
      </w:r>
      <w:r w:rsidR="002039D1">
        <w:t>reduc</w:t>
      </w:r>
      <w:r w:rsidR="005764D5">
        <w:t>e</w:t>
      </w:r>
      <w:r w:rsidR="002039D1">
        <w:t xml:space="preserve"> subsidies.  This occurred in the 2023 Budget, a result of which is reduction in the Institute’s estimate of fossil fuel subsidies by </w:t>
      </w:r>
      <w:r w:rsidR="00D21DF0">
        <w:t xml:space="preserve">$1.2bn – 15 percent – </w:t>
      </w:r>
      <w:r w:rsidR="005764D5">
        <w:t>due to a cut</w:t>
      </w:r>
      <w:r w:rsidR="00D21DF0">
        <w:t xml:space="preserve"> in </w:t>
      </w:r>
      <w:r w:rsidR="005764D5">
        <w:t xml:space="preserve">excise on </w:t>
      </w:r>
      <w:r w:rsidR="00D21DF0">
        <w:t>fuel</w:t>
      </w:r>
      <w:r w:rsidR="005764D5">
        <w:t>s</w:t>
      </w:r>
      <w:r w:rsidR="00D21DF0">
        <w:t>.</w:t>
      </w:r>
    </w:p>
    <w:p w14:paraId="3598F4F6" w14:textId="47FA5955" w:rsidR="00D21DF0" w:rsidRDefault="00D21DF0" w:rsidP="00B81580">
      <w:pPr>
        <w:spacing w:after="0"/>
      </w:pPr>
    </w:p>
    <w:p w14:paraId="44DEBF09" w14:textId="71E28199" w:rsidR="00D21DF0" w:rsidRDefault="00D21DF0" w:rsidP="00B81580">
      <w:pPr>
        <w:spacing w:after="0"/>
      </w:pPr>
      <w:r>
        <w:t xml:space="preserve">That </w:t>
      </w:r>
      <w:r w:rsidR="004B3D1E">
        <w:t>perverse</w:t>
      </w:r>
      <w:r w:rsidR="005764D5">
        <w:t xml:space="preserve"> result</w:t>
      </w:r>
      <w:r>
        <w:t xml:space="preserve"> discredits the Institute’s report.</w:t>
      </w:r>
      <w:r w:rsidR="0099444F">
        <w:t xml:space="preserve">  </w:t>
      </w:r>
      <w:r w:rsidR="00075AE5">
        <w:t>Previous c</w:t>
      </w:r>
      <w:r w:rsidR="0099444F">
        <w:t xml:space="preserve">omments by ABC fact check, the OECD and some academics apparently in support of </w:t>
      </w:r>
      <w:r w:rsidR="005764D5">
        <w:t xml:space="preserve">that type of </w:t>
      </w:r>
      <w:r w:rsidR="0099444F">
        <w:t xml:space="preserve">approach </w:t>
      </w:r>
      <w:r w:rsidR="005764D5">
        <w:t xml:space="preserve">were </w:t>
      </w:r>
      <w:r w:rsidR="00B536CB">
        <w:t>similarly d</w:t>
      </w:r>
      <w:r w:rsidR="0099444F">
        <w:t>iscredited</w:t>
      </w:r>
      <w:r w:rsidR="00600CCD">
        <w:t>.</w:t>
      </w:r>
    </w:p>
    <w:p w14:paraId="12F4735D" w14:textId="77777777" w:rsidR="00D21DF0" w:rsidRDefault="00D21DF0" w:rsidP="00B81580">
      <w:pPr>
        <w:spacing w:after="0"/>
      </w:pPr>
    </w:p>
    <w:p w14:paraId="1756275F" w14:textId="5D71894D" w:rsidR="0099444F" w:rsidRDefault="00D21DF0" w:rsidP="00B81580">
      <w:pPr>
        <w:spacing w:after="0"/>
      </w:pPr>
      <w:r>
        <w:t xml:space="preserve">There are other problems with the </w:t>
      </w:r>
      <w:r w:rsidR="005764D5">
        <w:t xml:space="preserve">Institute’s </w:t>
      </w:r>
      <w:r>
        <w:t xml:space="preserve">report.  These include </w:t>
      </w:r>
      <w:r w:rsidR="00600CCD">
        <w:t xml:space="preserve">it </w:t>
      </w:r>
      <w:r>
        <w:t>ignor</w:t>
      </w:r>
      <w:r w:rsidR="00600CCD">
        <w:t>ed</w:t>
      </w:r>
      <w:r>
        <w:t xml:space="preserve"> State taxes</w:t>
      </w:r>
      <w:r w:rsidR="00600CCD">
        <w:t xml:space="preserve"> and </w:t>
      </w:r>
      <w:r>
        <w:t>misrepresent</w:t>
      </w:r>
      <w:r w:rsidR="00600CCD">
        <w:t>ed the excise rebate as a s</w:t>
      </w:r>
      <w:r>
        <w:t>ubsidy to coal mining</w:t>
      </w:r>
      <w:r w:rsidR="00600CCD">
        <w:t>.</w:t>
      </w:r>
    </w:p>
    <w:p w14:paraId="7A834677" w14:textId="77777777" w:rsidR="0099444F" w:rsidRDefault="0099444F" w:rsidP="00B81580">
      <w:pPr>
        <w:spacing w:after="0"/>
      </w:pPr>
    </w:p>
    <w:p w14:paraId="7C67EA96" w14:textId="47C1DD70" w:rsidR="00600CCD" w:rsidRDefault="0099444F" w:rsidP="00B81580">
      <w:pPr>
        <w:spacing w:after="0"/>
      </w:pPr>
      <w:r>
        <w:t xml:space="preserve">However, the </w:t>
      </w:r>
      <w:r w:rsidR="00E92529">
        <w:t xml:space="preserve">worst </w:t>
      </w:r>
      <w:r>
        <w:t>problem</w:t>
      </w:r>
      <w:r w:rsidR="00E92529">
        <w:t xml:space="preserve">s arise from </w:t>
      </w:r>
      <w:r w:rsidR="00600CCD">
        <w:t xml:space="preserve">failure to </w:t>
      </w:r>
      <w:r w:rsidR="00E92529">
        <w:t>comprehend</w:t>
      </w:r>
      <w:r w:rsidR="004459FE">
        <w:t xml:space="preserve"> transport </w:t>
      </w:r>
      <w:r>
        <w:t>issues.</w:t>
      </w:r>
    </w:p>
    <w:p w14:paraId="33E1C89F" w14:textId="77777777" w:rsidR="00600CCD" w:rsidRDefault="00600CCD" w:rsidP="00B81580">
      <w:pPr>
        <w:spacing w:after="0"/>
      </w:pPr>
    </w:p>
    <w:p w14:paraId="09973DC9" w14:textId="5C9673DE" w:rsidR="00612983" w:rsidRDefault="0099444F" w:rsidP="00B81580">
      <w:pPr>
        <w:spacing w:after="0"/>
      </w:pPr>
      <w:r>
        <w:t>The report wrongly s</w:t>
      </w:r>
      <w:r w:rsidR="00E92529">
        <w:t>aid</w:t>
      </w:r>
      <w:r>
        <w:t xml:space="preserve"> governments</w:t>
      </w:r>
      <w:r w:rsidR="004459FE">
        <w:t>,</w:t>
      </w:r>
      <w:r>
        <w:t xml:space="preserve"> </w:t>
      </w:r>
      <w:r w:rsidR="00E92529">
        <w:t>by owning</w:t>
      </w:r>
      <w:r>
        <w:t xml:space="preserve"> rail</w:t>
      </w:r>
      <w:r w:rsidR="00612983">
        <w:t>ways</w:t>
      </w:r>
      <w:r>
        <w:t xml:space="preserve"> and some ports</w:t>
      </w:r>
      <w:r w:rsidR="004459FE">
        <w:t>,</w:t>
      </w:r>
      <w:r>
        <w:t xml:space="preserve"> subsidise fossil fuels</w:t>
      </w:r>
      <w:r w:rsidR="004459FE">
        <w:t xml:space="preserve">.  </w:t>
      </w:r>
    </w:p>
    <w:p w14:paraId="073A8D78" w14:textId="77777777" w:rsidR="00612983" w:rsidRDefault="00612983" w:rsidP="00B81580">
      <w:pPr>
        <w:spacing w:after="0"/>
      </w:pPr>
    </w:p>
    <w:p w14:paraId="75B0B9FE" w14:textId="03F5E36B" w:rsidR="0099444F" w:rsidRDefault="004459FE" w:rsidP="00B81580">
      <w:pPr>
        <w:spacing w:after="0"/>
      </w:pPr>
      <w:r>
        <w:t>Worse, it</w:t>
      </w:r>
      <w:r w:rsidR="0099444F">
        <w:t xml:space="preserve"> failed to identify the enormous subsidy for fossil fuel consumption from government spending on roads being very far in excess </w:t>
      </w:r>
      <w:r w:rsidR="00600CCD">
        <w:t>road user charges</w:t>
      </w:r>
      <w:r w:rsidR="00E615E2">
        <w:t xml:space="preserve"> - f</w:t>
      </w:r>
      <w:r w:rsidR="00600CCD">
        <w:t>or 2019-20</w:t>
      </w:r>
      <w:r w:rsidR="00E92529">
        <w:t>,</w:t>
      </w:r>
      <w:r w:rsidR="00600CCD">
        <w:t xml:space="preserve"> $8.9bn.</w:t>
      </w:r>
    </w:p>
    <w:p w14:paraId="78EC24DB" w14:textId="40C5AB2D" w:rsidR="0099444F" w:rsidRDefault="0099444F" w:rsidP="00B81580">
      <w:pPr>
        <w:spacing w:after="0"/>
      </w:pPr>
    </w:p>
    <w:p w14:paraId="6BB12B51" w14:textId="6F09D900" w:rsidR="00E615E2" w:rsidRDefault="004459FE" w:rsidP="00B81580">
      <w:pPr>
        <w:spacing w:after="0"/>
      </w:pPr>
      <w:r>
        <w:t xml:space="preserve">The report </w:t>
      </w:r>
      <w:r>
        <w:t>failed to appreciate the fuel excise has been considered part of road user charges since the year 2000.</w:t>
      </w:r>
      <w:r>
        <w:t xml:space="preserve">  Replacement of the excise </w:t>
      </w:r>
      <w:r w:rsidR="00E92529">
        <w:t>by</w:t>
      </w:r>
      <w:r>
        <w:t xml:space="preserve"> direct road-use charges has been the c</w:t>
      </w:r>
      <w:r w:rsidR="00E92529">
        <w:t>entral tenet</w:t>
      </w:r>
      <w:r>
        <w:t xml:space="preserve"> of all debates about ‘road reform’</w:t>
      </w:r>
      <w:r w:rsidR="00E92529">
        <w:t>.</w:t>
      </w:r>
      <w:r>
        <w:t xml:space="preserve">  </w:t>
      </w:r>
    </w:p>
    <w:p w14:paraId="67D6CE02" w14:textId="77777777" w:rsidR="00E92529" w:rsidRDefault="00E92529" w:rsidP="00B81580">
      <w:pPr>
        <w:spacing w:after="0"/>
      </w:pPr>
    </w:p>
    <w:p w14:paraId="7DDD7A81" w14:textId="0056A936" w:rsidR="00612983" w:rsidRDefault="004459FE" w:rsidP="00B81580">
      <w:pPr>
        <w:spacing w:after="0"/>
      </w:pPr>
      <w:r>
        <w:t xml:space="preserve">An implication of the report’s approach is </w:t>
      </w:r>
      <w:r w:rsidR="00612983">
        <w:t xml:space="preserve">direct road-use charges would be levied </w:t>
      </w:r>
      <w:r w:rsidR="00E92529">
        <w:t>on top of</w:t>
      </w:r>
      <w:r w:rsidR="00612983">
        <w:t xml:space="preserve"> the excise.  </w:t>
      </w:r>
      <w:r w:rsidR="00E92529">
        <w:t>That</w:t>
      </w:r>
      <w:r w:rsidR="00612983">
        <w:t xml:space="preserve"> </w:t>
      </w:r>
      <w:r w:rsidR="0007288A">
        <w:t>would</w:t>
      </w:r>
      <w:r w:rsidR="00612983">
        <w:t xml:space="preserve"> </w:t>
      </w:r>
      <w:r w:rsidR="00F47309">
        <w:t>be</w:t>
      </w:r>
      <w:r w:rsidR="00612983">
        <w:t xml:space="preserve"> </w:t>
      </w:r>
      <w:r w:rsidR="00E92529">
        <w:t xml:space="preserve">so </w:t>
      </w:r>
      <w:r w:rsidR="00612983">
        <w:t xml:space="preserve">unacceptable to the </w:t>
      </w:r>
      <w:r w:rsidR="0007288A">
        <w:t>public</w:t>
      </w:r>
      <w:r w:rsidR="00F47309">
        <w:t xml:space="preserve"> it would</w:t>
      </w:r>
      <w:r w:rsidR="00E92529">
        <w:t xml:space="preserve"> stop</w:t>
      </w:r>
      <w:r w:rsidR="00612983">
        <w:t xml:space="preserve"> any consideration of road reform.</w:t>
      </w:r>
    </w:p>
    <w:p w14:paraId="149031D6" w14:textId="7AD48F71" w:rsidR="0069407E" w:rsidRDefault="0069407E" w:rsidP="00B81580">
      <w:pPr>
        <w:spacing w:after="0"/>
      </w:pPr>
    </w:p>
    <w:p w14:paraId="7AB20667" w14:textId="2054BDD6" w:rsidR="0069407E" w:rsidRDefault="0069407E" w:rsidP="00B81580">
      <w:pPr>
        <w:spacing w:after="0"/>
      </w:pPr>
      <w:r>
        <w:t>Presumably, the issue motivating estimat</w:t>
      </w:r>
      <w:r w:rsidR="00E615E2">
        <w:t>ion</w:t>
      </w:r>
      <w:r>
        <w:t xml:space="preserve"> of fossil fuel subsidies is </w:t>
      </w:r>
      <w:r w:rsidR="0007288A">
        <w:t>the</w:t>
      </w:r>
      <w:r>
        <w:t xml:space="preserve"> effects of emissions.  These emissions arise largely from the consumption of fossil fuels.  The public policy question is whether </w:t>
      </w:r>
      <w:r w:rsidR="0007288A">
        <w:t xml:space="preserve">fuel consumers pay a </w:t>
      </w:r>
      <w:r>
        <w:t>socially optimal</w:t>
      </w:r>
      <w:r w:rsidR="0007288A">
        <w:t xml:space="preserve"> price for causing emissions</w:t>
      </w:r>
      <w:r>
        <w:t>.  There are reasons to suspect this is not the case, and that consumption and emissions are ‘</w:t>
      </w:r>
      <w:r w:rsidR="00385BEC">
        <w:t>under-priced</w:t>
      </w:r>
      <w:r>
        <w:t>’.</w:t>
      </w:r>
    </w:p>
    <w:p w14:paraId="478FE4CD" w14:textId="225E4C65" w:rsidR="0069407E" w:rsidRDefault="0069407E" w:rsidP="00B81580">
      <w:pPr>
        <w:spacing w:after="0"/>
      </w:pPr>
    </w:p>
    <w:p w14:paraId="2CD727A4" w14:textId="060CFE5D" w:rsidR="0069407E" w:rsidRDefault="0069407E" w:rsidP="00B81580">
      <w:pPr>
        <w:spacing w:after="0"/>
      </w:pPr>
      <w:r>
        <w:t xml:space="preserve">Unfortunately, the approach of the report leads to exactly the opposite conclusion.  That approach has a </w:t>
      </w:r>
      <w:r w:rsidR="00E615E2">
        <w:t>cut</w:t>
      </w:r>
      <w:r>
        <w:t xml:space="preserve"> in the price of fossil fuels - due to an excise cut – being </w:t>
      </w:r>
      <w:r w:rsidR="00B536CB">
        <w:t>a</w:t>
      </w:r>
      <w:r>
        <w:t xml:space="preserve"> prime method of reducing subsidies.</w:t>
      </w:r>
      <w:r w:rsidR="00E615E2">
        <w:t xml:space="preserve">  </w:t>
      </w:r>
      <w:r w:rsidR="0007288A">
        <w:t xml:space="preserve">Such a </w:t>
      </w:r>
      <w:r w:rsidR="00E615E2">
        <w:t>reduction in subsidies w</w:t>
      </w:r>
      <w:r w:rsidR="00B536CB">
        <w:t>ould</w:t>
      </w:r>
      <w:r w:rsidR="00E615E2">
        <w:t xml:space="preserve"> </w:t>
      </w:r>
      <w:r w:rsidR="0007288A">
        <w:t>i</w:t>
      </w:r>
      <w:r w:rsidR="00E615E2">
        <w:t>ncrease fuel use and emissions.</w:t>
      </w:r>
    </w:p>
    <w:p w14:paraId="2BC170DD" w14:textId="02940E02" w:rsidR="0069407E" w:rsidRDefault="0069407E" w:rsidP="00B81580">
      <w:pPr>
        <w:spacing w:after="0"/>
      </w:pPr>
    </w:p>
    <w:p w14:paraId="3537C3B0" w14:textId="0FDFEBC3" w:rsidR="002A5DC9" w:rsidRDefault="002A5DC9" w:rsidP="002A5DC9">
      <w:pPr>
        <w:spacing w:after="0"/>
      </w:pPr>
      <w:r>
        <w:t xml:space="preserve">The Institute appeared to attempt </w:t>
      </w:r>
      <w:r w:rsidR="00951BBE">
        <w:t xml:space="preserve">to </w:t>
      </w:r>
      <w:r>
        <w:t>draw attention to the production of fossil fuels.</w:t>
      </w:r>
      <w:r>
        <w:t xml:space="preserve">  This may lie behind its misanalysis. </w:t>
      </w:r>
      <w:r>
        <w:t xml:space="preserve"> </w:t>
      </w:r>
      <w:r w:rsidR="0007288A">
        <w:t xml:space="preserve">Yet the report was further deficient on that matter by failing to </w:t>
      </w:r>
      <w:r w:rsidR="00951BBE">
        <w:t>not</w:t>
      </w:r>
      <w:r w:rsidR="0007288A">
        <w:t>e</w:t>
      </w:r>
      <w:r w:rsidR="00951BBE">
        <w:t xml:space="preserve"> how the international situation is </w:t>
      </w:r>
      <w:r w:rsidR="0007288A">
        <w:t>press</w:t>
      </w:r>
      <w:r w:rsidR="00B536CB">
        <w:t>ing</w:t>
      </w:r>
      <w:r w:rsidR="00951BBE">
        <w:t xml:space="preserve"> governments </w:t>
      </w:r>
      <w:r w:rsidR="0007288A">
        <w:t xml:space="preserve">to </w:t>
      </w:r>
      <w:r w:rsidR="00B536CB">
        <w:t xml:space="preserve">urgently </w:t>
      </w:r>
      <w:r w:rsidR="00951BBE">
        <w:t>secur</w:t>
      </w:r>
      <w:r w:rsidR="0007288A">
        <w:t>e</w:t>
      </w:r>
      <w:r w:rsidR="00951BBE">
        <w:t xml:space="preserve"> diverse sources of fossil fuels such as oil and gas</w:t>
      </w:r>
      <w:r w:rsidR="0007288A">
        <w:t>, including by increased storage and domestic production</w:t>
      </w:r>
      <w:r w:rsidR="00951BBE">
        <w:t>.</w:t>
      </w:r>
    </w:p>
    <w:p w14:paraId="56988BCB" w14:textId="77777777" w:rsidR="002A5DC9" w:rsidRDefault="002A5DC9" w:rsidP="00B81580">
      <w:pPr>
        <w:spacing w:after="0"/>
      </w:pPr>
    </w:p>
    <w:p w14:paraId="567EFA08" w14:textId="1000BD10" w:rsidR="00075AE5" w:rsidRDefault="00E615E2" w:rsidP="00B81580">
      <w:pPr>
        <w:spacing w:after="0"/>
      </w:pPr>
      <w:r>
        <w:t>A</w:t>
      </w:r>
      <w:r w:rsidR="0069407E">
        <w:t xml:space="preserve"> proper arithmetic approach </w:t>
      </w:r>
      <w:r w:rsidR="00926256">
        <w:t xml:space="preserve">to subsidy estimation </w:t>
      </w:r>
      <w:r w:rsidR="0069407E">
        <w:t xml:space="preserve">would </w:t>
      </w:r>
      <w:r w:rsidR="00926256">
        <w:t xml:space="preserve">go beyond the report and </w:t>
      </w:r>
      <w:r w:rsidR="00075AE5">
        <w:t>consider taxes and implicit subsidies for fossil fuel use – such as excess spending on roads.</w:t>
      </w:r>
    </w:p>
    <w:p w14:paraId="4FE24C14" w14:textId="77777777" w:rsidR="002A5DC9" w:rsidRDefault="002A5DC9" w:rsidP="00B81580">
      <w:pPr>
        <w:spacing w:after="0"/>
      </w:pPr>
    </w:p>
    <w:p w14:paraId="40B2B016" w14:textId="33CD4153" w:rsidR="00075AE5" w:rsidRDefault="00075AE5" w:rsidP="00B81580">
      <w:pPr>
        <w:spacing w:after="0"/>
      </w:pPr>
      <w:r>
        <w:t xml:space="preserve">However, </w:t>
      </w:r>
      <w:r w:rsidR="002A5DC9">
        <w:t xml:space="preserve">even that </w:t>
      </w:r>
      <w:r>
        <w:t>is not capable of addressing the public policy issue</w:t>
      </w:r>
      <w:r w:rsidR="00926256">
        <w:t>s</w:t>
      </w:r>
      <w:r>
        <w:t xml:space="preserve">.  For that, </w:t>
      </w:r>
      <w:r w:rsidR="00926256">
        <w:t xml:space="preserve">the </w:t>
      </w:r>
      <w:r>
        <w:t xml:space="preserve">optimum price for fuel use </w:t>
      </w:r>
      <w:r w:rsidR="00926256">
        <w:t xml:space="preserve">- </w:t>
      </w:r>
      <w:r>
        <w:t>including for emissions</w:t>
      </w:r>
      <w:r w:rsidR="00926256">
        <w:t xml:space="preserve"> – needs to be estimated.  That optimum needs to be compared with actual prices.  That is a modelling, not arithmetic, task.</w:t>
      </w:r>
    </w:p>
    <w:p w14:paraId="5BC794F1" w14:textId="77777777" w:rsidR="00075AE5" w:rsidRDefault="00075AE5" w:rsidP="00B81580">
      <w:pPr>
        <w:spacing w:after="0"/>
      </w:pPr>
    </w:p>
    <w:p w14:paraId="428C40EF" w14:textId="70024421" w:rsidR="00926256" w:rsidRDefault="00075AE5" w:rsidP="00B81580">
      <w:pPr>
        <w:spacing w:after="0"/>
      </w:pPr>
      <w:r>
        <w:t>Finally</w:t>
      </w:r>
      <w:r w:rsidR="00E615E2">
        <w:t>, the</w:t>
      </w:r>
      <w:r w:rsidR="00926256">
        <w:t xml:space="preserve">re are other peculiar circumstances surrounding the report.  It was published </w:t>
      </w:r>
      <w:r w:rsidR="002A5DC9">
        <w:t xml:space="preserve">a day before </w:t>
      </w:r>
      <w:r w:rsidR="00926256">
        <w:t>the</w:t>
      </w:r>
      <w:r w:rsidR="002A5DC9">
        <w:t xml:space="preserve"> Budget </w:t>
      </w:r>
      <w:r w:rsidR="00926256">
        <w:t>which was</w:t>
      </w:r>
      <w:r w:rsidR="002A5DC9">
        <w:t xml:space="preserve"> expected to announce an excise </w:t>
      </w:r>
      <w:r w:rsidR="00926256">
        <w:t>rate cut</w:t>
      </w:r>
      <w:r w:rsidR="002A5DC9">
        <w:t xml:space="preserve"> </w:t>
      </w:r>
      <w:r w:rsidR="00477F62">
        <w:t xml:space="preserve">- </w:t>
      </w:r>
      <w:r w:rsidR="002A5DC9">
        <w:t xml:space="preserve">which </w:t>
      </w:r>
      <w:r w:rsidR="00F47309">
        <w:t xml:space="preserve">should have been expected to </w:t>
      </w:r>
      <w:r w:rsidR="00926256">
        <w:t>show</w:t>
      </w:r>
      <w:r w:rsidR="00477F62">
        <w:t xml:space="preserve"> </w:t>
      </w:r>
      <w:r w:rsidR="00926256">
        <w:t xml:space="preserve">the report’s </w:t>
      </w:r>
      <w:r w:rsidR="00477F62">
        <w:t xml:space="preserve">methodology and results to be faulty.  </w:t>
      </w:r>
    </w:p>
    <w:p w14:paraId="3DA56D81" w14:textId="77777777" w:rsidR="00926256" w:rsidRDefault="00926256" w:rsidP="00B81580">
      <w:pPr>
        <w:spacing w:after="0"/>
      </w:pPr>
    </w:p>
    <w:p w14:paraId="28FFBFA1" w14:textId="44C05BF1" w:rsidR="00B6619C" w:rsidRDefault="00477F62" w:rsidP="00B81580">
      <w:pPr>
        <w:spacing w:after="0"/>
      </w:pPr>
      <w:r>
        <w:t xml:space="preserve">The report also </w:t>
      </w:r>
      <w:r w:rsidR="00E615E2">
        <w:t xml:space="preserve">referred </w:t>
      </w:r>
      <w:r w:rsidR="00B536CB">
        <w:t xml:space="preserve">critically </w:t>
      </w:r>
      <w:r w:rsidR="00E615E2">
        <w:t xml:space="preserve">to a Fuel Tax Credits Alliance – a group wishing to see continuation of the rebate.  Some charts presented by the Institute and Alliance are likely to mislead the public.  </w:t>
      </w:r>
    </w:p>
    <w:p w14:paraId="750CE15A" w14:textId="77777777" w:rsidR="00B6619C" w:rsidRDefault="00B6619C" w:rsidP="00B81580">
      <w:pPr>
        <w:spacing w:after="0"/>
      </w:pPr>
    </w:p>
    <w:p w14:paraId="16A59323" w14:textId="04171A0D" w:rsidR="0069407E" w:rsidRDefault="00E615E2" w:rsidP="00B81580">
      <w:pPr>
        <w:spacing w:after="0"/>
      </w:pPr>
      <w:r>
        <w:t>M</w:t>
      </w:r>
      <w:r w:rsidR="00B6619C">
        <w:t>ore</w:t>
      </w:r>
      <w:r>
        <w:t xml:space="preserve"> should be expected of those seeking</w:t>
      </w:r>
      <w:r w:rsidR="00B6619C">
        <w:t>, and claiming,</w:t>
      </w:r>
      <w:r>
        <w:t xml:space="preserve"> </w:t>
      </w:r>
      <w:r w:rsidR="00B6619C">
        <w:t xml:space="preserve">to </w:t>
      </w:r>
      <w:r>
        <w:t>influence public policy.</w:t>
      </w:r>
      <w:r w:rsidR="00075AE5">
        <w:t xml:space="preserve"> </w:t>
      </w:r>
      <w:r w:rsidR="0069407E">
        <w:t xml:space="preserve"> </w:t>
      </w:r>
    </w:p>
    <w:p w14:paraId="08E37BE2" w14:textId="1A14423A" w:rsidR="0069407E" w:rsidRDefault="0069407E" w:rsidP="00B81580">
      <w:pPr>
        <w:spacing w:after="0"/>
      </w:pPr>
    </w:p>
    <w:p w14:paraId="67C9E3FF" w14:textId="77777777" w:rsidR="00077E4D" w:rsidRDefault="00077E4D" w:rsidP="00B81580">
      <w:pPr>
        <w:spacing w:after="0"/>
      </w:pPr>
    </w:p>
    <w:p w14:paraId="20DB44C2" w14:textId="7AD21057" w:rsidR="00B15108" w:rsidRDefault="00B15108" w:rsidP="00B81580">
      <w:pPr>
        <w:spacing w:after="0"/>
      </w:pPr>
      <w:r>
        <w:br w:type="page"/>
      </w:r>
    </w:p>
    <w:p w14:paraId="75116C8D" w14:textId="7D17D14C" w:rsidR="003A5BC7" w:rsidRDefault="00412064" w:rsidP="00B81580">
      <w:pPr>
        <w:pStyle w:val="Heading2"/>
        <w:spacing w:before="0"/>
      </w:pPr>
      <w:bookmarkStart w:id="3" w:name="_Toc100419378"/>
      <w:r w:rsidRPr="00412064">
        <w:rPr>
          <w:b w:val="0"/>
        </w:rPr>
        <w:lastRenderedPageBreak/>
        <w:t>0.</w:t>
      </w:r>
      <w:r>
        <w:tab/>
      </w:r>
      <w:r w:rsidR="003A5BC7">
        <w:t>Introduction</w:t>
      </w:r>
      <w:bookmarkEnd w:id="3"/>
    </w:p>
    <w:p w14:paraId="621F2953" w14:textId="29E5B0F3" w:rsidR="003A5BC7" w:rsidRDefault="000D555D" w:rsidP="00B81580">
      <w:pPr>
        <w:spacing w:after="0"/>
      </w:pPr>
      <w:r>
        <w:t xml:space="preserve">Mea culpa.  Last year the beagle rebutted an Australia Institute </w:t>
      </w:r>
      <w:r w:rsidR="003A5BC7">
        <w:t xml:space="preserve">report </w:t>
      </w:r>
      <w:r>
        <w:t xml:space="preserve">on fossil fuel </w:t>
      </w:r>
      <w:r w:rsidR="00707978">
        <w:t>‘</w:t>
      </w:r>
      <w:r>
        <w:t>subsidies</w:t>
      </w:r>
      <w:r w:rsidR="00707978">
        <w:t>’</w:t>
      </w:r>
      <w:r>
        <w:t>.</w:t>
      </w:r>
      <w:r>
        <w:rPr>
          <w:rStyle w:val="FootnoteReference"/>
        </w:rPr>
        <w:footnoteReference w:id="1"/>
      </w:r>
      <w:r>
        <w:t xml:space="preserve">  </w:t>
      </w:r>
    </w:p>
    <w:p w14:paraId="6351C08E" w14:textId="77777777" w:rsidR="00707978" w:rsidRDefault="00707978" w:rsidP="00B81580">
      <w:pPr>
        <w:spacing w:after="0"/>
      </w:pPr>
    </w:p>
    <w:p w14:paraId="158FA500" w14:textId="6C63E63C" w:rsidR="000D555D" w:rsidRDefault="000D555D" w:rsidP="00B81580">
      <w:pPr>
        <w:spacing w:after="0"/>
      </w:pPr>
      <w:r>
        <w:t xml:space="preserve">However, it doesn’t recall sending </w:t>
      </w:r>
      <w:r w:rsidR="003A5BC7">
        <w:t xml:space="preserve">the rebuttal </w:t>
      </w:r>
      <w:r>
        <w:t xml:space="preserve">to the Institute.  </w:t>
      </w:r>
      <w:r w:rsidR="003A5BC7">
        <w:t xml:space="preserve">And the rebuttal might have been unduly obtuse.   </w:t>
      </w:r>
    </w:p>
    <w:p w14:paraId="20EAFB25" w14:textId="77777777" w:rsidR="00707978" w:rsidRDefault="00707978" w:rsidP="00B81580">
      <w:pPr>
        <w:spacing w:after="0"/>
      </w:pPr>
    </w:p>
    <w:p w14:paraId="14949DFC" w14:textId="2E7D8115" w:rsidR="003A5BC7" w:rsidRDefault="006D5ED3" w:rsidP="00B81580">
      <w:pPr>
        <w:spacing w:after="0"/>
      </w:pPr>
      <w:r>
        <w:t xml:space="preserve">This note seeks to </w:t>
      </w:r>
      <w:r w:rsidR="000D555D">
        <w:t xml:space="preserve">atone for </w:t>
      </w:r>
      <w:r w:rsidR="003A5BC7">
        <w:t>such</w:t>
      </w:r>
      <w:r w:rsidR="000D555D">
        <w:t xml:space="preserve"> oversight</w:t>
      </w:r>
      <w:r w:rsidR="003A5BC7">
        <w:t>s</w:t>
      </w:r>
      <w:r w:rsidR="000D555D">
        <w:t>.</w:t>
      </w:r>
    </w:p>
    <w:p w14:paraId="43956B35" w14:textId="77777777" w:rsidR="00707978" w:rsidRDefault="00707978" w:rsidP="00B81580">
      <w:pPr>
        <w:pStyle w:val="Heading2"/>
        <w:spacing w:before="0"/>
      </w:pPr>
    </w:p>
    <w:p w14:paraId="291A20B5" w14:textId="672FDC8C" w:rsidR="003A5BC7" w:rsidRDefault="00412064" w:rsidP="00B81580">
      <w:pPr>
        <w:pStyle w:val="Heading2"/>
        <w:spacing w:before="0"/>
      </w:pPr>
      <w:bookmarkStart w:id="4" w:name="_Toc100419379"/>
      <w:r w:rsidRPr="00412064">
        <w:rPr>
          <w:b w:val="0"/>
        </w:rPr>
        <w:t>1.</w:t>
      </w:r>
      <w:r>
        <w:tab/>
      </w:r>
      <w:r w:rsidR="003A5BC7">
        <w:t>Fossil fuel subsidies – Australia Institute</w:t>
      </w:r>
      <w:r w:rsidR="00707978">
        <w:t xml:space="preserve"> 28 March</w:t>
      </w:r>
      <w:bookmarkEnd w:id="4"/>
    </w:p>
    <w:p w14:paraId="13E8F97D" w14:textId="788A40C7" w:rsidR="00707978" w:rsidRDefault="00E70085" w:rsidP="00B81580">
      <w:pPr>
        <w:shd w:val="clear" w:color="auto" w:fill="FFFFFF"/>
        <w:spacing w:after="0" w:line="240" w:lineRule="auto"/>
        <w:rPr>
          <w:rFonts w:ascii="Arial" w:hAnsi="Arial" w:cs="Arial"/>
          <w:color w:val="002E6D"/>
          <w:sz w:val="27"/>
          <w:szCs w:val="27"/>
        </w:rPr>
      </w:pPr>
      <w:r>
        <w:t xml:space="preserve">On 28 March 2022, the Australia Institute </w:t>
      </w:r>
      <w:r w:rsidR="000074F8">
        <w:t>published:  F</w:t>
      </w:r>
      <w:r>
        <w:t>ossil fuel subsidies in Australia.</w:t>
      </w:r>
      <w:r w:rsidR="000074F8">
        <w:t xml:space="preserve">  The</w:t>
      </w:r>
      <w:r>
        <w:t xml:space="preserve"> </w:t>
      </w:r>
      <w:r w:rsidR="00DA7679">
        <w:t xml:space="preserve">media release claimed </w:t>
      </w:r>
      <w:r w:rsidR="00495987">
        <w:t xml:space="preserve">the </w:t>
      </w:r>
      <w:r w:rsidR="000074F8">
        <w:t>s</w:t>
      </w:r>
      <w:r w:rsidR="00DA7679">
        <w:t>ubsidies ‘</w:t>
      </w:r>
      <w:r w:rsidR="00DA7679" w:rsidRPr="00E70085">
        <w:rPr>
          <w:i/>
          <w:iCs/>
        </w:rPr>
        <w:t>surged</w:t>
      </w:r>
      <w:r w:rsidR="00DA7679">
        <w:t xml:space="preserve">’ </w:t>
      </w:r>
      <w:r>
        <w:t>by ‘</w:t>
      </w:r>
      <w:r w:rsidRPr="00E70085">
        <w:rPr>
          <w:i/>
          <w:iCs/>
        </w:rPr>
        <w:t>a staggering</w:t>
      </w:r>
      <w:r>
        <w:t xml:space="preserve">’ $1.3bn </w:t>
      </w:r>
      <w:r w:rsidR="00DA7679">
        <w:t>to $11.6bn in 2021-22.</w:t>
      </w:r>
      <w:r w:rsidR="000074F8">
        <w:rPr>
          <w:rStyle w:val="FootnoteReference"/>
        </w:rPr>
        <w:footnoteReference w:id="2"/>
      </w:r>
      <w:r w:rsidR="000521D7">
        <w:rPr>
          <w:rFonts w:ascii="Arial" w:hAnsi="Arial" w:cs="Arial"/>
          <w:color w:val="002E6D"/>
          <w:sz w:val="27"/>
          <w:szCs w:val="27"/>
        </w:rPr>
        <w:t xml:space="preserve">  </w:t>
      </w:r>
    </w:p>
    <w:p w14:paraId="0915C87C" w14:textId="77777777" w:rsidR="00707978" w:rsidRDefault="00707978" w:rsidP="00B81580">
      <w:pPr>
        <w:shd w:val="clear" w:color="auto" w:fill="FFFFFF"/>
        <w:spacing w:after="0" w:line="240" w:lineRule="auto"/>
        <w:rPr>
          <w:rFonts w:ascii="Arial" w:hAnsi="Arial" w:cs="Arial"/>
          <w:color w:val="002E6D"/>
          <w:sz w:val="27"/>
          <w:szCs w:val="27"/>
        </w:rPr>
      </w:pPr>
    </w:p>
    <w:p w14:paraId="0C911B03" w14:textId="6BB7E695" w:rsidR="000521D7" w:rsidRPr="000521D7" w:rsidRDefault="000521D7" w:rsidP="00B81580">
      <w:pPr>
        <w:shd w:val="clear" w:color="auto" w:fill="FFFFFF"/>
        <w:spacing w:after="0" w:line="240" w:lineRule="auto"/>
      </w:pPr>
      <w:r w:rsidRPr="000521D7">
        <w:t>The result</w:t>
      </w:r>
      <w:r>
        <w:t xml:space="preserve">, drawn from </w:t>
      </w:r>
      <w:r w:rsidR="00707978">
        <w:t xml:space="preserve">2021-22 </w:t>
      </w:r>
      <w:r>
        <w:t>Budget papers,</w:t>
      </w:r>
      <w:r w:rsidRPr="000521D7">
        <w:t xml:space="preserve"> is dominated by the Fuel Tax Credits Scheme</w:t>
      </w:r>
      <w:r>
        <w:t>:</w:t>
      </w:r>
    </w:p>
    <w:p w14:paraId="026F33CA" w14:textId="665DAB69" w:rsidR="00AC0668" w:rsidRDefault="000521D7" w:rsidP="00B81580">
      <w:pPr>
        <w:spacing w:after="0"/>
        <w:ind w:left="720"/>
        <w:rPr>
          <w:i/>
          <w:iCs/>
          <w:lang w:eastAsia="en-AU"/>
        </w:rPr>
      </w:pPr>
      <w:r w:rsidRPr="006D0E0A">
        <w:rPr>
          <w:i/>
          <w:iCs/>
          <w:lang w:eastAsia="en-AU"/>
        </w:rPr>
        <w:t>‘</w:t>
      </w:r>
      <w:r w:rsidR="00DA7679" w:rsidRPr="006D0E0A">
        <w:rPr>
          <w:i/>
          <w:iCs/>
          <w:lang w:eastAsia="en-AU"/>
        </w:rPr>
        <w:t>The largest subsidy is the federal Fuel Tax Credits Scheme, at $8.07 billion, which exceeds the $7.5 billion spent on the Australian Army.</w:t>
      </w:r>
      <w:r w:rsidRPr="006D0E0A">
        <w:rPr>
          <w:i/>
          <w:iCs/>
          <w:lang w:eastAsia="en-AU"/>
        </w:rPr>
        <w:t>’</w:t>
      </w:r>
    </w:p>
    <w:p w14:paraId="4DAC5F27" w14:textId="31180338" w:rsidR="00707978" w:rsidRDefault="00707978" w:rsidP="00B81580">
      <w:pPr>
        <w:pStyle w:val="Heading2"/>
        <w:spacing w:before="0"/>
      </w:pPr>
    </w:p>
    <w:p w14:paraId="3BFD83A9" w14:textId="75F9B9B1" w:rsidR="00227B75" w:rsidRPr="004445B7" w:rsidRDefault="004445B7" w:rsidP="00B81580">
      <w:pPr>
        <w:spacing w:after="0"/>
        <w:ind w:left="720"/>
        <w:rPr>
          <w:i/>
          <w:iCs/>
        </w:rPr>
      </w:pPr>
      <w:r w:rsidRPr="004445B7">
        <w:rPr>
          <w:i/>
          <w:iCs/>
        </w:rPr>
        <w:t>‘</w:t>
      </w:r>
      <w:r w:rsidR="00412064">
        <w:rPr>
          <w:i/>
          <w:iCs/>
        </w:rPr>
        <w:t>…</w:t>
      </w:r>
      <w:r w:rsidR="00227B75" w:rsidRPr="004445B7">
        <w:rPr>
          <w:i/>
          <w:iCs/>
        </w:rPr>
        <w:t>the Fuel Tax Credit Scheme</w:t>
      </w:r>
      <w:r w:rsidR="00412064">
        <w:rPr>
          <w:i/>
          <w:iCs/>
        </w:rPr>
        <w:t>…</w:t>
      </w:r>
      <w:r w:rsidR="00227B75" w:rsidRPr="004445B7">
        <w:rPr>
          <w:i/>
          <w:iCs/>
        </w:rPr>
        <w:t xml:space="preserve"> scheme allows businesses to claim a tax credit on fuel used in machinery, heavy vehicles and light vehicles used off public roads.  This tax break works to make fossil fuel use cheaper</w:t>
      </w:r>
      <w:r w:rsidRPr="004445B7">
        <w:rPr>
          <w:i/>
          <w:iCs/>
        </w:rPr>
        <w:t xml:space="preserve"> </w:t>
      </w:r>
      <w:r w:rsidR="00227B75" w:rsidRPr="004445B7">
        <w:rPr>
          <w:i/>
          <w:iCs/>
        </w:rPr>
        <w:t>for energy-intensive businesses, such as coal mines, but it is not available to other businesses and individuals that use machinery and vehicles for productive use. Fuel taxes are not linked to road funding, as is commonly suggested by recipients of this subsidy; they simply contribute to general revenue, like most other federal taxation.</w:t>
      </w:r>
      <w:r w:rsidRPr="004445B7">
        <w:rPr>
          <w:i/>
          <w:iCs/>
        </w:rPr>
        <w:t>’</w:t>
      </w:r>
    </w:p>
    <w:p w14:paraId="760D28BC" w14:textId="77777777" w:rsidR="00495987" w:rsidRDefault="00495987" w:rsidP="00495987">
      <w:pPr>
        <w:spacing w:after="0"/>
      </w:pPr>
    </w:p>
    <w:p w14:paraId="7BE44D7E" w14:textId="0A63EE69" w:rsidR="00495987" w:rsidRDefault="00495987" w:rsidP="00495987">
      <w:pPr>
        <w:spacing w:after="0"/>
      </w:pPr>
      <w:r>
        <w:t>The report also mentioned the amount was more than payments for roads</w:t>
      </w:r>
      <w:r w:rsidR="00BD7194">
        <w:t>.</w:t>
      </w:r>
    </w:p>
    <w:p w14:paraId="6C84C16E" w14:textId="2B38D56B" w:rsidR="00227B75" w:rsidRDefault="00227B75" w:rsidP="00B81580">
      <w:pPr>
        <w:spacing w:after="0"/>
      </w:pPr>
    </w:p>
    <w:p w14:paraId="6EE86CFF" w14:textId="3B2287F5" w:rsidR="00E70085" w:rsidRDefault="00412064" w:rsidP="00B81580">
      <w:pPr>
        <w:pStyle w:val="Heading2"/>
        <w:spacing w:before="0"/>
      </w:pPr>
      <w:bookmarkStart w:id="5" w:name="_Toc100419380"/>
      <w:r>
        <w:t>2.</w:t>
      </w:r>
      <w:r>
        <w:tab/>
      </w:r>
      <w:r w:rsidR="004445B7">
        <w:t xml:space="preserve">Publicly </w:t>
      </w:r>
      <w:r w:rsidR="003D40C9">
        <w:t>invalidated</w:t>
      </w:r>
      <w:r w:rsidR="00E70085">
        <w:t xml:space="preserve"> – </w:t>
      </w:r>
      <w:r w:rsidR="00707978">
        <w:t>29 March</w:t>
      </w:r>
      <w:bookmarkEnd w:id="5"/>
    </w:p>
    <w:p w14:paraId="48CDA14C" w14:textId="7533ECD1" w:rsidR="006D3991" w:rsidRDefault="000521D7" w:rsidP="00B81580">
      <w:pPr>
        <w:spacing w:after="0"/>
      </w:pPr>
      <w:r>
        <w:t xml:space="preserve">The </w:t>
      </w:r>
      <w:r w:rsidR="00412064">
        <w:t xml:space="preserve">next day, the </w:t>
      </w:r>
      <w:r w:rsidR="006D5ED3">
        <w:t xml:space="preserve">Institute’s </w:t>
      </w:r>
      <w:r w:rsidR="006D3991">
        <w:t xml:space="preserve">result and </w:t>
      </w:r>
      <w:r w:rsidR="006D5ED3">
        <w:t>approach</w:t>
      </w:r>
      <w:r w:rsidR="006D3991">
        <w:t xml:space="preserve"> </w:t>
      </w:r>
      <w:r w:rsidR="006D5ED3">
        <w:t>were</w:t>
      </w:r>
      <w:r w:rsidR="006D3991">
        <w:t xml:space="preserve"> </w:t>
      </w:r>
      <w:r w:rsidR="004445B7">
        <w:t xml:space="preserve">publicly </w:t>
      </w:r>
      <w:r w:rsidR="00B536CB">
        <w:t>invalidated</w:t>
      </w:r>
      <w:r w:rsidR="006D3991">
        <w:t xml:space="preserve"> by the </w:t>
      </w:r>
      <w:r>
        <w:t>2022-23 Budget</w:t>
      </w:r>
      <w:r w:rsidR="006D3991">
        <w:t>.</w:t>
      </w:r>
    </w:p>
    <w:p w14:paraId="12122CDC" w14:textId="77777777" w:rsidR="000074F8" w:rsidRDefault="000074F8" w:rsidP="00B81580">
      <w:pPr>
        <w:spacing w:after="0"/>
      </w:pPr>
    </w:p>
    <w:p w14:paraId="16674C58" w14:textId="1F95047F" w:rsidR="00154749" w:rsidRDefault="00AC0668" w:rsidP="00B81580">
      <w:pPr>
        <w:spacing w:after="0"/>
      </w:pPr>
      <w:r>
        <w:t>Th</w:t>
      </w:r>
      <w:r w:rsidR="00285078">
        <w:t>at</w:t>
      </w:r>
      <w:r>
        <w:t xml:space="preserve"> </w:t>
      </w:r>
      <w:r w:rsidR="00285078">
        <w:t>Budget</w:t>
      </w:r>
      <w:r w:rsidR="006D3991">
        <w:t xml:space="preserve"> show</w:t>
      </w:r>
      <w:r w:rsidR="00495987">
        <w:t xml:space="preserve">ed </w:t>
      </w:r>
      <w:r w:rsidR="006D3991">
        <w:t xml:space="preserve">a </w:t>
      </w:r>
      <w:r w:rsidR="000074F8">
        <w:t xml:space="preserve">$1.18bn </w:t>
      </w:r>
      <w:r>
        <w:t xml:space="preserve">reduction in the </w:t>
      </w:r>
      <w:r w:rsidR="006D3991">
        <w:t xml:space="preserve">estimate of </w:t>
      </w:r>
      <w:r>
        <w:t xml:space="preserve">Fuel Tax Credits </w:t>
      </w:r>
      <w:r w:rsidR="006D3991">
        <w:t>for 2021</w:t>
      </w:r>
      <w:r w:rsidR="000074F8">
        <w:t>-22</w:t>
      </w:r>
      <w:r w:rsidR="00285078">
        <w:t>, compared with the prior Budget</w:t>
      </w:r>
      <w:r w:rsidR="006D3991">
        <w:t>.  The reduction almost eliminate</w:t>
      </w:r>
      <w:r w:rsidR="00285078">
        <w:t>s</w:t>
      </w:r>
      <w:r w:rsidR="006D3991">
        <w:t xml:space="preserve"> the </w:t>
      </w:r>
      <w:r w:rsidR="006D3991" w:rsidRPr="00154749">
        <w:rPr>
          <w:i/>
          <w:iCs/>
        </w:rPr>
        <w:t>‘staggering increase</w:t>
      </w:r>
      <w:r w:rsidR="00154749">
        <w:t>’, and place</w:t>
      </w:r>
      <w:r w:rsidR="00285078">
        <w:t>s</w:t>
      </w:r>
      <w:r w:rsidR="00154749">
        <w:t xml:space="preserve"> the Credits below Army </w:t>
      </w:r>
      <w:r w:rsidR="00405AD4">
        <w:t xml:space="preserve">and road </w:t>
      </w:r>
      <w:r w:rsidR="00154749">
        <w:t>spending</w:t>
      </w:r>
      <w:r w:rsidR="00C1202A">
        <w:t xml:space="preserve"> -</w:t>
      </w:r>
      <w:r w:rsidR="00154749">
        <w:t xml:space="preserve"> problems enough for the Institute’s report.  </w:t>
      </w:r>
    </w:p>
    <w:p w14:paraId="64936132" w14:textId="77777777" w:rsidR="000074F8" w:rsidRDefault="000074F8" w:rsidP="00B81580">
      <w:pPr>
        <w:spacing w:after="0"/>
      </w:pPr>
    </w:p>
    <w:p w14:paraId="19940EE0" w14:textId="404A0E7F" w:rsidR="00C1202A" w:rsidRDefault="00412064" w:rsidP="00B81580">
      <w:pPr>
        <w:spacing w:after="0"/>
      </w:pPr>
      <w:r>
        <w:t>Yet the</w:t>
      </w:r>
      <w:r w:rsidR="00285078">
        <w:t xml:space="preserve"> </w:t>
      </w:r>
      <w:r w:rsidR="00154749">
        <w:t xml:space="preserve">fatal </w:t>
      </w:r>
      <w:r w:rsidR="00C1202A">
        <w:t>flaw</w:t>
      </w:r>
      <w:r w:rsidR="00154749">
        <w:t xml:space="preserve"> </w:t>
      </w:r>
      <w:r w:rsidR="00285078">
        <w:t xml:space="preserve">in the report </w:t>
      </w:r>
      <w:r>
        <w:t xml:space="preserve">is </w:t>
      </w:r>
      <w:r w:rsidR="00154749">
        <w:t xml:space="preserve">exposed by the </w:t>
      </w:r>
      <w:r w:rsidR="00154749" w:rsidRPr="006D5ED3">
        <w:rPr>
          <w:b/>
          <w:bCs/>
        </w:rPr>
        <w:t xml:space="preserve">reason </w:t>
      </w:r>
      <w:r w:rsidR="00285078">
        <w:t xml:space="preserve">for the </w:t>
      </w:r>
      <w:r w:rsidR="00405AD4">
        <w:t>fall</w:t>
      </w:r>
      <w:r w:rsidR="00285078">
        <w:t xml:space="preserve"> in t</w:t>
      </w:r>
      <w:r w:rsidR="000074F8">
        <w:t>he</w:t>
      </w:r>
      <w:r w:rsidR="00154749">
        <w:t xml:space="preserve"> Credits.</w:t>
      </w:r>
      <w:r w:rsidR="00285078">
        <w:t xml:space="preserve">  </w:t>
      </w:r>
      <w:r w:rsidR="00154749">
        <w:t>That reason</w:t>
      </w:r>
      <w:r w:rsidR="00A86EB9">
        <w:t>:</w:t>
      </w:r>
      <w:r w:rsidR="00154749">
        <w:t xml:space="preserve"> the </w:t>
      </w:r>
      <w:r w:rsidR="00251F9A">
        <w:t xml:space="preserve">rate of </w:t>
      </w:r>
      <w:r w:rsidR="00F805AA">
        <w:t>f</w:t>
      </w:r>
      <w:r w:rsidR="00C1202A">
        <w:t>uel excise</w:t>
      </w:r>
      <w:r w:rsidR="000074F8">
        <w:t xml:space="preserve"> </w:t>
      </w:r>
      <w:r w:rsidR="00A86EB9">
        <w:t>–</w:t>
      </w:r>
      <w:r w:rsidR="000074F8">
        <w:t xml:space="preserve"> </w:t>
      </w:r>
      <w:r w:rsidR="00A86EB9">
        <w:t xml:space="preserve">essentially </w:t>
      </w:r>
      <w:r w:rsidR="00C1202A">
        <w:t>a tax on fossil fuels</w:t>
      </w:r>
      <w:r w:rsidR="00F805AA">
        <w:t xml:space="preserve"> – is to be cut</w:t>
      </w:r>
      <w:r w:rsidR="00C1202A">
        <w:t>.</w:t>
      </w:r>
      <w:r w:rsidR="00A86EB9">
        <w:rPr>
          <w:rStyle w:val="FootnoteReference"/>
        </w:rPr>
        <w:footnoteReference w:id="3"/>
      </w:r>
    </w:p>
    <w:p w14:paraId="19E138FF" w14:textId="77777777" w:rsidR="000074F8" w:rsidRDefault="000074F8" w:rsidP="00B81580">
      <w:pPr>
        <w:spacing w:after="0"/>
      </w:pPr>
    </w:p>
    <w:p w14:paraId="26748E22" w14:textId="19AE2565" w:rsidR="0000660E" w:rsidRDefault="00C1202A" w:rsidP="00B81580">
      <w:pPr>
        <w:spacing w:after="0"/>
      </w:pPr>
      <w:r>
        <w:t>Th</w:t>
      </w:r>
      <w:r w:rsidR="00405AD4">
        <w:t>is shows the</w:t>
      </w:r>
      <w:r>
        <w:t xml:space="preserve"> </w:t>
      </w:r>
      <w:r w:rsidR="006D5ED3" w:rsidRPr="00A34AD8">
        <w:rPr>
          <w:b/>
          <w:bCs/>
          <w:i/>
          <w:iCs/>
        </w:rPr>
        <w:t>pervers</w:t>
      </w:r>
      <w:r w:rsidR="00495987" w:rsidRPr="00A34AD8">
        <w:rPr>
          <w:b/>
          <w:bCs/>
          <w:i/>
          <w:iCs/>
        </w:rPr>
        <w:t>ity</w:t>
      </w:r>
      <w:r w:rsidR="006D5ED3">
        <w:t xml:space="preserve"> of</w:t>
      </w:r>
      <w:r w:rsidR="00285078">
        <w:t xml:space="preserve"> the Institute’s approach</w:t>
      </w:r>
      <w:r w:rsidR="00A34AD8">
        <w:t xml:space="preserve"> which </w:t>
      </w:r>
      <w:r w:rsidR="00A34AD8" w:rsidRPr="00A34AD8">
        <w:rPr>
          <w:b/>
          <w:bCs/>
          <w:i/>
          <w:iCs/>
        </w:rPr>
        <w:t>would have readers believe</w:t>
      </w:r>
      <w:r w:rsidR="006D0E0A">
        <w:t xml:space="preserve"> </w:t>
      </w:r>
      <w:r w:rsidR="00A86EB9" w:rsidRPr="00A34AD8">
        <w:rPr>
          <w:b/>
          <w:bCs/>
          <w:i/>
          <w:iCs/>
        </w:rPr>
        <w:t>cutting</w:t>
      </w:r>
      <w:r w:rsidR="006D0E0A" w:rsidRPr="00A34AD8">
        <w:rPr>
          <w:b/>
          <w:bCs/>
          <w:i/>
          <w:iCs/>
        </w:rPr>
        <w:t xml:space="preserve"> </w:t>
      </w:r>
      <w:r w:rsidR="00412064" w:rsidRPr="00A34AD8">
        <w:rPr>
          <w:b/>
          <w:bCs/>
          <w:i/>
          <w:iCs/>
        </w:rPr>
        <w:t xml:space="preserve">a </w:t>
      </w:r>
      <w:r w:rsidR="00A34AD8">
        <w:rPr>
          <w:b/>
          <w:bCs/>
          <w:i/>
          <w:iCs/>
        </w:rPr>
        <w:t xml:space="preserve">tax applied to </w:t>
      </w:r>
      <w:r w:rsidR="00A86EB9" w:rsidRPr="00A34AD8">
        <w:rPr>
          <w:b/>
          <w:bCs/>
          <w:i/>
          <w:iCs/>
        </w:rPr>
        <w:t>fossil fuel</w:t>
      </w:r>
      <w:r w:rsidR="00A34AD8">
        <w:rPr>
          <w:b/>
          <w:bCs/>
          <w:i/>
          <w:iCs/>
        </w:rPr>
        <w:t>s</w:t>
      </w:r>
      <w:r w:rsidR="006D0E0A" w:rsidRPr="00A34AD8">
        <w:rPr>
          <w:b/>
          <w:bCs/>
          <w:i/>
          <w:iCs/>
        </w:rPr>
        <w:t xml:space="preserve"> cause</w:t>
      </w:r>
      <w:r w:rsidR="00F805AA" w:rsidRPr="00A34AD8">
        <w:rPr>
          <w:b/>
          <w:bCs/>
          <w:i/>
          <w:iCs/>
        </w:rPr>
        <w:t>s</w:t>
      </w:r>
      <w:r w:rsidR="006D0E0A" w:rsidRPr="00A34AD8">
        <w:rPr>
          <w:b/>
          <w:bCs/>
          <w:i/>
          <w:iCs/>
        </w:rPr>
        <w:t xml:space="preserve"> fossil fuel subsidies to fall</w:t>
      </w:r>
      <w:r w:rsidR="00F805AA" w:rsidRPr="00A34AD8">
        <w:rPr>
          <w:i/>
          <w:iCs/>
        </w:rPr>
        <w:t>.</w:t>
      </w:r>
      <w:r w:rsidR="00A14DB9">
        <w:t xml:space="preserve">  </w:t>
      </w:r>
      <w:r w:rsidR="004B3D1E">
        <w:t>Under the approach, a</w:t>
      </w:r>
      <w:r w:rsidR="00405AD4">
        <w:t xml:space="preserve"> tax cut is a cut in assistance</w:t>
      </w:r>
      <w:r w:rsidR="00A34AD8">
        <w:t xml:space="preserve"> – when in </w:t>
      </w:r>
      <w:r w:rsidR="004B3D1E">
        <w:t>reality a tax cut does the opposite, increasing assistance</w:t>
      </w:r>
      <w:r w:rsidR="00405AD4">
        <w:t>.</w:t>
      </w:r>
    </w:p>
    <w:p w14:paraId="42A6386A" w14:textId="1BDE79B2" w:rsidR="00412064" w:rsidRDefault="00412064" w:rsidP="00B81580">
      <w:pPr>
        <w:pStyle w:val="Heading2"/>
      </w:pPr>
      <w:bookmarkStart w:id="6" w:name="_Toc100419381"/>
      <w:r>
        <w:lastRenderedPageBreak/>
        <w:t>3.</w:t>
      </w:r>
      <w:r>
        <w:tab/>
      </w:r>
      <w:r w:rsidR="00FB3B84">
        <w:t>B</w:t>
      </w:r>
      <w:r>
        <w:t>ig mistake</w:t>
      </w:r>
      <w:bookmarkEnd w:id="6"/>
    </w:p>
    <w:p w14:paraId="709237ED" w14:textId="4975E8CC" w:rsidR="006D0E0A" w:rsidRDefault="00A86EB9" w:rsidP="00B81580">
      <w:pPr>
        <w:spacing w:after="0"/>
      </w:pPr>
      <w:r>
        <w:t xml:space="preserve">Taking the Institute’s logic at face value, Australia could radically reduce fossil fuel subsidies by eliminating </w:t>
      </w:r>
      <w:r w:rsidR="00A14DB9">
        <w:t>the fuel excise</w:t>
      </w:r>
      <w:r>
        <w:t xml:space="preserve">.  </w:t>
      </w:r>
      <w:r w:rsidR="004B3D1E">
        <w:t>Indeed, given the excise Credit dominates – is 70 percent of – the subsidy estimate</w:t>
      </w:r>
      <w:r w:rsidR="00DA2E93">
        <w:t>, reducing the excise would seem a prime way of reducing subsidies.</w:t>
      </w:r>
      <w:r w:rsidR="004B3D1E">
        <w:t xml:space="preserve">  </w:t>
      </w:r>
      <w:r w:rsidR="00DA2E93">
        <w:t>As t</w:t>
      </w:r>
      <w:r w:rsidR="00A14DB9">
        <w:t>he effect would be to encourage the use of fossil fuels</w:t>
      </w:r>
      <w:r w:rsidR="00DA2E93">
        <w:t>, s</w:t>
      </w:r>
      <w:r>
        <w:t>uch a</w:t>
      </w:r>
      <w:r w:rsidR="0000660E">
        <w:t xml:space="preserve"> ludicrous proposition points to</w:t>
      </w:r>
      <w:r w:rsidR="006D0E0A">
        <w:t xml:space="preserve"> </w:t>
      </w:r>
      <w:r w:rsidR="0000660E">
        <w:t xml:space="preserve">fundamental </w:t>
      </w:r>
      <w:r w:rsidR="00F805AA">
        <w:t xml:space="preserve">mistakes in </w:t>
      </w:r>
      <w:r w:rsidR="0000660E">
        <w:t xml:space="preserve">the Institute’s </w:t>
      </w:r>
      <w:r>
        <w:t xml:space="preserve">approach.  </w:t>
      </w:r>
    </w:p>
    <w:p w14:paraId="6EB2E3E8" w14:textId="5FDE23CE" w:rsidR="00E238A1" w:rsidRDefault="00E238A1" w:rsidP="00B81580">
      <w:pPr>
        <w:spacing w:after="0"/>
      </w:pPr>
    </w:p>
    <w:p w14:paraId="0744AED8" w14:textId="4DACF3A2" w:rsidR="00E238A1" w:rsidRDefault="00E238A1" w:rsidP="00B81580">
      <w:pPr>
        <w:spacing w:after="0"/>
      </w:pPr>
      <w:r>
        <w:t xml:space="preserve">The Institute is not alone in </w:t>
      </w:r>
      <w:r w:rsidR="00DA2E93">
        <w:t>error</w:t>
      </w:r>
      <w:r>
        <w:t>.  A previous ABC</w:t>
      </w:r>
      <w:r w:rsidR="001D00A4">
        <w:t>-RMIT</w:t>
      </w:r>
      <w:r>
        <w:t xml:space="preserve"> ‘fact check’ offered the same mistake</w:t>
      </w:r>
      <w:r w:rsidR="001D00A4">
        <w:t>, putting the OECD and a professor from Melbourne University law school also in the frame</w:t>
      </w:r>
      <w:r>
        <w:t>.  It said:</w:t>
      </w:r>
    </w:p>
    <w:p w14:paraId="79D2B189" w14:textId="41579416" w:rsidR="00E238A1" w:rsidRPr="00E238A1" w:rsidRDefault="00E238A1" w:rsidP="00B81580">
      <w:pPr>
        <w:spacing w:after="0"/>
        <w:ind w:left="720"/>
        <w:rPr>
          <w:rFonts w:cstheme="minorHAnsi"/>
          <w:i/>
          <w:iCs/>
          <w:color w:val="000000"/>
        </w:rPr>
      </w:pPr>
      <w:r>
        <w:rPr>
          <w:rFonts w:cstheme="minorHAnsi"/>
          <w:i/>
          <w:iCs/>
          <w:color w:val="000000"/>
        </w:rPr>
        <w:t>‘</w:t>
      </w:r>
      <w:r w:rsidRPr="00E238A1">
        <w:rPr>
          <w:rFonts w:cstheme="minorHAnsi"/>
          <w:i/>
          <w:iCs/>
          <w:color w:val="000000"/>
        </w:rPr>
        <w:t>The Minerals Council, an industry body,</w:t>
      </w:r>
      <w:r>
        <w:rPr>
          <w:rFonts w:cstheme="minorHAnsi"/>
          <w:i/>
          <w:iCs/>
          <w:color w:val="000000"/>
        </w:rPr>
        <w:t xml:space="preserve"> has also argued</w:t>
      </w:r>
      <w:r w:rsidRPr="00E238A1">
        <w:rPr>
          <w:rFonts w:cstheme="minorHAnsi"/>
          <w:i/>
          <w:iCs/>
          <w:color w:val="000000"/>
        </w:rPr>
        <w:t> that the credit should not be counted as subsidy.</w:t>
      </w:r>
    </w:p>
    <w:p w14:paraId="22F1BB59" w14:textId="77777777" w:rsidR="00E238A1" w:rsidRPr="00E238A1" w:rsidRDefault="00E238A1" w:rsidP="00B81580">
      <w:pPr>
        <w:spacing w:after="0"/>
        <w:ind w:left="720"/>
        <w:rPr>
          <w:rFonts w:cstheme="minorHAnsi"/>
          <w:i/>
          <w:iCs/>
          <w:color w:val="000000"/>
        </w:rPr>
      </w:pPr>
      <w:r w:rsidRPr="00E238A1">
        <w:rPr>
          <w:rFonts w:cstheme="minorHAnsi"/>
          <w:i/>
          <w:iCs/>
          <w:color w:val="000000"/>
        </w:rPr>
        <w:t>This argument assumes that fuel excise represents a genuine "hypothecated" tax that should not be borne by non-road users, rather than a broader revenue raising tax imposed by the Federal Government.</w:t>
      </w:r>
    </w:p>
    <w:p w14:paraId="2ED73102" w14:textId="22B8EBB7" w:rsidR="00E238A1" w:rsidRPr="00E238A1" w:rsidRDefault="00E238A1" w:rsidP="00B81580">
      <w:pPr>
        <w:spacing w:after="0"/>
        <w:ind w:left="720"/>
        <w:rPr>
          <w:rFonts w:cstheme="minorHAnsi"/>
          <w:i/>
          <w:iCs/>
          <w:color w:val="000000"/>
        </w:rPr>
      </w:pPr>
      <w:r w:rsidRPr="00E238A1">
        <w:rPr>
          <w:rFonts w:cstheme="minorHAnsi"/>
          <w:i/>
          <w:iCs/>
          <w:color w:val="000000"/>
        </w:rPr>
        <w:t>The OECD's</w:t>
      </w:r>
      <w:r>
        <w:rPr>
          <w:rFonts w:cstheme="minorHAnsi"/>
          <w:i/>
          <w:iCs/>
          <w:color w:val="000000"/>
        </w:rPr>
        <w:t xml:space="preserve"> inventory of support for fossil fuels,</w:t>
      </w:r>
      <w:r w:rsidRPr="00E238A1">
        <w:rPr>
          <w:rFonts w:cstheme="minorHAnsi"/>
          <w:i/>
          <w:iCs/>
          <w:color w:val="000000"/>
        </w:rPr>
        <w:t xml:space="preserve"> however, treats </w:t>
      </w:r>
      <w:r>
        <w:rPr>
          <w:rFonts w:cstheme="minorHAnsi"/>
          <w:i/>
          <w:iCs/>
          <w:color w:val="000000"/>
        </w:rPr>
        <w:t>Australian fuel tax credits</w:t>
      </w:r>
      <w:r w:rsidRPr="00E238A1">
        <w:rPr>
          <w:rFonts w:cstheme="minorHAnsi"/>
          <w:i/>
          <w:iCs/>
          <w:color w:val="000000"/>
        </w:rPr>
        <w:t> as a subsidy</w:t>
      </w:r>
      <w:r w:rsidR="00AA4A8F">
        <w:rPr>
          <w:rFonts w:cstheme="minorHAnsi"/>
          <w:i/>
          <w:iCs/>
          <w:color w:val="000000"/>
        </w:rPr>
        <w:t>……</w:t>
      </w:r>
      <w:r w:rsidRPr="00E238A1">
        <w:rPr>
          <w:rFonts w:cstheme="minorHAnsi"/>
          <w:i/>
          <w:iCs/>
          <w:color w:val="000000"/>
        </w:rPr>
        <w:t xml:space="preserve">It notes, "the mining sector is a prime beneficiary" of these credits, </w:t>
      </w:r>
    </w:p>
    <w:p w14:paraId="0DBA71B5" w14:textId="2F24D56D" w:rsidR="006D5ED3" w:rsidRDefault="00E238A1" w:rsidP="00B81580">
      <w:pPr>
        <w:spacing w:after="0"/>
        <w:ind w:left="720"/>
      </w:pPr>
      <w:r w:rsidRPr="00E238A1">
        <w:rPr>
          <w:rFonts w:cstheme="minorHAnsi"/>
          <w:i/>
          <w:iCs/>
          <w:color w:val="000000"/>
        </w:rPr>
        <w:t>Miranda Stewart, Director of the Tax Group at Melbourne University Law School, said in her view the fuel tax credit represented a subsidy</w:t>
      </w:r>
      <w:r w:rsidR="00AA4A8F">
        <w:rPr>
          <w:rFonts w:cstheme="minorHAnsi"/>
          <w:i/>
          <w:iCs/>
          <w:color w:val="000000"/>
        </w:rPr>
        <w:t>…..</w:t>
      </w:r>
      <w:r w:rsidR="00F82379">
        <w:rPr>
          <w:rFonts w:cstheme="minorHAnsi"/>
          <w:i/>
          <w:iCs/>
          <w:color w:val="000000"/>
        </w:rPr>
        <w:t>’</w:t>
      </w:r>
      <w:r w:rsidRPr="00E238A1">
        <w:rPr>
          <w:rStyle w:val="FootnoteReference"/>
          <w:rFonts w:cstheme="minorHAnsi"/>
          <w:i/>
          <w:iCs/>
          <w:color w:val="000000"/>
        </w:rPr>
        <w:footnoteReference w:id="4"/>
      </w:r>
    </w:p>
    <w:p w14:paraId="1D79004E" w14:textId="31EF05C3" w:rsidR="006D5ED3" w:rsidRDefault="006D5ED3" w:rsidP="00B81580">
      <w:pPr>
        <w:pStyle w:val="Heading2"/>
        <w:spacing w:before="0"/>
      </w:pPr>
    </w:p>
    <w:p w14:paraId="5B9B6648" w14:textId="689F3166" w:rsidR="00F805AA" w:rsidRDefault="00F805AA" w:rsidP="00B81580">
      <w:pPr>
        <w:spacing w:after="0"/>
      </w:pPr>
      <w:r>
        <w:t xml:space="preserve">The most obvious mistake </w:t>
      </w:r>
      <w:r w:rsidRPr="00A34AD8">
        <w:t xml:space="preserve">is </w:t>
      </w:r>
      <w:r w:rsidR="006D5ED3" w:rsidRPr="00A34AD8">
        <w:t>a</w:t>
      </w:r>
      <w:r w:rsidRPr="00A34AD8">
        <w:t>rithmetically treat</w:t>
      </w:r>
      <w:r w:rsidR="006D5ED3" w:rsidRPr="00A34AD8">
        <w:t>ing</w:t>
      </w:r>
      <w:r>
        <w:t xml:space="preserve"> tax </w:t>
      </w:r>
      <w:r w:rsidR="006D5ED3">
        <w:t>concessions</w:t>
      </w:r>
      <w:r>
        <w:t xml:space="preserve"> as subsid</w:t>
      </w:r>
      <w:r w:rsidR="006D5ED3">
        <w:t>ies</w:t>
      </w:r>
      <w:r w:rsidR="00AA4A8F">
        <w:t>, while ignoring the taxes against which the concession is granted</w:t>
      </w:r>
      <w:r>
        <w:t xml:space="preserve">.  This error gives rise to the above perverse </w:t>
      </w:r>
      <w:r w:rsidR="006D5ED3">
        <w:t>i</w:t>
      </w:r>
      <w:r w:rsidR="00472683">
        <w:t>nference</w:t>
      </w:r>
      <w:r>
        <w:t>.</w:t>
      </w:r>
      <w:r>
        <w:rPr>
          <w:rStyle w:val="FootnoteReference"/>
        </w:rPr>
        <w:footnoteReference w:id="5"/>
      </w:r>
    </w:p>
    <w:p w14:paraId="584EDDA7" w14:textId="77777777" w:rsidR="00227B75" w:rsidRDefault="00227B75" w:rsidP="00B81580">
      <w:pPr>
        <w:spacing w:after="0"/>
      </w:pPr>
    </w:p>
    <w:p w14:paraId="4E6431AE" w14:textId="0AFA3704" w:rsidR="00C8744C" w:rsidRDefault="00A53928" w:rsidP="00B81580">
      <w:pPr>
        <w:spacing w:after="0"/>
      </w:pPr>
      <w:r>
        <w:t xml:space="preserve">Far from the Commonwealth subsidising fossil fuels through excise exemptions, </w:t>
      </w:r>
      <w:r w:rsidR="00842E16">
        <w:t>the excise</w:t>
      </w:r>
      <w:r>
        <w:t xml:space="preserve"> taxes fossil fuels such that after </w:t>
      </w:r>
      <w:r w:rsidR="00C8744C">
        <w:t xml:space="preserve">the </w:t>
      </w:r>
      <w:r w:rsidR="00495987">
        <w:t>Credits</w:t>
      </w:r>
      <w:r w:rsidR="00251F9A">
        <w:t xml:space="preserve"> – and </w:t>
      </w:r>
      <w:r w:rsidR="00847B18">
        <w:t xml:space="preserve">even after </w:t>
      </w:r>
      <w:r w:rsidR="00251F9A">
        <w:t xml:space="preserve">the </w:t>
      </w:r>
      <w:r w:rsidR="00DA2E93">
        <w:t xml:space="preserve">recently announced </w:t>
      </w:r>
      <w:r w:rsidR="00251F9A">
        <w:t xml:space="preserve">cut in the excise rate - </w:t>
      </w:r>
      <w:r w:rsidR="00842E16">
        <w:t>it</w:t>
      </w:r>
      <w:r w:rsidR="00251F9A">
        <w:t xml:space="preserve"> is expected to </w:t>
      </w:r>
      <w:r>
        <w:t>raise in the order of $</w:t>
      </w:r>
      <w:r w:rsidR="00C8744C">
        <w:t>11.3</w:t>
      </w:r>
      <w:r>
        <w:t>billion in 2021-22</w:t>
      </w:r>
      <w:r w:rsidR="00C8744C">
        <w:t>.  This is shown in Table 1</w:t>
      </w:r>
      <w:r w:rsidR="00710DA3">
        <w:t xml:space="preserve"> – which also shows the association between the reductions in gross excise and Credits</w:t>
      </w:r>
      <w:r w:rsidR="00C8744C">
        <w:t>.</w:t>
      </w:r>
    </w:p>
    <w:p w14:paraId="541AB62E" w14:textId="77777777" w:rsidR="00847B18" w:rsidRDefault="00847B18" w:rsidP="00B81580">
      <w:pPr>
        <w:spacing w:after="0"/>
        <w:rPr>
          <w:b/>
          <w:bCs/>
        </w:rPr>
      </w:pPr>
    </w:p>
    <w:p w14:paraId="3B11E785" w14:textId="4A3613A4" w:rsidR="00C8744C" w:rsidRPr="00BF1AF8" w:rsidRDefault="00C8744C" w:rsidP="00B81580">
      <w:pPr>
        <w:spacing w:after="0"/>
        <w:rPr>
          <w:b/>
          <w:bCs/>
        </w:rPr>
      </w:pPr>
      <w:r w:rsidRPr="00BF1AF8">
        <w:rPr>
          <w:b/>
          <w:bCs/>
        </w:rPr>
        <w:t>Table 1: Budget estimates for 2021-22 (a)</w:t>
      </w:r>
    </w:p>
    <w:tbl>
      <w:tblPr>
        <w:tblStyle w:val="TableGrid"/>
        <w:tblW w:w="0" w:type="auto"/>
        <w:tblLook w:val="04A0" w:firstRow="1" w:lastRow="0" w:firstColumn="1" w:lastColumn="0" w:noHBand="0" w:noVBand="1"/>
      </w:tblPr>
      <w:tblGrid>
        <w:gridCol w:w="2830"/>
        <w:gridCol w:w="1985"/>
        <w:gridCol w:w="2126"/>
        <w:gridCol w:w="2075"/>
      </w:tblGrid>
      <w:tr w:rsidR="00C8744C" w14:paraId="0460134F" w14:textId="77777777" w:rsidTr="00B81580">
        <w:tc>
          <w:tcPr>
            <w:tcW w:w="2830" w:type="dxa"/>
          </w:tcPr>
          <w:p w14:paraId="38EBA5BE" w14:textId="77777777" w:rsidR="00C8744C" w:rsidRPr="00B81580" w:rsidRDefault="00C8744C" w:rsidP="00B81580">
            <w:pPr>
              <w:rPr>
                <w:sz w:val="20"/>
                <w:szCs w:val="20"/>
              </w:rPr>
            </w:pPr>
          </w:p>
        </w:tc>
        <w:tc>
          <w:tcPr>
            <w:tcW w:w="1985" w:type="dxa"/>
          </w:tcPr>
          <w:p w14:paraId="43424E5A" w14:textId="77777777" w:rsidR="00C8744C" w:rsidRPr="00DA2E93" w:rsidRDefault="00C8744C" w:rsidP="00B81580">
            <w:pPr>
              <w:rPr>
                <w:b/>
                <w:bCs/>
                <w:sz w:val="18"/>
                <w:szCs w:val="18"/>
              </w:rPr>
            </w:pPr>
            <w:r w:rsidRPr="00DA2E93">
              <w:rPr>
                <w:b/>
                <w:bCs/>
                <w:sz w:val="18"/>
                <w:szCs w:val="18"/>
              </w:rPr>
              <w:t>Fuel excise gross $m</w:t>
            </w:r>
          </w:p>
        </w:tc>
        <w:tc>
          <w:tcPr>
            <w:tcW w:w="2126" w:type="dxa"/>
          </w:tcPr>
          <w:p w14:paraId="61C4B4DA" w14:textId="2691166F" w:rsidR="00C8744C" w:rsidRPr="00DA2E93" w:rsidRDefault="00C8744C" w:rsidP="00B81580">
            <w:pPr>
              <w:rPr>
                <w:b/>
                <w:bCs/>
                <w:sz w:val="18"/>
                <w:szCs w:val="18"/>
              </w:rPr>
            </w:pPr>
            <w:r w:rsidRPr="00DA2E93">
              <w:rPr>
                <w:b/>
                <w:bCs/>
                <w:sz w:val="18"/>
                <w:szCs w:val="18"/>
              </w:rPr>
              <w:t>Fuel excise Credit $m</w:t>
            </w:r>
          </w:p>
        </w:tc>
        <w:tc>
          <w:tcPr>
            <w:tcW w:w="2075" w:type="dxa"/>
          </w:tcPr>
          <w:p w14:paraId="525AE716" w14:textId="77777777" w:rsidR="00C8744C" w:rsidRPr="00DA2E93" w:rsidRDefault="00C8744C" w:rsidP="00B81580">
            <w:pPr>
              <w:rPr>
                <w:b/>
                <w:bCs/>
                <w:sz w:val="18"/>
                <w:szCs w:val="18"/>
              </w:rPr>
            </w:pPr>
            <w:r w:rsidRPr="00DA2E93">
              <w:rPr>
                <w:b/>
                <w:bCs/>
                <w:sz w:val="18"/>
                <w:szCs w:val="18"/>
              </w:rPr>
              <w:t>Fuel excise net $m</w:t>
            </w:r>
          </w:p>
        </w:tc>
      </w:tr>
      <w:tr w:rsidR="00C8744C" w14:paraId="2E2969E4" w14:textId="77777777" w:rsidTr="00B81580">
        <w:tc>
          <w:tcPr>
            <w:tcW w:w="2830" w:type="dxa"/>
          </w:tcPr>
          <w:p w14:paraId="74D168C8" w14:textId="189FF443" w:rsidR="00C8744C" w:rsidRPr="00DA2E93" w:rsidRDefault="00C8744C" w:rsidP="00B81580">
            <w:pPr>
              <w:rPr>
                <w:sz w:val="18"/>
                <w:szCs w:val="18"/>
              </w:rPr>
            </w:pPr>
            <w:r w:rsidRPr="00DA2E93">
              <w:rPr>
                <w:sz w:val="18"/>
                <w:szCs w:val="18"/>
              </w:rPr>
              <w:t>Estimate in 2021-22 Budget (</w:t>
            </w:r>
            <w:r w:rsidR="00495987" w:rsidRPr="00DA2E93">
              <w:rPr>
                <w:sz w:val="18"/>
                <w:szCs w:val="18"/>
              </w:rPr>
              <w:t>1</w:t>
            </w:r>
            <w:r w:rsidRPr="00DA2E93">
              <w:rPr>
                <w:sz w:val="18"/>
                <w:szCs w:val="18"/>
              </w:rPr>
              <w:t>)</w:t>
            </w:r>
          </w:p>
        </w:tc>
        <w:tc>
          <w:tcPr>
            <w:tcW w:w="1985" w:type="dxa"/>
          </w:tcPr>
          <w:p w14:paraId="20ADAB82" w14:textId="77777777" w:rsidR="00C8744C" w:rsidRPr="00DA2E93" w:rsidRDefault="00C8744C" w:rsidP="00B81580">
            <w:pPr>
              <w:rPr>
                <w:sz w:val="18"/>
                <w:szCs w:val="18"/>
              </w:rPr>
            </w:pPr>
            <w:r w:rsidRPr="00DA2E93">
              <w:rPr>
                <w:sz w:val="18"/>
                <w:szCs w:val="18"/>
              </w:rPr>
              <w:t>19,170</w:t>
            </w:r>
          </w:p>
        </w:tc>
        <w:tc>
          <w:tcPr>
            <w:tcW w:w="2126" w:type="dxa"/>
          </w:tcPr>
          <w:p w14:paraId="41994E9A" w14:textId="77777777" w:rsidR="00C8744C" w:rsidRPr="00DA2E93" w:rsidRDefault="00C8744C" w:rsidP="00B81580">
            <w:pPr>
              <w:rPr>
                <w:sz w:val="18"/>
                <w:szCs w:val="18"/>
              </w:rPr>
            </w:pPr>
            <w:r w:rsidRPr="00DA2E93">
              <w:rPr>
                <w:sz w:val="18"/>
                <w:szCs w:val="18"/>
              </w:rPr>
              <w:t>8,072</w:t>
            </w:r>
          </w:p>
        </w:tc>
        <w:tc>
          <w:tcPr>
            <w:tcW w:w="2075" w:type="dxa"/>
          </w:tcPr>
          <w:p w14:paraId="31694283" w14:textId="77777777" w:rsidR="00C8744C" w:rsidRPr="00DA2E93" w:rsidRDefault="00C8744C" w:rsidP="00B81580">
            <w:pPr>
              <w:rPr>
                <w:sz w:val="18"/>
                <w:szCs w:val="18"/>
              </w:rPr>
            </w:pPr>
            <w:r w:rsidRPr="00DA2E93">
              <w:rPr>
                <w:sz w:val="18"/>
                <w:szCs w:val="18"/>
              </w:rPr>
              <w:t>11,098</w:t>
            </w:r>
          </w:p>
        </w:tc>
      </w:tr>
      <w:tr w:rsidR="00C8744C" w14:paraId="3D3A3440" w14:textId="77777777" w:rsidTr="00B81580">
        <w:tc>
          <w:tcPr>
            <w:tcW w:w="2830" w:type="dxa"/>
          </w:tcPr>
          <w:p w14:paraId="05D0228E" w14:textId="4FA9AD62" w:rsidR="00C8744C" w:rsidRPr="00DA2E93" w:rsidRDefault="00C8744C" w:rsidP="00B81580">
            <w:pPr>
              <w:rPr>
                <w:sz w:val="18"/>
                <w:szCs w:val="18"/>
              </w:rPr>
            </w:pPr>
            <w:r w:rsidRPr="00DA2E93">
              <w:rPr>
                <w:sz w:val="18"/>
                <w:szCs w:val="18"/>
              </w:rPr>
              <w:t>Estimate in mid-year review (</w:t>
            </w:r>
            <w:r w:rsidR="00495987" w:rsidRPr="00DA2E93">
              <w:rPr>
                <w:sz w:val="18"/>
                <w:szCs w:val="18"/>
              </w:rPr>
              <w:t>2</w:t>
            </w:r>
            <w:r w:rsidRPr="00DA2E93">
              <w:rPr>
                <w:sz w:val="18"/>
                <w:szCs w:val="18"/>
              </w:rPr>
              <w:t>)</w:t>
            </w:r>
          </w:p>
        </w:tc>
        <w:tc>
          <w:tcPr>
            <w:tcW w:w="1985" w:type="dxa"/>
          </w:tcPr>
          <w:p w14:paraId="1CCA4315" w14:textId="77777777" w:rsidR="00C8744C" w:rsidRPr="00DA2E93" w:rsidRDefault="00C8744C" w:rsidP="00B81580">
            <w:pPr>
              <w:rPr>
                <w:sz w:val="18"/>
                <w:szCs w:val="18"/>
              </w:rPr>
            </w:pPr>
            <w:r w:rsidRPr="00DA2E93">
              <w:rPr>
                <w:sz w:val="18"/>
                <w:szCs w:val="18"/>
              </w:rPr>
              <w:t>20,870</w:t>
            </w:r>
          </w:p>
        </w:tc>
        <w:tc>
          <w:tcPr>
            <w:tcW w:w="2126" w:type="dxa"/>
          </w:tcPr>
          <w:p w14:paraId="167C3787" w14:textId="1F3D89C6" w:rsidR="00C8744C" w:rsidRPr="00DA2E93" w:rsidRDefault="00C8744C" w:rsidP="00B81580">
            <w:pPr>
              <w:rPr>
                <w:sz w:val="18"/>
                <w:szCs w:val="18"/>
              </w:rPr>
            </w:pPr>
            <w:r w:rsidRPr="00DA2E93">
              <w:rPr>
                <w:sz w:val="18"/>
                <w:szCs w:val="18"/>
              </w:rPr>
              <w:t>Na</w:t>
            </w:r>
          </w:p>
        </w:tc>
        <w:tc>
          <w:tcPr>
            <w:tcW w:w="2075" w:type="dxa"/>
          </w:tcPr>
          <w:p w14:paraId="366AE0AE" w14:textId="0069EF5D" w:rsidR="00C8744C" w:rsidRPr="00DA2E93" w:rsidRDefault="00C8744C" w:rsidP="00B81580">
            <w:pPr>
              <w:rPr>
                <w:sz w:val="18"/>
                <w:szCs w:val="18"/>
              </w:rPr>
            </w:pPr>
            <w:r w:rsidRPr="00DA2E93">
              <w:rPr>
                <w:sz w:val="18"/>
                <w:szCs w:val="18"/>
              </w:rPr>
              <w:t>Na</w:t>
            </w:r>
          </w:p>
        </w:tc>
      </w:tr>
      <w:tr w:rsidR="00C8744C" w14:paraId="491527F0" w14:textId="77777777" w:rsidTr="00B81580">
        <w:tc>
          <w:tcPr>
            <w:tcW w:w="2830" w:type="dxa"/>
          </w:tcPr>
          <w:p w14:paraId="7CF34833" w14:textId="59EB7E84" w:rsidR="00C8744C" w:rsidRPr="00DA2E93" w:rsidRDefault="00C8744C" w:rsidP="00B81580">
            <w:pPr>
              <w:rPr>
                <w:sz w:val="18"/>
                <w:szCs w:val="18"/>
              </w:rPr>
            </w:pPr>
            <w:r w:rsidRPr="00DA2E93">
              <w:rPr>
                <w:sz w:val="18"/>
                <w:szCs w:val="18"/>
              </w:rPr>
              <w:t>Estimate in 2022-23 Budget (</w:t>
            </w:r>
            <w:r w:rsidR="00495987" w:rsidRPr="00DA2E93">
              <w:rPr>
                <w:sz w:val="18"/>
                <w:szCs w:val="18"/>
              </w:rPr>
              <w:t>3</w:t>
            </w:r>
            <w:r w:rsidRPr="00DA2E93">
              <w:rPr>
                <w:sz w:val="18"/>
                <w:szCs w:val="18"/>
              </w:rPr>
              <w:t>)</w:t>
            </w:r>
          </w:p>
        </w:tc>
        <w:tc>
          <w:tcPr>
            <w:tcW w:w="1985" w:type="dxa"/>
          </w:tcPr>
          <w:p w14:paraId="1C25BB46" w14:textId="77777777" w:rsidR="00C8744C" w:rsidRPr="00DA2E93" w:rsidRDefault="00C8744C" w:rsidP="00B81580">
            <w:pPr>
              <w:rPr>
                <w:sz w:val="18"/>
                <w:szCs w:val="18"/>
              </w:rPr>
            </w:pPr>
            <w:r w:rsidRPr="00DA2E93">
              <w:rPr>
                <w:sz w:val="18"/>
                <w:szCs w:val="18"/>
              </w:rPr>
              <w:t>18,180</w:t>
            </w:r>
          </w:p>
        </w:tc>
        <w:tc>
          <w:tcPr>
            <w:tcW w:w="2126" w:type="dxa"/>
          </w:tcPr>
          <w:p w14:paraId="6E8E31E3" w14:textId="77777777" w:rsidR="00C8744C" w:rsidRPr="00DA2E93" w:rsidRDefault="00C8744C" w:rsidP="00B81580">
            <w:pPr>
              <w:rPr>
                <w:sz w:val="18"/>
                <w:szCs w:val="18"/>
              </w:rPr>
            </w:pPr>
            <w:r w:rsidRPr="00DA2E93">
              <w:rPr>
                <w:sz w:val="18"/>
                <w:szCs w:val="18"/>
              </w:rPr>
              <w:t>6,894</w:t>
            </w:r>
          </w:p>
        </w:tc>
        <w:tc>
          <w:tcPr>
            <w:tcW w:w="2075" w:type="dxa"/>
          </w:tcPr>
          <w:p w14:paraId="601CB9EA" w14:textId="77777777" w:rsidR="00C8744C" w:rsidRPr="00DA2E93" w:rsidRDefault="00C8744C" w:rsidP="00B81580">
            <w:pPr>
              <w:rPr>
                <w:sz w:val="18"/>
                <w:szCs w:val="18"/>
              </w:rPr>
            </w:pPr>
            <w:r w:rsidRPr="00DA2E93">
              <w:rPr>
                <w:sz w:val="18"/>
                <w:szCs w:val="18"/>
              </w:rPr>
              <w:t>11,286</w:t>
            </w:r>
          </w:p>
        </w:tc>
      </w:tr>
      <w:tr w:rsidR="00C8744C" w14:paraId="52F006CB" w14:textId="77777777" w:rsidTr="00B81580">
        <w:tc>
          <w:tcPr>
            <w:tcW w:w="2830" w:type="dxa"/>
          </w:tcPr>
          <w:p w14:paraId="4BAA0B89" w14:textId="77777777" w:rsidR="00C8744C" w:rsidRPr="00DA2E93" w:rsidRDefault="00C8744C" w:rsidP="00B81580">
            <w:pPr>
              <w:rPr>
                <w:sz w:val="18"/>
                <w:szCs w:val="18"/>
              </w:rPr>
            </w:pPr>
            <w:r w:rsidRPr="00DA2E93">
              <w:rPr>
                <w:sz w:val="18"/>
                <w:szCs w:val="18"/>
              </w:rPr>
              <w:t xml:space="preserve">Change from previous </w:t>
            </w:r>
          </w:p>
        </w:tc>
        <w:tc>
          <w:tcPr>
            <w:tcW w:w="1985" w:type="dxa"/>
          </w:tcPr>
          <w:p w14:paraId="55896F72" w14:textId="77777777" w:rsidR="00C8744C" w:rsidRPr="00DA2E93" w:rsidRDefault="00C8744C" w:rsidP="00B81580">
            <w:pPr>
              <w:rPr>
                <w:sz w:val="18"/>
                <w:szCs w:val="18"/>
              </w:rPr>
            </w:pPr>
            <w:r w:rsidRPr="00DA2E93">
              <w:rPr>
                <w:sz w:val="18"/>
                <w:szCs w:val="18"/>
              </w:rPr>
              <w:t>-2,690</w:t>
            </w:r>
          </w:p>
        </w:tc>
        <w:tc>
          <w:tcPr>
            <w:tcW w:w="2126" w:type="dxa"/>
          </w:tcPr>
          <w:p w14:paraId="148538BD" w14:textId="77777777" w:rsidR="00C8744C" w:rsidRPr="00DA2E93" w:rsidRDefault="00C8744C" w:rsidP="00B81580">
            <w:pPr>
              <w:rPr>
                <w:sz w:val="18"/>
                <w:szCs w:val="18"/>
              </w:rPr>
            </w:pPr>
            <w:r w:rsidRPr="00DA2E93">
              <w:rPr>
                <w:sz w:val="18"/>
                <w:szCs w:val="18"/>
              </w:rPr>
              <w:t>-1,178</w:t>
            </w:r>
          </w:p>
        </w:tc>
        <w:tc>
          <w:tcPr>
            <w:tcW w:w="2075" w:type="dxa"/>
          </w:tcPr>
          <w:p w14:paraId="55DE79B5" w14:textId="77777777" w:rsidR="00C8744C" w:rsidRPr="00DA2E93" w:rsidRDefault="00C8744C" w:rsidP="00B81580">
            <w:pPr>
              <w:rPr>
                <w:sz w:val="18"/>
                <w:szCs w:val="18"/>
              </w:rPr>
            </w:pPr>
            <w:r w:rsidRPr="00DA2E93">
              <w:rPr>
                <w:sz w:val="18"/>
                <w:szCs w:val="18"/>
              </w:rPr>
              <w:t>288</w:t>
            </w:r>
          </w:p>
        </w:tc>
      </w:tr>
    </w:tbl>
    <w:p w14:paraId="5D41851E" w14:textId="77777777" w:rsidR="00C8744C" w:rsidRPr="002916BA" w:rsidRDefault="00C8744C" w:rsidP="00B81580">
      <w:pPr>
        <w:pStyle w:val="ListParagraph"/>
        <w:numPr>
          <w:ilvl w:val="0"/>
          <w:numId w:val="2"/>
        </w:numPr>
        <w:spacing w:after="0"/>
        <w:ind w:left="737"/>
        <w:rPr>
          <w:sz w:val="16"/>
          <w:szCs w:val="16"/>
        </w:rPr>
      </w:pPr>
      <w:r w:rsidRPr="002916BA">
        <w:rPr>
          <w:sz w:val="16"/>
          <w:szCs w:val="16"/>
        </w:rPr>
        <w:t>Cash: petrol, diesel and other fuel excise.</w:t>
      </w:r>
    </w:p>
    <w:p w14:paraId="359CB4E7" w14:textId="77777777" w:rsidR="00C8744C" w:rsidRPr="002916BA" w:rsidRDefault="00C8744C" w:rsidP="00B81580">
      <w:pPr>
        <w:pStyle w:val="ListParagraph"/>
        <w:numPr>
          <w:ilvl w:val="0"/>
          <w:numId w:val="2"/>
        </w:numPr>
        <w:spacing w:after="0"/>
        <w:ind w:left="737"/>
        <w:rPr>
          <w:sz w:val="16"/>
          <w:szCs w:val="16"/>
        </w:rPr>
      </w:pPr>
      <w:r w:rsidRPr="002916BA">
        <w:rPr>
          <w:sz w:val="16"/>
          <w:szCs w:val="16"/>
        </w:rPr>
        <w:t>2021-22 Budget paper 1, Statement</w:t>
      </w:r>
      <w:r>
        <w:rPr>
          <w:sz w:val="16"/>
          <w:szCs w:val="16"/>
        </w:rPr>
        <w:t>s</w:t>
      </w:r>
      <w:r w:rsidRPr="002916BA">
        <w:rPr>
          <w:sz w:val="16"/>
          <w:szCs w:val="16"/>
        </w:rPr>
        <w:t xml:space="preserve"> 5</w:t>
      </w:r>
      <w:r>
        <w:rPr>
          <w:sz w:val="16"/>
          <w:szCs w:val="16"/>
        </w:rPr>
        <w:t>, 7</w:t>
      </w:r>
      <w:r w:rsidRPr="002916BA">
        <w:rPr>
          <w:sz w:val="16"/>
          <w:szCs w:val="16"/>
        </w:rPr>
        <w:t>.</w:t>
      </w:r>
    </w:p>
    <w:p w14:paraId="57D4D610" w14:textId="7B10671F" w:rsidR="00C8744C" w:rsidRDefault="00C8744C" w:rsidP="00B81580">
      <w:pPr>
        <w:pStyle w:val="ListParagraph"/>
        <w:numPr>
          <w:ilvl w:val="0"/>
          <w:numId w:val="2"/>
        </w:numPr>
        <w:spacing w:after="0"/>
        <w:ind w:left="737"/>
        <w:rPr>
          <w:sz w:val="16"/>
          <w:szCs w:val="16"/>
        </w:rPr>
      </w:pPr>
      <w:r w:rsidRPr="002916BA">
        <w:rPr>
          <w:sz w:val="16"/>
          <w:szCs w:val="16"/>
        </w:rPr>
        <w:t>2022-23 Budget paper 1, Statement</w:t>
      </w:r>
      <w:r>
        <w:rPr>
          <w:sz w:val="16"/>
          <w:szCs w:val="16"/>
        </w:rPr>
        <w:t>s</w:t>
      </w:r>
      <w:r w:rsidRPr="002916BA">
        <w:rPr>
          <w:sz w:val="16"/>
          <w:szCs w:val="16"/>
        </w:rPr>
        <w:t xml:space="preserve"> 4</w:t>
      </w:r>
      <w:r>
        <w:rPr>
          <w:sz w:val="16"/>
          <w:szCs w:val="16"/>
        </w:rPr>
        <w:t>, 5</w:t>
      </w:r>
      <w:r w:rsidRPr="002916BA">
        <w:rPr>
          <w:sz w:val="16"/>
          <w:szCs w:val="16"/>
        </w:rPr>
        <w:t>.</w:t>
      </w:r>
    </w:p>
    <w:p w14:paraId="3F511423" w14:textId="77777777" w:rsidR="00C8744C" w:rsidRPr="00C8744C" w:rsidRDefault="00C8744C" w:rsidP="00B81580">
      <w:pPr>
        <w:spacing w:after="0"/>
        <w:ind w:left="737"/>
        <w:rPr>
          <w:sz w:val="16"/>
          <w:szCs w:val="16"/>
        </w:rPr>
      </w:pPr>
    </w:p>
    <w:p w14:paraId="227037F7" w14:textId="10BDA13A" w:rsidR="00C8744C" w:rsidRPr="006336D8" w:rsidRDefault="00C8744C" w:rsidP="00B81580">
      <w:pPr>
        <w:spacing w:after="0"/>
        <w:rPr>
          <w:rFonts w:cstheme="minorHAnsi"/>
        </w:rPr>
      </w:pPr>
      <w:r>
        <w:lastRenderedPageBreak/>
        <w:t xml:space="preserve">Table 1 indicates the reason for the </w:t>
      </w:r>
      <w:r w:rsidR="00710DA3">
        <w:t>fall</w:t>
      </w:r>
      <w:r>
        <w:t xml:space="preserve"> in the Credit is the larger </w:t>
      </w:r>
      <w:r w:rsidR="00710DA3">
        <w:t>fall</w:t>
      </w:r>
      <w:r>
        <w:t xml:space="preserve"> in gross fuel excise receipts.  Simply: there is less to hand back.  The effect is less than what might be expected </w:t>
      </w:r>
      <w:r w:rsidR="00710DA3">
        <w:t>from</w:t>
      </w:r>
      <w:r>
        <w:t xml:space="preserve"> a halving of the excise rate because </w:t>
      </w:r>
      <w:r w:rsidR="00847B18">
        <w:t>the reduction takes effect</w:t>
      </w:r>
      <w:r>
        <w:t xml:space="preserve"> only from March 30 2022</w:t>
      </w:r>
      <w:r w:rsidR="00847B18">
        <w:t xml:space="preserve"> - </w:t>
      </w:r>
      <w:r w:rsidR="00710DA3">
        <w:t>only</w:t>
      </w:r>
      <w:r w:rsidR="00251F9A">
        <w:t xml:space="preserve"> f</w:t>
      </w:r>
      <w:r>
        <w:t>or the last quarter of 2021-22.</w:t>
      </w:r>
      <w:r w:rsidR="00847B18">
        <w:t xml:space="preserve">  </w:t>
      </w:r>
    </w:p>
    <w:p w14:paraId="55DEF720" w14:textId="65BB6449" w:rsidR="00B8587A" w:rsidRPr="006336D8" w:rsidRDefault="00B8587A" w:rsidP="00B81580">
      <w:pPr>
        <w:spacing w:after="0"/>
        <w:rPr>
          <w:rFonts w:cstheme="minorHAnsi"/>
        </w:rPr>
      </w:pPr>
    </w:p>
    <w:p w14:paraId="3842B6BD" w14:textId="623F8499" w:rsidR="006336D8" w:rsidRPr="006336D8" w:rsidRDefault="00B8587A" w:rsidP="00D16495">
      <w:pPr>
        <w:pStyle w:val="NormalWeb"/>
        <w:spacing w:before="0" w:beforeAutospacing="0" w:after="0" w:afterAutospacing="0"/>
        <w:rPr>
          <w:rFonts w:asciiTheme="minorHAnsi" w:hAnsiTheme="minorHAnsi" w:cstheme="minorHAnsi"/>
          <w:color w:val="000000"/>
          <w:sz w:val="22"/>
          <w:szCs w:val="22"/>
        </w:rPr>
      </w:pPr>
      <w:r w:rsidRPr="006336D8">
        <w:rPr>
          <w:rFonts w:asciiTheme="minorHAnsi" w:hAnsiTheme="minorHAnsi" w:cstheme="minorHAnsi"/>
          <w:sz w:val="22"/>
          <w:szCs w:val="22"/>
        </w:rPr>
        <w:t xml:space="preserve">Treasury and the Productivity Commission do not consider the Credits scheme to be a subsidy.  </w:t>
      </w:r>
      <w:r w:rsidR="006336D8" w:rsidRPr="006336D8">
        <w:rPr>
          <w:rFonts w:asciiTheme="minorHAnsi" w:hAnsiTheme="minorHAnsi" w:cstheme="minorHAnsi"/>
          <w:sz w:val="22"/>
          <w:szCs w:val="22"/>
        </w:rPr>
        <w:t xml:space="preserve">There is a Fuel Tax Credits </w:t>
      </w:r>
      <w:r w:rsidR="00D73E45">
        <w:rPr>
          <w:rFonts w:asciiTheme="minorHAnsi" w:hAnsiTheme="minorHAnsi" w:cstheme="minorHAnsi"/>
          <w:sz w:val="22"/>
          <w:szCs w:val="22"/>
        </w:rPr>
        <w:t>A</w:t>
      </w:r>
      <w:r w:rsidR="006336D8" w:rsidRPr="006336D8">
        <w:rPr>
          <w:rFonts w:asciiTheme="minorHAnsi" w:hAnsiTheme="minorHAnsi" w:cstheme="minorHAnsi"/>
          <w:sz w:val="22"/>
          <w:szCs w:val="22"/>
        </w:rPr>
        <w:t>lliance comprising mining, agricultural and tourism interests.  The</w:t>
      </w:r>
      <w:r w:rsidR="00495987">
        <w:rPr>
          <w:rFonts w:asciiTheme="minorHAnsi" w:hAnsiTheme="minorHAnsi" w:cstheme="minorHAnsi"/>
          <w:sz w:val="22"/>
          <w:szCs w:val="22"/>
        </w:rPr>
        <w:t xml:space="preserve"> </w:t>
      </w:r>
      <w:r w:rsidR="00B15260">
        <w:rPr>
          <w:rFonts w:asciiTheme="minorHAnsi" w:hAnsiTheme="minorHAnsi" w:cstheme="minorHAnsi"/>
          <w:sz w:val="22"/>
          <w:szCs w:val="22"/>
        </w:rPr>
        <w:t>A</w:t>
      </w:r>
      <w:r w:rsidR="00495987">
        <w:rPr>
          <w:rFonts w:asciiTheme="minorHAnsi" w:hAnsiTheme="minorHAnsi" w:cstheme="minorHAnsi"/>
          <w:sz w:val="22"/>
          <w:szCs w:val="22"/>
        </w:rPr>
        <w:t>lliance claims</w:t>
      </w:r>
      <w:r w:rsidR="00D16495">
        <w:rPr>
          <w:rFonts w:asciiTheme="minorHAnsi" w:hAnsiTheme="minorHAnsi" w:cstheme="minorHAnsi"/>
          <w:sz w:val="22"/>
          <w:szCs w:val="22"/>
        </w:rPr>
        <w:t xml:space="preserve"> some may consider the scheme to involve a subsidy because the government pays a rebate for the off-road use of fuels.  However, th</w:t>
      </w:r>
      <w:r w:rsidR="00F82379">
        <w:rPr>
          <w:rFonts w:asciiTheme="minorHAnsi" w:hAnsiTheme="minorHAnsi" w:cstheme="minorHAnsi"/>
          <w:sz w:val="22"/>
          <w:szCs w:val="22"/>
        </w:rPr>
        <w:t>e rebate is a matter of</w:t>
      </w:r>
      <w:r w:rsidR="00D16495">
        <w:rPr>
          <w:rFonts w:asciiTheme="minorHAnsi" w:hAnsiTheme="minorHAnsi" w:cstheme="minorHAnsi"/>
          <w:sz w:val="22"/>
          <w:szCs w:val="22"/>
        </w:rPr>
        <w:t xml:space="preserve"> administrative simplicity</w:t>
      </w:r>
      <w:r w:rsidR="006336D8" w:rsidRPr="006336D8">
        <w:rPr>
          <w:rFonts w:asciiTheme="minorHAnsi" w:hAnsiTheme="minorHAnsi" w:cstheme="minorHAnsi"/>
          <w:sz w:val="22"/>
          <w:szCs w:val="22"/>
        </w:rPr>
        <w:t>:</w:t>
      </w:r>
    </w:p>
    <w:p w14:paraId="6103204E" w14:textId="03D7853C" w:rsidR="00B8587A" w:rsidRDefault="00D16495" w:rsidP="00D16495">
      <w:pPr>
        <w:pStyle w:val="NormalWeb"/>
        <w:spacing w:before="0" w:beforeAutospacing="0" w:after="225" w:afterAutospacing="0"/>
        <w:ind w:left="720"/>
      </w:pPr>
      <w:r>
        <w:rPr>
          <w:rFonts w:asciiTheme="minorHAnsi" w:hAnsiTheme="minorHAnsi" w:cstheme="minorHAnsi"/>
          <w:i/>
          <w:iCs/>
          <w:color w:val="000000"/>
          <w:sz w:val="22"/>
          <w:szCs w:val="22"/>
        </w:rPr>
        <w:t>‘</w:t>
      </w:r>
      <w:r w:rsidR="006336D8" w:rsidRPr="00D16495">
        <w:rPr>
          <w:rFonts w:asciiTheme="minorHAnsi" w:hAnsiTheme="minorHAnsi" w:cstheme="minorHAnsi"/>
          <w:i/>
          <w:iCs/>
          <w:color w:val="000000"/>
          <w:sz w:val="22"/>
          <w:szCs w:val="22"/>
        </w:rPr>
        <w:t>The government switched to a rebate system because it’s more efficient to charge all users the same price upfront for fuel and have eligible users claim back the excess excise, than to have the complexity and integrity issues involved in a certificate system in which eligible users aren’t charged excise at the pump.</w:t>
      </w:r>
      <w:r w:rsidRPr="00D16495">
        <w:rPr>
          <w:rFonts w:asciiTheme="minorHAnsi" w:hAnsiTheme="minorHAnsi" w:cstheme="minorHAnsi"/>
          <w:i/>
          <w:iCs/>
          <w:color w:val="000000"/>
          <w:sz w:val="22"/>
          <w:szCs w:val="22"/>
        </w:rPr>
        <w:t>’</w:t>
      </w:r>
      <w:r>
        <w:rPr>
          <w:rStyle w:val="FootnoteReference"/>
          <w:rFonts w:asciiTheme="minorHAnsi" w:hAnsiTheme="minorHAnsi" w:cstheme="minorHAnsi"/>
          <w:i/>
          <w:iCs/>
          <w:color w:val="000000"/>
          <w:sz w:val="22"/>
          <w:szCs w:val="22"/>
        </w:rPr>
        <w:footnoteReference w:id="6"/>
      </w:r>
    </w:p>
    <w:p w14:paraId="5EF6EA73" w14:textId="68F8D963" w:rsidR="008C3A78" w:rsidRDefault="00AC1410" w:rsidP="00B81580">
      <w:pPr>
        <w:spacing w:after="0"/>
      </w:pPr>
      <w:r>
        <w:t>Th</w:t>
      </w:r>
      <w:r w:rsidR="008C3A78">
        <w:t xml:space="preserve">at is </w:t>
      </w:r>
      <w:r w:rsidR="00F82379">
        <w:t xml:space="preserve">behind </w:t>
      </w:r>
      <w:r w:rsidR="008C3A78">
        <w:t xml:space="preserve">the reason for the perverse inference that a cut in a tax causes a cut in subsidies </w:t>
      </w:r>
      <w:r w:rsidR="00AE1597">
        <w:t xml:space="preserve">- </w:t>
      </w:r>
      <w:r w:rsidR="008C3A78">
        <w:t>if the Credit is assumed to be subsidy.</w:t>
      </w:r>
    </w:p>
    <w:p w14:paraId="5FE93660" w14:textId="77777777" w:rsidR="008C3A78" w:rsidRDefault="008C3A78" w:rsidP="00B81580">
      <w:pPr>
        <w:spacing w:after="0"/>
      </w:pPr>
    </w:p>
    <w:p w14:paraId="35F01BEE" w14:textId="2E431D1A" w:rsidR="001E7ED8" w:rsidRDefault="008C3A78" w:rsidP="00B81580">
      <w:pPr>
        <w:spacing w:after="0"/>
      </w:pPr>
      <w:r>
        <w:t>Th</w:t>
      </w:r>
      <w:r w:rsidR="00AC1410">
        <w:t xml:space="preserve">e </w:t>
      </w:r>
      <w:r w:rsidR="00D16495">
        <w:t xml:space="preserve">Australia </w:t>
      </w:r>
      <w:r w:rsidR="00AC1410">
        <w:t xml:space="preserve">Institute </w:t>
      </w:r>
      <w:r w:rsidR="00D16495">
        <w:t xml:space="preserve">report </w:t>
      </w:r>
      <w:r w:rsidR="00AC1410">
        <w:t>also ignored State taxes on fossil fuels.  These include coal and gas royalties of at least $4.3bn.</w:t>
      </w:r>
      <w:r w:rsidR="00AC1410">
        <w:rPr>
          <w:rStyle w:val="FootnoteReference"/>
        </w:rPr>
        <w:footnoteReference w:id="7"/>
      </w:r>
    </w:p>
    <w:p w14:paraId="033D7C1C" w14:textId="77777777" w:rsidR="00B81580" w:rsidRDefault="00B81580" w:rsidP="00B81580">
      <w:pPr>
        <w:spacing w:after="0"/>
      </w:pPr>
    </w:p>
    <w:p w14:paraId="216A1A25" w14:textId="13CE5C3E" w:rsidR="001E7ED8" w:rsidRDefault="00C316A3" w:rsidP="00B81580">
      <w:pPr>
        <w:pStyle w:val="Heading2"/>
        <w:numPr>
          <w:ilvl w:val="0"/>
          <w:numId w:val="2"/>
        </w:numPr>
      </w:pPr>
      <w:bookmarkStart w:id="7" w:name="_Toc100419382"/>
      <w:r>
        <w:t xml:space="preserve">Miscellaneous </w:t>
      </w:r>
      <w:r w:rsidR="001910E3">
        <w:t xml:space="preserve">material </w:t>
      </w:r>
      <w:r w:rsidR="001E7ED8">
        <w:t>mistakes</w:t>
      </w:r>
      <w:r w:rsidR="001910E3">
        <w:t xml:space="preserve"> and inaccuracies</w:t>
      </w:r>
      <w:bookmarkEnd w:id="7"/>
    </w:p>
    <w:p w14:paraId="4DAF137E" w14:textId="496BFAD7" w:rsidR="001E7ED8" w:rsidRDefault="005C2BBC" w:rsidP="00B81580">
      <w:pPr>
        <w:spacing w:after="0"/>
      </w:pPr>
      <w:r>
        <w:t>The</w:t>
      </w:r>
      <w:r w:rsidR="001E7ED8">
        <w:t xml:space="preserve">re are other </w:t>
      </w:r>
      <w:r w:rsidR="001910E3">
        <w:t xml:space="preserve">material </w:t>
      </w:r>
      <w:r w:rsidR="001E7ED8">
        <w:t xml:space="preserve">mistakes </w:t>
      </w:r>
      <w:r w:rsidR="001910E3">
        <w:t xml:space="preserve">and inaccuracies </w:t>
      </w:r>
      <w:r w:rsidR="001E7ED8">
        <w:t>in the report and commentary.</w:t>
      </w:r>
    </w:p>
    <w:p w14:paraId="4E82DB41" w14:textId="0D221B97" w:rsidR="001910E3" w:rsidRDefault="001910E3" w:rsidP="00B81580">
      <w:pPr>
        <w:spacing w:after="0"/>
      </w:pPr>
    </w:p>
    <w:p w14:paraId="6377877B" w14:textId="4F23F0E7" w:rsidR="001910E3" w:rsidRPr="00C316A3" w:rsidRDefault="00B81580" w:rsidP="00C316A3">
      <w:pPr>
        <w:pStyle w:val="Heading3"/>
      </w:pPr>
      <w:bookmarkStart w:id="8" w:name="_Toc100419383"/>
      <w:r w:rsidRPr="00C316A3">
        <w:t>4.1</w:t>
      </w:r>
      <w:r w:rsidRPr="00C316A3">
        <w:tab/>
      </w:r>
      <w:r w:rsidR="001910E3" w:rsidRPr="00C316A3">
        <w:t>Tax break for coal mines?</w:t>
      </w:r>
      <w:bookmarkEnd w:id="8"/>
    </w:p>
    <w:p w14:paraId="40140503" w14:textId="77777777" w:rsidR="001910E3" w:rsidRPr="001910E3" w:rsidRDefault="001910E3" w:rsidP="00B81580">
      <w:pPr>
        <w:spacing w:after="0"/>
      </w:pPr>
      <w:r w:rsidRPr="001910E3">
        <w:t>The Institute claimed:</w:t>
      </w:r>
    </w:p>
    <w:p w14:paraId="36EFC286" w14:textId="1A68C32B" w:rsidR="001910E3" w:rsidRDefault="001910E3" w:rsidP="00B81580">
      <w:pPr>
        <w:spacing w:after="0"/>
        <w:ind w:left="720"/>
        <w:rPr>
          <w:i/>
          <w:iCs/>
        </w:rPr>
      </w:pPr>
      <w:r>
        <w:rPr>
          <w:i/>
          <w:iCs/>
        </w:rPr>
        <w:t>‘</w:t>
      </w:r>
      <w:r w:rsidRPr="004445B7">
        <w:rPr>
          <w:i/>
          <w:iCs/>
        </w:rPr>
        <w:t>This tax break works to make fossil fuel use cheaper for energy-intensive businesses, such as coal mines, but it is not available to other businesses and individuals that use machinery and vehicles for productive use</w:t>
      </w:r>
      <w:r>
        <w:rPr>
          <w:i/>
          <w:iCs/>
        </w:rPr>
        <w:t>’</w:t>
      </w:r>
      <w:r w:rsidRPr="004445B7">
        <w:rPr>
          <w:i/>
          <w:iCs/>
        </w:rPr>
        <w:t xml:space="preserve">. </w:t>
      </w:r>
    </w:p>
    <w:p w14:paraId="3CE17C9C" w14:textId="5B112D5D" w:rsidR="001910E3" w:rsidRDefault="001910E3" w:rsidP="00B81580">
      <w:pPr>
        <w:spacing w:after="0"/>
        <w:rPr>
          <w:i/>
          <w:iCs/>
        </w:rPr>
      </w:pPr>
    </w:p>
    <w:p w14:paraId="676475BE" w14:textId="309A52C9" w:rsidR="001910E3" w:rsidRDefault="001910E3" w:rsidP="00B81580">
      <w:pPr>
        <w:spacing w:after="0"/>
      </w:pPr>
      <w:r w:rsidRPr="001910E3">
        <w:t xml:space="preserve">That is incorrect.  </w:t>
      </w:r>
      <w:r w:rsidR="00DF5C7D">
        <w:t>The credit</w:t>
      </w:r>
      <w:r w:rsidRPr="001910E3">
        <w:t xml:space="preserve"> is available for any business that uses vehicles off-roads whether energy intensive or not.  For example, it is available to and used </w:t>
      </w:r>
      <w:r>
        <w:t xml:space="preserve">by </w:t>
      </w:r>
      <w:r w:rsidR="00BD5953">
        <w:t xml:space="preserve">service sector and </w:t>
      </w:r>
      <w:r>
        <w:t>agricultur</w:t>
      </w:r>
      <w:r w:rsidR="00BD5953">
        <w:t>al</w:t>
      </w:r>
      <w:r>
        <w:t xml:space="preserve"> businesses and</w:t>
      </w:r>
      <w:r w:rsidR="00BD5953">
        <w:t>,</w:t>
      </w:r>
      <w:r>
        <w:t xml:space="preserve"> more recently</w:t>
      </w:r>
      <w:r w:rsidR="00BD5953">
        <w:t>,</w:t>
      </w:r>
      <w:r>
        <w:t xml:space="preserve"> in aviation.</w:t>
      </w:r>
    </w:p>
    <w:p w14:paraId="43ADFCA2" w14:textId="4C4741C0" w:rsidR="001910E3" w:rsidRDefault="001910E3" w:rsidP="00B81580">
      <w:pPr>
        <w:spacing w:after="0"/>
      </w:pPr>
    </w:p>
    <w:p w14:paraId="79BA54A4" w14:textId="31DFE2AB" w:rsidR="001625BB" w:rsidRDefault="001625BB" w:rsidP="00B81580">
      <w:pPr>
        <w:spacing w:after="0"/>
      </w:pPr>
      <w:r>
        <w:t>T</w:t>
      </w:r>
      <w:r w:rsidR="009827EC">
        <w:t xml:space="preserve">otal Credits </w:t>
      </w:r>
      <w:r>
        <w:t>were</w:t>
      </w:r>
      <w:r w:rsidR="009827EC">
        <w:t xml:space="preserve"> $7.4bn</w:t>
      </w:r>
      <w:r>
        <w:t xml:space="preserve"> in 2019-20</w:t>
      </w:r>
      <w:r w:rsidR="009827EC">
        <w:t xml:space="preserve">.  Of these $1.3bn </w:t>
      </w:r>
      <w:r>
        <w:t xml:space="preserve">– 18 percent - </w:t>
      </w:r>
      <w:r w:rsidR="009827EC">
        <w:t>were claimed by firms engaged in coal, petroleum and gas industries</w:t>
      </w:r>
      <w:r w:rsidR="00BD5953">
        <w:t>, including</w:t>
      </w:r>
      <w:r w:rsidR="00F82379">
        <w:t xml:space="preserve"> </w:t>
      </w:r>
      <w:r w:rsidR="00BD5953">
        <w:t>fuel manufacturing and retailing</w:t>
      </w:r>
      <w:r w:rsidR="009827EC">
        <w:t>.</w:t>
      </w:r>
      <w:r>
        <w:rPr>
          <w:rStyle w:val="FootnoteReference"/>
        </w:rPr>
        <w:footnoteReference w:id="8"/>
      </w:r>
      <w:r w:rsidR="000414ED">
        <w:t xml:space="preserve">  </w:t>
      </w:r>
    </w:p>
    <w:p w14:paraId="59BF932A" w14:textId="77777777" w:rsidR="001625BB" w:rsidRDefault="001625BB" w:rsidP="00B81580">
      <w:pPr>
        <w:spacing w:after="0"/>
      </w:pPr>
    </w:p>
    <w:p w14:paraId="580687A0" w14:textId="6E27ADFE" w:rsidR="0008655C" w:rsidRDefault="000414ED" w:rsidP="00B81580">
      <w:pPr>
        <w:spacing w:after="0"/>
      </w:pPr>
      <w:r>
        <w:t>By broad sector</w:t>
      </w:r>
      <w:r w:rsidR="00A327D9">
        <w:t>,</w:t>
      </w:r>
      <w:r>
        <w:t xml:space="preserve"> Credits paid were: mining $3.3bn</w:t>
      </w:r>
      <w:r w:rsidR="0008655C">
        <w:t xml:space="preserve"> – 45 percent</w:t>
      </w:r>
      <w:r w:rsidR="00F82379">
        <w:t xml:space="preserve"> of total Credits</w:t>
      </w:r>
      <w:r>
        <w:t xml:space="preserve">; </w:t>
      </w:r>
      <w:r>
        <w:t>services $2.2bn</w:t>
      </w:r>
      <w:r w:rsidR="0008655C">
        <w:t xml:space="preserve"> – 30 percent</w:t>
      </w:r>
      <w:r>
        <w:t>; agriculture $0.8bn</w:t>
      </w:r>
      <w:r w:rsidR="0008655C">
        <w:t xml:space="preserve"> – 11 percent</w:t>
      </w:r>
      <w:r>
        <w:t xml:space="preserve">; </w:t>
      </w:r>
      <w:r w:rsidR="0008655C">
        <w:t>construction $0.5bn</w:t>
      </w:r>
      <w:r w:rsidR="0008655C">
        <w:t xml:space="preserve"> – 7 percent; </w:t>
      </w:r>
      <w:r>
        <w:t>manufacturing $0.3bn</w:t>
      </w:r>
      <w:r w:rsidR="0008655C">
        <w:t xml:space="preserve"> – 4 percent</w:t>
      </w:r>
      <w:r>
        <w:t>; electricity and water $0.2bn</w:t>
      </w:r>
      <w:r w:rsidR="0008655C">
        <w:t xml:space="preserve"> – 3 percent.</w:t>
      </w:r>
      <w:r>
        <w:t xml:space="preserve"> </w:t>
      </w:r>
    </w:p>
    <w:p w14:paraId="18A684C6" w14:textId="77777777" w:rsidR="0008655C" w:rsidRDefault="0008655C" w:rsidP="00B81580">
      <w:pPr>
        <w:spacing w:after="0"/>
      </w:pPr>
    </w:p>
    <w:p w14:paraId="64B2408F" w14:textId="350F2B8F" w:rsidR="009827EC" w:rsidRDefault="0008655C" w:rsidP="00B81580">
      <w:pPr>
        <w:spacing w:after="0"/>
      </w:pPr>
      <w:r>
        <w:t xml:space="preserve">The </w:t>
      </w:r>
      <w:r w:rsidR="00A327D9">
        <w:t xml:space="preserve">Institute’s </w:t>
      </w:r>
      <w:r>
        <w:t>report include</w:t>
      </w:r>
      <w:r w:rsidR="00F82379">
        <w:t>d</w:t>
      </w:r>
      <w:r>
        <w:t xml:space="preserve"> a chart </w:t>
      </w:r>
      <w:r w:rsidR="00F82379">
        <w:t>showing</w:t>
      </w:r>
      <w:r>
        <w:t xml:space="preserve"> fossil fuel</w:t>
      </w:r>
      <w:r w:rsidR="005F3C78">
        <w:t xml:space="preserve"> firms</w:t>
      </w:r>
      <w:r>
        <w:t xml:space="preserve"> account</w:t>
      </w:r>
      <w:r w:rsidR="005F3C78">
        <w:t>ed</w:t>
      </w:r>
      <w:r>
        <w:t xml:space="preserve"> for nearly half of the Credit payments </w:t>
      </w:r>
      <w:r w:rsidR="00D6464F">
        <w:rPr>
          <w:i/>
          <w:iCs/>
        </w:rPr>
        <w:t>but only t</w:t>
      </w:r>
      <w:r w:rsidRPr="005F3C78">
        <w:rPr>
          <w:i/>
          <w:iCs/>
        </w:rPr>
        <w:t>o mining</w:t>
      </w:r>
      <w:r>
        <w:t xml:space="preserve"> in 2018-19</w:t>
      </w:r>
      <w:r w:rsidR="005F3C78">
        <w:t xml:space="preserve">.  </w:t>
      </w:r>
      <w:r>
        <w:t xml:space="preserve"> </w:t>
      </w:r>
      <w:r w:rsidR="0002342E">
        <w:t xml:space="preserve">A better chart is in the Appendix.  </w:t>
      </w:r>
      <w:r w:rsidR="005F3C78">
        <w:t>For 2019-20</w:t>
      </w:r>
      <w:r w:rsidR="0002342E">
        <w:t>,</w:t>
      </w:r>
      <w:r w:rsidR="005F3C78">
        <w:t xml:space="preserve"> </w:t>
      </w:r>
      <w:r w:rsidR="00A327D9">
        <w:lastRenderedPageBreak/>
        <w:t xml:space="preserve">Credits claimed by </w:t>
      </w:r>
      <w:r w:rsidR="009D5A1F">
        <w:t xml:space="preserve">fossil fuel producers </w:t>
      </w:r>
      <w:r w:rsidR="00A327D9">
        <w:t>a</w:t>
      </w:r>
      <w:r w:rsidR="005F3C78">
        <w:t xml:space="preserve">ccounted for around one-third of the </w:t>
      </w:r>
      <w:r w:rsidR="00FB09CC">
        <w:t>rebates for</w:t>
      </w:r>
      <w:r w:rsidR="009D5A1F">
        <w:t xml:space="preserve"> mining</w:t>
      </w:r>
      <w:r w:rsidR="00B15260">
        <w:t xml:space="preserve"> which in turn were less than half of total </w:t>
      </w:r>
      <w:r w:rsidR="00FB09CC">
        <w:t>rebates</w:t>
      </w:r>
      <w:r w:rsidR="005F3C78">
        <w:t>.</w:t>
      </w:r>
    </w:p>
    <w:p w14:paraId="27507CC2" w14:textId="77777777" w:rsidR="00D6464F" w:rsidRDefault="00D6464F" w:rsidP="00B81580">
      <w:pPr>
        <w:spacing w:after="0"/>
      </w:pPr>
    </w:p>
    <w:p w14:paraId="3D062A7E" w14:textId="1507D414" w:rsidR="001910E3" w:rsidRPr="001910E3" w:rsidRDefault="00B81580" w:rsidP="00B81580">
      <w:pPr>
        <w:pStyle w:val="Heading3"/>
      </w:pPr>
      <w:bookmarkStart w:id="9" w:name="_Toc100419384"/>
      <w:r>
        <w:t>4.2</w:t>
      </w:r>
      <w:r>
        <w:tab/>
        <w:t>Excise not l</w:t>
      </w:r>
      <w:r w:rsidR="001910E3">
        <w:t>ink</w:t>
      </w:r>
      <w:r>
        <w:t>ed</w:t>
      </w:r>
      <w:r w:rsidR="001910E3">
        <w:t xml:space="preserve"> to road funding</w:t>
      </w:r>
      <w:r w:rsidR="00C316A3">
        <w:t>?</w:t>
      </w:r>
      <w:bookmarkEnd w:id="9"/>
    </w:p>
    <w:p w14:paraId="4364B577" w14:textId="3E805E53" w:rsidR="001910E3" w:rsidRPr="00AE3BAB" w:rsidRDefault="00AE3BAB" w:rsidP="00B81580">
      <w:pPr>
        <w:spacing w:after="0"/>
      </w:pPr>
      <w:r w:rsidRPr="00AE3BAB">
        <w:t>The Institute claimed:</w:t>
      </w:r>
    </w:p>
    <w:p w14:paraId="70893490" w14:textId="0C017A2B" w:rsidR="001910E3" w:rsidRDefault="00AE3BAB" w:rsidP="00B81580">
      <w:pPr>
        <w:spacing w:after="0"/>
        <w:ind w:left="720"/>
      </w:pPr>
      <w:r>
        <w:rPr>
          <w:i/>
          <w:iCs/>
        </w:rPr>
        <w:t>‘</w:t>
      </w:r>
      <w:r w:rsidR="001910E3" w:rsidRPr="004445B7">
        <w:rPr>
          <w:i/>
          <w:iCs/>
        </w:rPr>
        <w:t>Fuel taxes are not linked to road funding, as is commonly suggested by recipients of this subsidy; they simply contribute to general revenue, like most other federal taxation</w:t>
      </w:r>
      <w:r>
        <w:rPr>
          <w:i/>
          <w:iCs/>
        </w:rPr>
        <w:t>’.</w:t>
      </w:r>
    </w:p>
    <w:p w14:paraId="1AE6D04F" w14:textId="4E459CED" w:rsidR="001E7ED8" w:rsidRDefault="001E7ED8" w:rsidP="00B81580">
      <w:pPr>
        <w:spacing w:after="0"/>
      </w:pPr>
    </w:p>
    <w:p w14:paraId="5FA2116E" w14:textId="52613873" w:rsidR="003E2C5E" w:rsidRDefault="00AE3BAB" w:rsidP="00B81580">
      <w:pPr>
        <w:spacing w:after="0"/>
        <w:rPr>
          <w:rFonts w:cstheme="minorHAnsi"/>
          <w:i/>
          <w:iCs/>
          <w:color w:val="000000"/>
        </w:rPr>
      </w:pPr>
      <w:r>
        <w:t xml:space="preserve">The ABC fact check said the argument that the Credit should not be counted as a subsidy is </w:t>
      </w:r>
      <w:r w:rsidR="003E2C5E">
        <w:t xml:space="preserve">based on an assumption that </w:t>
      </w:r>
      <w:r>
        <w:t xml:space="preserve">fuel taxes </w:t>
      </w:r>
      <w:r w:rsidR="003E2C5E">
        <w:t xml:space="preserve">are used </w:t>
      </w:r>
      <w:r>
        <w:t>for road funding</w:t>
      </w:r>
      <w:r w:rsidR="003E2C5E">
        <w:t>.</w:t>
      </w:r>
    </w:p>
    <w:p w14:paraId="4B003AD3" w14:textId="62DD9F0F" w:rsidR="00AE3BAB" w:rsidRDefault="00AE3BAB" w:rsidP="00B81580">
      <w:pPr>
        <w:spacing w:after="0"/>
        <w:rPr>
          <w:rFonts w:cstheme="minorHAnsi"/>
          <w:i/>
          <w:iCs/>
          <w:color w:val="000000"/>
        </w:rPr>
      </w:pPr>
    </w:p>
    <w:p w14:paraId="6B2BE1E8" w14:textId="293203D5" w:rsidR="00AE3BAB" w:rsidRDefault="00AE3BAB" w:rsidP="00B81580">
      <w:pPr>
        <w:spacing w:after="0"/>
        <w:rPr>
          <w:rFonts w:cstheme="minorHAnsi"/>
          <w:color w:val="000000"/>
        </w:rPr>
      </w:pPr>
      <w:r w:rsidRPr="00AE3BAB">
        <w:rPr>
          <w:rFonts w:cstheme="minorHAnsi"/>
          <w:color w:val="000000"/>
        </w:rPr>
        <w:t>The Institute’s claim is misleading</w:t>
      </w:r>
      <w:r w:rsidR="00B81580">
        <w:rPr>
          <w:rFonts w:cstheme="minorHAnsi"/>
          <w:color w:val="000000"/>
        </w:rPr>
        <w:t>.  T</w:t>
      </w:r>
      <w:r w:rsidRPr="00AE3BAB">
        <w:rPr>
          <w:rFonts w:cstheme="minorHAnsi"/>
          <w:color w:val="000000"/>
        </w:rPr>
        <w:t>he ABC fact check was wrong.</w:t>
      </w:r>
    </w:p>
    <w:p w14:paraId="52370C0D" w14:textId="24D63BE5" w:rsidR="00AE3BAB" w:rsidRDefault="00AE3BAB" w:rsidP="00B81580">
      <w:pPr>
        <w:spacing w:after="0"/>
        <w:rPr>
          <w:rFonts w:cstheme="minorHAnsi"/>
          <w:color w:val="000000"/>
        </w:rPr>
      </w:pPr>
    </w:p>
    <w:p w14:paraId="001ACCDA" w14:textId="4378BD9A" w:rsidR="00DF5C7D" w:rsidRDefault="00D6464F" w:rsidP="00B81580">
      <w:pPr>
        <w:spacing w:after="0"/>
        <w:rPr>
          <w:rFonts w:cstheme="minorHAnsi"/>
          <w:color w:val="000000"/>
        </w:rPr>
      </w:pPr>
      <w:r>
        <w:rPr>
          <w:rFonts w:cstheme="minorHAnsi"/>
          <w:color w:val="000000"/>
        </w:rPr>
        <w:t>True, f</w:t>
      </w:r>
      <w:r w:rsidR="00AE3BAB">
        <w:rPr>
          <w:rFonts w:cstheme="minorHAnsi"/>
          <w:color w:val="000000"/>
        </w:rPr>
        <w:t>uel taxes, like motor vehicle registration</w:t>
      </w:r>
      <w:r>
        <w:rPr>
          <w:rFonts w:cstheme="minorHAnsi"/>
          <w:color w:val="000000"/>
        </w:rPr>
        <w:t xml:space="preserve"> revenues</w:t>
      </w:r>
      <w:r w:rsidR="00AE3BAB">
        <w:rPr>
          <w:rFonts w:cstheme="minorHAnsi"/>
          <w:color w:val="000000"/>
        </w:rPr>
        <w:t xml:space="preserve">, </w:t>
      </w:r>
      <w:r w:rsidR="00DF5C7D">
        <w:rPr>
          <w:rFonts w:cstheme="minorHAnsi"/>
          <w:color w:val="000000"/>
        </w:rPr>
        <w:t>are</w:t>
      </w:r>
      <w:r w:rsidR="00AE3BAB">
        <w:rPr>
          <w:rFonts w:cstheme="minorHAnsi"/>
          <w:color w:val="000000"/>
        </w:rPr>
        <w:t xml:space="preserve"> not linked to road funding.  However, </w:t>
      </w:r>
      <w:r w:rsidR="003E2C5E">
        <w:rPr>
          <w:rFonts w:cstheme="minorHAnsi"/>
          <w:color w:val="000000"/>
        </w:rPr>
        <w:t>th</w:t>
      </w:r>
      <w:r w:rsidR="00B81580">
        <w:rPr>
          <w:rFonts w:cstheme="minorHAnsi"/>
          <w:color w:val="000000"/>
        </w:rPr>
        <w:t>at is</w:t>
      </w:r>
      <w:r w:rsidR="00AE3BAB">
        <w:rPr>
          <w:rFonts w:cstheme="minorHAnsi"/>
          <w:color w:val="000000"/>
        </w:rPr>
        <w:t xml:space="preserve"> irrelevant to the nature and purpose of the tax</w:t>
      </w:r>
      <w:r w:rsidR="003E2C5E">
        <w:rPr>
          <w:rFonts w:cstheme="minorHAnsi"/>
          <w:color w:val="000000"/>
        </w:rPr>
        <w:t>es</w:t>
      </w:r>
      <w:r w:rsidR="00AE3BAB">
        <w:rPr>
          <w:rFonts w:cstheme="minorHAnsi"/>
          <w:color w:val="000000"/>
        </w:rPr>
        <w:t>.</w:t>
      </w:r>
      <w:r w:rsidR="003E2C5E">
        <w:rPr>
          <w:rFonts w:cstheme="minorHAnsi"/>
          <w:color w:val="000000"/>
        </w:rPr>
        <w:t xml:space="preserve">  The fuel excise is a road user charge whether or not revenue raised is forwarded to road owners.</w:t>
      </w:r>
      <w:r w:rsidR="00A327D9">
        <w:rPr>
          <w:rFonts w:cstheme="minorHAnsi"/>
          <w:color w:val="000000"/>
        </w:rPr>
        <w:t xml:space="preserve">  It is incurred as roads are used.</w:t>
      </w:r>
      <w:r w:rsidR="00DF5C7D">
        <w:rPr>
          <w:rStyle w:val="FootnoteReference"/>
          <w:rFonts w:cstheme="minorHAnsi"/>
          <w:color w:val="000000"/>
        </w:rPr>
        <w:footnoteReference w:id="9"/>
      </w:r>
    </w:p>
    <w:p w14:paraId="45C95D59" w14:textId="77777777" w:rsidR="00DF5C7D" w:rsidRDefault="00DF5C7D" w:rsidP="00B81580">
      <w:pPr>
        <w:spacing w:after="0"/>
        <w:rPr>
          <w:rFonts w:cstheme="minorHAnsi"/>
          <w:color w:val="000000"/>
        </w:rPr>
      </w:pPr>
    </w:p>
    <w:p w14:paraId="70012112" w14:textId="4CB8C8F8" w:rsidR="003E2C5E" w:rsidRDefault="003E2C5E" w:rsidP="00B81580">
      <w:pPr>
        <w:spacing w:after="0"/>
        <w:rPr>
          <w:rFonts w:cstheme="minorHAnsi"/>
          <w:color w:val="000000"/>
        </w:rPr>
      </w:pPr>
      <w:r>
        <w:rPr>
          <w:rFonts w:cstheme="minorHAnsi"/>
          <w:color w:val="000000"/>
        </w:rPr>
        <w:t>Similar could be said of other excises such as on alcohol and tobacco, the receipts of which are not devoted to those – or any other - industries.</w:t>
      </w:r>
    </w:p>
    <w:p w14:paraId="6802B0BA" w14:textId="66F49522" w:rsidR="003B3C05" w:rsidRDefault="003B3C05" w:rsidP="00B81580">
      <w:pPr>
        <w:spacing w:after="0"/>
        <w:rPr>
          <w:rFonts w:cstheme="minorHAnsi"/>
          <w:color w:val="000000"/>
        </w:rPr>
      </w:pPr>
    </w:p>
    <w:p w14:paraId="2643BA2C" w14:textId="053E260F" w:rsidR="003661A1" w:rsidRDefault="00B81580" w:rsidP="00B81580">
      <w:pPr>
        <w:pStyle w:val="Heading3"/>
      </w:pPr>
      <w:bookmarkStart w:id="10" w:name="_Toc100419385"/>
      <w:r>
        <w:t>4.</w:t>
      </w:r>
      <w:r w:rsidR="0027177E">
        <w:t>3</w:t>
      </w:r>
      <w:r>
        <w:tab/>
      </w:r>
      <w:r w:rsidR="003661A1">
        <w:t>Lowering the cost of inputs</w:t>
      </w:r>
      <w:r w:rsidR="00C316A3">
        <w:t>?</w:t>
      </w:r>
      <w:bookmarkEnd w:id="10"/>
    </w:p>
    <w:p w14:paraId="33B0FBA0" w14:textId="2A40ED66" w:rsidR="003661A1" w:rsidRDefault="003661A1" w:rsidP="00B81580">
      <w:pPr>
        <w:spacing w:after="0"/>
        <w:rPr>
          <w:rFonts w:cstheme="minorHAnsi"/>
          <w:color w:val="000000"/>
        </w:rPr>
      </w:pPr>
      <w:r>
        <w:rPr>
          <w:rFonts w:cstheme="minorHAnsi"/>
          <w:color w:val="000000"/>
        </w:rPr>
        <w:t xml:space="preserve">The OECD </w:t>
      </w:r>
      <w:r w:rsidR="00CC667E">
        <w:rPr>
          <w:rFonts w:cstheme="minorHAnsi"/>
          <w:color w:val="000000"/>
        </w:rPr>
        <w:t>reportedly said</w:t>
      </w:r>
      <w:r>
        <w:rPr>
          <w:rFonts w:cstheme="minorHAnsi"/>
          <w:color w:val="000000"/>
        </w:rPr>
        <w:t xml:space="preserve"> the Credits scheme</w:t>
      </w:r>
      <w:r w:rsidR="00C316A3">
        <w:rPr>
          <w:rFonts w:cstheme="minorHAnsi"/>
          <w:color w:val="000000"/>
        </w:rPr>
        <w:t>:</w:t>
      </w:r>
      <w:r>
        <w:rPr>
          <w:rFonts w:cstheme="minorHAnsi"/>
          <w:color w:val="000000"/>
        </w:rPr>
        <w:t xml:space="preserve"> </w:t>
      </w:r>
    </w:p>
    <w:p w14:paraId="0098E302" w14:textId="09CDC3C1" w:rsidR="003661A1" w:rsidRDefault="003661A1" w:rsidP="00B81580">
      <w:pPr>
        <w:spacing w:after="0"/>
        <w:ind w:left="720"/>
        <w:rPr>
          <w:rFonts w:cstheme="minorHAnsi"/>
          <w:color w:val="000000"/>
        </w:rPr>
      </w:pPr>
      <w:r w:rsidRPr="003661A1">
        <w:rPr>
          <w:rFonts w:cstheme="minorHAnsi"/>
          <w:color w:val="000000"/>
        </w:rPr>
        <w:t>‘</w:t>
      </w:r>
      <w:r w:rsidRPr="003661A1">
        <w:rPr>
          <w:rFonts w:cstheme="minorHAnsi"/>
          <w:i/>
          <w:iCs/>
          <w:color w:val="000000"/>
        </w:rPr>
        <w:t>could arguably be considered producer support since it lowers the cost of inputs used in the coal-mining and hydrocarbon sectors</w:t>
      </w:r>
      <w:r w:rsidRPr="003661A1">
        <w:rPr>
          <w:rFonts w:cstheme="minorHAnsi"/>
          <w:i/>
          <w:iCs/>
          <w:color w:val="000000"/>
        </w:rPr>
        <w:t>’</w:t>
      </w:r>
      <w:r w:rsidRPr="003661A1">
        <w:rPr>
          <w:rFonts w:cstheme="minorHAnsi"/>
          <w:i/>
          <w:iCs/>
          <w:color w:val="000000"/>
        </w:rPr>
        <w:t>.</w:t>
      </w:r>
      <w:r w:rsidRPr="003661A1">
        <w:rPr>
          <w:rFonts w:cstheme="minorHAnsi"/>
          <w:color w:val="000000"/>
        </w:rPr>
        <w:t xml:space="preserve"> </w:t>
      </w:r>
    </w:p>
    <w:p w14:paraId="35DB6D73" w14:textId="3E02A04E" w:rsidR="00D6464F" w:rsidRDefault="00D6464F" w:rsidP="00D6464F">
      <w:pPr>
        <w:spacing w:after="0"/>
        <w:rPr>
          <w:rFonts w:cstheme="minorHAnsi"/>
          <w:color w:val="000000"/>
        </w:rPr>
      </w:pPr>
    </w:p>
    <w:p w14:paraId="3440E7BF" w14:textId="28072619" w:rsidR="00D6464F" w:rsidRDefault="00D6464F" w:rsidP="00D6464F">
      <w:pPr>
        <w:spacing w:after="0"/>
        <w:rPr>
          <w:rFonts w:cstheme="minorHAnsi"/>
          <w:color w:val="000000"/>
        </w:rPr>
      </w:pPr>
      <w:r>
        <w:rPr>
          <w:rFonts w:cstheme="minorHAnsi"/>
          <w:color w:val="000000"/>
        </w:rPr>
        <w:t xml:space="preserve">The proposition is at most arguable because what matters is whether </w:t>
      </w:r>
      <w:r w:rsidR="00BE2B20">
        <w:rPr>
          <w:rFonts w:cstheme="minorHAnsi"/>
          <w:color w:val="000000"/>
        </w:rPr>
        <w:t>coal mining etc. is</w:t>
      </w:r>
      <w:r>
        <w:rPr>
          <w:rFonts w:cstheme="minorHAnsi"/>
          <w:color w:val="000000"/>
        </w:rPr>
        <w:t xml:space="preserve"> assisted </w:t>
      </w:r>
      <w:r w:rsidRPr="00D6464F">
        <w:rPr>
          <w:rFonts w:cstheme="minorHAnsi"/>
          <w:i/>
          <w:iCs/>
          <w:color w:val="000000"/>
        </w:rPr>
        <w:t>relative</w:t>
      </w:r>
      <w:r>
        <w:rPr>
          <w:rFonts w:cstheme="minorHAnsi"/>
          <w:color w:val="000000"/>
        </w:rPr>
        <w:t xml:space="preserve"> to other sectors </w:t>
      </w:r>
      <w:r w:rsidR="00385BEC">
        <w:rPr>
          <w:rFonts w:cstheme="minorHAnsi"/>
          <w:color w:val="000000"/>
        </w:rPr>
        <w:t>i.e.,</w:t>
      </w:r>
      <w:r>
        <w:rPr>
          <w:rFonts w:cstheme="minorHAnsi"/>
          <w:color w:val="000000"/>
        </w:rPr>
        <w:t xml:space="preserve"> whether </w:t>
      </w:r>
      <w:r w:rsidR="006B2A8A">
        <w:rPr>
          <w:rFonts w:cstheme="minorHAnsi"/>
          <w:color w:val="000000"/>
        </w:rPr>
        <w:t xml:space="preserve">there </w:t>
      </w:r>
      <w:r w:rsidR="00C203A2">
        <w:rPr>
          <w:rFonts w:cstheme="minorHAnsi"/>
          <w:color w:val="000000"/>
        </w:rPr>
        <w:t>are</w:t>
      </w:r>
      <w:r>
        <w:rPr>
          <w:rFonts w:cstheme="minorHAnsi"/>
          <w:color w:val="000000"/>
        </w:rPr>
        <w:t xml:space="preserve"> economic distortion</w:t>
      </w:r>
      <w:r w:rsidR="00C203A2">
        <w:rPr>
          <w:rFonts w:cstheme="minorHAnsi"/>
          <w:color w:val="000000"/>
        </w:rPr>
        <w:t>s.</w:t>
      </w:r>
      <w:r>
        <w:rPr>
          <w:rFonts w:cstheme="minorHAnsi"/>
          <w:color w:val="000000"/>
        </w:rPr>
        <w:t xml:space="preserve">  At law this is not the case – firms outside those sectors gain Credits.  In fact</w:t>
      </w:r>
      <w:r w:rsidR="003B3C05">
        <w:rPr>
          <w:rFonts w:cstheme="minorHAnsi"/>
          <w:color w:val="000000"/>
        </w:rPr>
        <w:t>,</w:t>
      </w:r>
      <w:r>
        <w:rPr>
          <w:rFonts w:cstheme="minorHAnsi"/>
          <w:color w:val="000000"/>
        </w:rPr>
        <w:t xml:space="preserve"> this also is not the case – section 4.1 (above).</w:t>
      </w:r>
    </w:p>
    <w:p w14:paraId="6AF8FE1D" w14:textId="38C2D26B" w:rsidR="00D6464F" w:rsidRDefault="00D6464F" w:rsidP="00D6464F">
      <w:pPr>
        <w:spacing w:after="0"/>
        <w:rPr>
          <w:rFonts w:cstheme="minorHAnsi"/>
          <w:color w:val="000000"/>
        </w:rPr>
      </w:pPr>
    </w:p>
    <w:p w14:paraId="0160CEFA" w14:textId="2206D9FA" w:rsidR="00C16AED" w:rsidRDefault="00C16AED" w:rsidP="00D6464F">
      <w:pPr>
        <w:spacing w:after="0"/>
        <w:rPr>
          <w:rFonts w:cstheme="minorHAnsi"/>
          <w:color w:val="000000"/>
        </w:rPr>
      </w:pPr>
      <w:r>
        <w:rPr>
          <w:rFonts w:cstheme="minorHAnsi"/>
          <w:color w:val="000000"/>
        </w:rPr>
        <w:t>The effect of lowering costs of inputs to the export-oriented mining and agriculture sectors is to increase export</w:t>
      </w:r>
      <w:r w:rsidR="0002342E">
        <w:rPr>
          <w:rFonts w:cstheme="minorHAnsi"/>
          <w:color w:val="000000"/>
        </w:rPr>
        <w:t>s</w:t>
      </w:r>
      <w:r>
        <w:rPr>
          <w:rFonts w:cstheme="minorHAnsi"/>
          <w:color w:val="000000"/>
        </w:rPr>
        <w:t xml:space="preserve"> and therefore production, rather than to reduce prices.  Australian commodity exporters are ‘price takers’.  This </w:t>
      </w:r>
      <w:r w:rsidR="001003C5">
        <w:rPr>
          <w:rFonts w:cstheme="minorHAnsi"/>
          <w:color w:val="000000"/>
        </w:rPr>
        <w:t>is illustrated by current record coal prices</w:t>
      </w:r>
      <w:r w:rsidR="00511B20">
        <w:rPr>
          <w:rFonts w:cstheme="minorHAnsi"/>
          <w:color w:val="000000"/>
        </w:rPr>
        <w:t xml:space="preserve"> being determined by international events rather than Australian producer costs</w:t>
      </w:r>
      <w:r w:rsidR="001003C5">
        <w:rPr>
          <w:rFonts w:cstheme="minorHAnsi"/>
          <w:color w:val="000000"/>
        </w:rPr>
        <w:t>.</w:t>
      </w:r>
      <w:r w:rsidR="001003C5">
        <w:rPr>
          <w:rStyle w:val="FootnoteReference"/>
          <w:rFonts w:cstheme="minorHAnsi"/>
          <w:color w:val="000000"/>
        </w:rPr>
        <w:footnoteReference w:id="10"/>
      </w:r>
      <w:r w:rsidR="001003C5">
        <w:rPr>
          <w:rFonts w:cstheme="minorHAnsi"/>
          <w:color w:val="000000"/>
        </w:rPr>
        <w:t xml:space="preserve">  </w:t>
      </w:r>
      <w:r>
        <w:rPr>
          <w:rFonts w:cstheme="minorHAnsi"/>
          <w:color w:val="000000"/>
        </w:rPr>
        <w:t xml:space="preserve">  </w:t>
      </w:r>
    </w:p>
    <w:p w14:paraId="250F2A9D" w14:textId="297179F7" w:rsidR="00A327D9" w:rsidRDefault="00C16AED" w:rsidP="00D6464F">
      <w:pPr>
        <w:spacing w:after="0"/>
        <w:rPr>
          <w:rFonts w:cstheme="minorHAnsi"/>
          <w:color w:val="000000"/>
        </w:rPr>
      </w:pPr>
      <w:r>
        <w:rPr>
          <w:rFonts w:cstheme="minorHAnsi"/>
          <w:color w:val="000000"/>
        </w:rPr>
        <w:t xml:space="preserve"> </w:t>
      </w:r>
    </w:p>
    <w:p w14:paraId="783099A8" w14:textId="5A5BD444" w:rsidR="003E2C5E" w:rsidRDefault="00D6464F" w:rsidP="00B81580">
      <w:pPr>
        <w:spacing w:after="0"/>
        <w:rPr>
          <w:rFonts w:cstheme="minorHAnsi"/>
          <w:color w:val="000000"/>
        </w:rPr>
      </w:pPr>
      <w:r>
        <w:rPr>
          <w:rFonts w:cstheme="minorHAnsi"/>
          <w:color w:val="000000"/>
        </w:rPr>
        <w:t>Perhaps more significantly, the issue of economic distortion is not answerable by a</w:t>
      </w:r>
      <w:r w:rsidR="003B3C05">
        <w:rPr>
          <w:rFonts w:cstheme="minorHAnsi"/>
          <w:color w:val="000000"/>
        </w:rPr>
        <w:t xml:space="preserve"> partial</w:t>
      </w:r>
      <w:r>
        <w:rPr>
          <w:rFonts w:cstheme="minorHAnsi"/>
          <w:color w:val="000000"/>
        </w:rPr>
        <w:t xml:space="preserve"> arithmetic approach </w:t>
      </w:r>
      <w:r w:rsidR="006F4197">
        <w:rPr>
          <w:rFonts w:cstheme="minorHAnsi"/>
          <w:color w:val="000000"/>
        </w:rPr>
        <w:t xml:space="preserve">- of totalling gross subsidies - </w:t>
      </w:r>
      <w:r>
        <w:rPr>
          <w:rFonts w:cstheme="minorHAnsi"/>
          <w:color w:val="000000"/>
        </w:rPr>
        <w:t xml:space="preserve">such as used by the </w:t>
      </w:r>
      <w:r w:rsidR="003B3C05">
        <w:rPr>
          <w:rFonts w:cstheme="minorHAnsi"/>
          <w:color w:val="000000"/>
        </w:rPr>
        <w:t xml:space="preserve">Institute.  For an arithmetic approach, the Productivity Commission’s </w:t>
      </w:r>
      <w:r w:rsidR="00FB3B84">
        <w:rPr>
          <w:rFonts w:cstheme="minorHAnsi"/>
          <w:color w:val="000000"/>
        </w:rPr>
        <w:t>method</w:t>
      </w:r>
      <w:r w:rsidR="003B3C05">
        <w:rPr>
          <w:rFonts w:cstheme="minorHAnsi"/>
          <w:color w:val="000000"/>
        </w:rPr>
        <w:t xml:space="preserve"> of examining net subsidies (section 4.</w:t>
      </w:r>
      <w:r w:rsidR="00FB3B84">
        <w:rPr>
          <w:rFonts w:cstheme="minorHAnsi"/>
          <w:color w:val="000000"/>
        </w:rPr>
        <w:t>5</w:t>
      </w:r>
      <w:r w:rsidR="006B2A8A">
        <w:rPr>
          <w:rFonts w:cstheme="minorHAnsi"/>
          <w:color w:val="000000"/>
        </w:rPr>
        <w:t xml:space="preserve"> </w:t>
      </w:r>
      <w:r w:rsidR="0027177E">
        <w:rPr>
          <w:rFonts w:cstheme="minorHAnsi"/>
          <w:color w:val="000000"/>
        </w:rPr>
        <w:t>below</w:t>
      </w:r>
      <w:r w:rsidR="003B3C05">
        <w:rPr>
          <w:rFonts w:cstheme="minorHAnsi"/>
          <w:color w:val="000000"/>
        </w:rPr>
        <w:t xml:space="preserve">) is preferable.  The Commission does not regard the Credits </w:t>
      </w:r>
      <w:r w:rsidR="00511B20">
        <w:rPr>
          <w:rFonts w:cstheme="minorHAnsi"/>
          <w:color w:val="000000"/>
        </w:rPr>
        <w:t xml:space="preserve">scheme </w:t>
      </w:r>
      <w:r w:rsidR="003B3C05">
        <w:rPr>
          <w:rFonts w:cstheme="minorHAnsi"/>
          <w:color w:val="000000"/>
        </w:rPr>
        <w:t>as a subsidy</w:t>
      </w:r>
      <w:r w:rsidR="00511B20">
        <w:rPr>
          <w:rFonts w:cstheme="minorHAnsi"/>
          <w:color w:val="000000"/>
        </w:rPr>
        <w:t xml:space="preserve"> source</w:t>
      </w:r>
      <w:r w:rsidR="003B3C05">
        <w:rPr>
          <w:rFonts w:cstheme="minorHAnsi"/>
          <w:color w:val="000000"/>
        </w:rPr>
        <w:t>.</w:t>
      </w:r>
    </w:p>
    <w:p w14:paraId="731752EF" w14:textId="77777777" w:rsidR="00BE2B20" w:rsidRDefault="00BE2B20" w:rsidP="00B81580">
      <w:pPr>
        <w:spacing w:after="0"/>
        <w:rPr>
          <w:rFonts w:cstheme="minorHAnsi"/>
          <w:color w:val="000000"/>
        </w:rPr>
      </w:pPr>
    </w:p>
    <w:p w14:paraId="6EEDB7F1" w14:textId="4DF6E1B7" w:rsidR="00C316A3" w:rsidRDefault="008C3A78" w:rsidP="00CF53E7">
      <w:pPr>
        <w:pStyle w:val="Heading3"/>
      </w:pPr>
      <w:bookmarkStart w:id="11" w:name="_Toc100419386"/>
      <w:r>
        <w:t>4.</w:t>
      </w:r>
      <w:r w:rsidR="00BE2B20">
        <w:t>4</w:t>
      </w:r>
      <w:r>
        <w:tab/>
      </w:r>
      <w:r w:rsidR="00BD5953">
        <w:t>Rail and seaports</w:t>
      </w:r>
      <w:bookmarkEnd w:id="11"/>
    </w:p>
    <w:p w14:paraId="53072E27" w14:textId="77777777" w:rsidR="00BE2B20" w:rsidRDefault="00BD5953" w:rsidP="00BD5953">
      <w:pPr>
        <w:spacing w:after="0"/>
      </w:pPr>
      <w:r>
        <w:t>The Institute</w:t>
      </w:r>
      <w:r w:rsidR="00511B20">
        <w:t xml:space="preserve">’s report </w:t>
      </w:r>
      <w:r>
        <w:t xml:space="preserve">claimed the Hunter Valley rail network, operated by the Australian Rail Track Corporation is subsidised.  That is diametrically opposed to the facts.  </w:t>
      </w:r>
    </w:p>
    <w:p w14:paraId="1D9FE28B" w14:textId="23C83788" w:rsidR="00BD5953" w:rsidRDefault="00BD5953" w:rsidP="00BD5953">
      <w:pPr>
        <w:spacing w:after="0"/>
      </w:pPr>
      <w:r>
        <w:lastRenderedPageBreak/>
        <w:t>The rail lines are so profitable that regulation has been imposed to prevent the Corporation using its monopoly power to effectively tax coal haulage, or use returns from coal to cross-subsidise other activities.</w:t>
      </w:r>
      <w:r>
        <w:rPr>
          <w:rStyle w:val="FootnoteReference"/>
        </w:rPr>
        <w:footnoteReference w:id="11"/>
      </w:r>
    </w:p>
    <w:p w14:paraId="19C2A040" w14:textId="77777777" w:rsidR="00BD5953" w:rsidRDefault="00BD5953" w:rsidP="00BD5953">
      <w:pPr>
        <w:spacing w:after="0"/>
      </w:pPr>
    </w:p>
    <w:p w14:paraId="713EA02F" w14:textId="25571449" w:rsidR="00FB5FA4" w:rsidRDefault="00BD5953" w:rsidP="00B81580">
      <w:pPr>
        <w:spacing w:after="0"/>
        <w:rPr>
          <w:rFonts w:cstheme="minorHAnsi"/>
          <w:color w:val="000000"/>
        </w:rPr>
      </w:pPr>
      <w:r>
        <w:rPr>
          <w:rFonts w:cstheme="minorHAnsi"/>
          <w:color w:val="000000"/>
        </w:rPr>
        <w:t xml:space="preserve">The report also </w:t>
      </w:r>
      <w:r w:rsidR="00511B20">
        <w:rPr>
          <w:rFonts w:cstheme="minorHAnsi"/>
          <w:color w:val="000000"/>
        </w:rPr>
        <w:t xml:space="preserve">regarded </w:t>
      </w:r>
      <w:r>
        <w:rPr>
          <w:rFonts w:cstheme="minorHAnsi"/>
          <w:color w:val="000000"/>
        </w:rPr>
        <w:t>some investments of rail and seaport</w:t>
      </w:r>
      <w:r w:rsidR="00FB5FA4">
        <w:rPr>
          <w:rFonts w:cstheme="minorHAnsi"/>
          <w:color w:val="000000"/>
        </w:rPr>
        <w:t xml:space="preserve"> government corporations</w:t>
      </w:r>
      <w:r>
        <w:rPr>
          <w:rFonts w:cstheme="minorHAnsi"/>
          <w:color w:val="000000"/>
        </w:rPr>
        <w:t xml:space="preserve"> </w:t>
      </w:r>
      <w:r w:rsidR="00511B20">
        <w:rPr>
          <w:rFonts w:cstheme="minorHAnsi"/>
          <w:color w:val="000000"/>
        </w:rPr>
        <w:t>- that</w:t>
      </w:r>
      <w:r w:rsidR="00FB5FA4">
        <w:rPr>
          <w:rFonts w:cstheme="minorHAnsi"/>
          <w:color w:val="000000"/>
        </w:rPr>
        <w:t xml:space="preserve"> create assets used by coal etc</w:t>
      </w:r>
      <w:r w:rsidR="00511B20">
        <w:rPr>
          <w:rFonts w:cstheme="minorHAnsi"/>
          <w:color w:val="000000"/>
        </w:rPr>
        <w:t xml:space="preserve"> – as subsidies</w:t>
      </w:r>
      <w:r w:rsidR="00FB5FA4">
        <w:rPr>
          <w:rFonts w:cstheme="minorHAnsi"/>
          <w:color w:val="000000"/>
        </w:rPr>
        <w:t>.</w:t>
      </w:r>
      <w:r w:rsidR="00511B20">
        <w:rPr>
          <w:rFonts w:cstheme="minorHAnsi"/>
          <w:color w:val="000000"/>
        </w:rPr>
        <w:t xml:space="preserve"> </w:t>
      </w:r>
      <w:r w:rsidR="00FB5FA4">
        <w:rPr>
          <w:rFonts w:cstheme="minorHAnsi"/>
          <w:color w:val="000000"/>
        </w:rPr>
        <w:t xml:space="preserve"> That was on the basis that such corporations benefit from an implicit government guarantee.  That claimed basis is incorrect in two respects.</w:t>
      </w:r>
    </w:p>
    <w:p w14:paraId="03FDB1DE" w14:textId="369D3D55" w:rsidR="00FB5FA4" w:rsidRDefault="00FB5FA4" w:rsidP="00B81580">
      <w:pPr>
        <w:spacing w:after="0"/>
        <w:rPr>
          <w:rFonts w:cstheme="minorHAnsi"/>
          <w:color w:val="000000"/>
        </w:rPr>
      </w:pPr>
    </w:p>
    <w:p w14:paraId="39498C1C" w14:textId="503C894A" w:rsidR="00622FA7" w:rsidRDefault="00FB5FA4" w:rsidP="00B81580">
      <w:pPr>
        <w:spacing w:after="0"/>
        <w:rPr>
          <w:rFonts w:cstheme="minorHAnsi"/>
          <w:color w:val="000000"/>
        </w:rPr>
      </w:pPr>
      <w:r>
        <w:rPr>
          <w:rFonts w:cstheme="minorHAnsi"/>
          <w:color w:val="000000"/>
        </w:rPr>
        <w:t>First, most if not all of the organisations are profitable</w:t>
      </w:r>
      <w:r w:rsidR="00511B20">
        <w:rPr>
          <w:rFonts w:cstheme="minorHAnsi"/>
          <w:color w:val="000000"/>
        </w:rPr>
        <w:t xml:space="preserve"> government trading corporations.  A</w:t>
      </w:r>
      <w:r w:rsidR="00622FA7">
        <w:rPr>
          <w:rFonts w:cstheme="minorHAnsi"/>
          <w:color w:val="000000"/>
        </w:rPr>
        <w:t xml:space="preserve">s corporatized entities </w:t>
      </w:r>
      <w:r w:rsidR="00511B20">
        <w:rPr>
          <w:rFonts w:cstheme="minorHAnsi"/>
          <w:color w:val="000000"/>
        </w:rPr>
        <w:t xml:space="preserve">they </w:t>
      </w:r>
      <w:r>
        <w:rPr>
          <w:rFonts w:cstheme="minorHAnsi"/>
          <w:color w:val="000000"/>
        </w:rPr>
        <w:t>are permitted by law to make only those investments likely to be profitable</w:t>
      </w:r>
      <w:r w:rsidR="00622FA7">
        <w:rPr>
          <w:rFonts w:cstheme="minorHAnsi"/>
          <w:color w:val="000000"/>
        </w:rPr>
        <w:t>, except when explicitly directed by Governments.  They are not permitted to subsidise investments.  The Australian Rail Track Corporation (above) is such a case.</w:t>
      </w:r>
    </w:p>
    <w:p w14:paraId="2F8C9605" w14:textId="61A4ADDE" w:rsidR="00622FA7" w:rsidRDefault="00622FA7" w:rsidP="00B81580">
      <w:pPr>
        <w:spacing w:after="0"/>
        <w:rPr>
          <w:rFonts w:cstheme="minorHAnsi"/>
          <w:color w:val="000000"/>
        </w:rPr>
      </w:pPr>
    </w:p>
    <w:p w14:paraId="05AEF997" w14:textId="4C963767" w:rsidR="00622FA7" w:rsidRDefault="00622FA7" w:rsidP="00B81580">
      <w:pPr>
        <w:spacing w:after="0"/>
        <w:rPr>
          <w:rFonts w:cstheme="minorHAnsi"/>
          <w:color w:val="000000"/>
        </w:rPr>
      </w:pPr>
      <w:r>
        <w:rPr>
          <w:rFonts w:cstheme="minorHAnsi"/>
          <w:color w:val="000000"/>
        </w:rPr>
        <w:t>Second, since the advent of the Competition Principles Agreement (1995), such organisations, and governments, apply ‘competitive neutrality’ principles.  These principles ensure that a government owned corporation is not advantage</w:t>
      </w:r>
      <w:r w:rsidR="00511B20">
        <w:rPr>
          <w:rFonts w:cstheme="minorHAnsi"/>
          <w:color w:val="000000"/>
        </w:rPr>
        <w:t>d</w:t>
      </w:r>
      <w:r w:rsidR="0002342E">
        <w:rPr>
          <w:rFonts w:cstheme="minorHAnsi"/>
          <w:color w:val="000000"/>
        </w:rPr>
        <w:t xml:space="preserve"> (or </w:t>
      </w:r>
      <w:r>
        <w:rPr>
          <w:rFonts w:cstheme="minorHAnsi"/>
          <w:color w:val="000000"/>
        </w:rPr>
        <w:t>disadvantaged</w:t>
      </w:r>
      <w:r w:rsidR="0002342E">
        <w:rPr>
          <w:rFonts w:cstheme="minorHAnsi"/>
          <w:color w:val="000000"/>
        </w:rPr>
        <w:t>)</w:t>
      </w:r>
      <w:r>
        <w:rPr>
          <w:rFonts w:cstheme="minorHAnsi"/>
          <w:color w:val="000000"/>
        </w:rPr>
        <w:t xml:space="preserve"> by virtue of its ownership.</w:t>
      </w:r>
      <w:r w:rsidR="0002342E">
        <w:rPr>
          <w:rFonts w:cstheme="minorHAnsi"/>
          <w:color w:val="000000"/>
        </w:rPr>
        <w:t xml:space="preserve"> Elements of this include use of ‘commercial’ rates of return as investment hurdles, </w:t>
      </w:r>
      <w:r w:rsidR="00FB09CC">
        <w:rPr>
          <w:rFonts w:cstheme="minorHAnsi"/>
          <w:color w:val="000000"/>
        </w:rPr>
        <w:t xml:space="preserve">and payments of </w:t>
      </w:r>
      <w:r w:rsidR="0002342E">
        <w:rPr>
          <w:rFonts w:cstheme="minorHAnsi"/>
          <w:color w:val="000000"/>
        </w:rPr>
        <w:t>dividend</w:t>
      </w:r>
      <w:r w:rsidR="00FB09CC">
        <w:rPr>
          <w:rFonts w:cstheme="minorHAnsi"/>
          <w:color w:val="000000"/>
        </w:rPr>
        <w:t>s</w:t>
      </w:r>
      <w:r w:rsidR="0002342E">
        <w:rPr>
          <w:rFonts w:cstheme="minorHAnsi"/>
          <w:color w:val="000000"/>
        </w:rPr>
        <w:t xml:space="preserve"> and tax equivalent</w:t>
      </w:r>
      <w:r w:rsidR="00FB09CC">
        <w:rPr>
          <w:rFonts w:cstheme="minorHAnsi"/>
          <w:color w:val="000000"/>
        </w:rPr>
        <w:t>s to Treasuries</w:t>
      </w:r>
      <w:r w:rsidR="0002342E">
        <w:rPr>
          <w:rFonts w:cstheme="minorHAnsi"/>
          <w:color w:val="000000"/>
        </w:rPr>
        <w:t xml:space="preserve">.  Indeed, there are examples where government corporations have refused to invest like a normal business because of implicit constraints imposed by </w:t>
      </w:r>
      <w:r w:rsidR="00FB09CC">
        <w:rPr>
          <w:rFonts w:cstheme="minorHAnsi"/>
          <w:color w:val="000000"/>
        </w:rPr>
        <w:t>Treasuries</w:t>
      </w:r>
      <w:r w:rsidR="0002342E">
        <w:rPr>
          <w:rFonts w:cstheme="minorHAnsi"/>
          <w:color w:val="000000"/>
        </w:rPr>
        <w:t xml:space="preserve"> or governments.</w:t>
      </w:r>
      <w:r>
        <w:rPr>
          <w:rStyle w:val="FootnoteReference"/>
          <w:rFonts w:cstheme="minorHAnsi"/>
          <w:color w:val="000000"/>
        </w:rPr>
        <w:footnoteReference w:id="12"/>
      </w:r>
    </w:p>
    <w:p w14:paraId="0CC85204" w14:textId="77777777" w:rsidR="00D6464F" w:rsidRDefault="00D6464F" w:rsidP="00B81580">
      <w:pPr>
        <w:spacing w:after="0"/>
        <w:rPr>
          <w:rFonts w:cstheme="minorHAnsi"/>
          <w:color w:val="000000"/>
        </w:rPr>
      </w:pPr>
    </w:p>
    <w:p w14:paraId="01B6E92B" w14:textId="50176FAC" w:rsidR="0027177E" w:rsidRDefault="0027177E" w:rsidP="0027177E">
      <w:pPr>
        <w:pStyle w:val="Heading3"/>
      </w:pPr>
      <w:bookmarkStart w:id="12" w:name="_Toc100419387"/>
      <w:r>
        <w:t>4.</w:t>
      </w:r>
      <w:r w:rsidR="00BE2B20">
        <w:t>5</w:t>
      </w:r>
      <w:r>
        <w:tab/>
        <w:t>Productivity Commission</w:t>
      </w:r>
      <w:bookmarkEnd w:id="12"/>
    </w:p>
    <w:p w14:paraId="611BBFE8" w14:textId="77777777" w:rsidR="0027177E" w:rsidRDefault="0027177E" w:rsidP="0027177E">
      <w:pPr>
        <w:spacing w:after="0"/>
      </w:pPr>
      <w:r>
        <w:t>The Productivity Commission is considered the authoritative source on arithmetic calculations of industry assistance.  For the previous year 2019-20, when the Institute claimed fossil fuel subsidies to $10.3bn, the Commission’s report did not mention fossil fuels.  However, it claimed Budgetary assistance to all sectors was $11.8bn, most of which was directed to the services sector.  In effect, it refuted the Institute’s claims.</w:t>
      </w:r>
      <w:r w:rsidRPr="006F28D2">
        <w:rPr>
          <w:rStyle w:val="FootnoteReference"/>
        </w:rPr>
        <w:t xml:space="preserve"> </w:t>
      </w:r>
      <w:r>
        <w:rPr>
          <w:rStyle w:val="FootnoteReference"/>
        </w:rPr>
        <w:footnoteReference w:id="13"/>
      </w:r>
    </w:p>
    <w:p w14:paraId="009E0459" w14:textId="77777777" w:rsidR="0027177E" w:rsidRDefault="0027177E" w:rsidP="0027177E">
      <w:pPr>
        <w:spacing w:after="0"/>
      </w:pPr>
    </w:p>
    <w:p w14:paraId="49198560" w14:textId="77777777" w:rsidR="0027177E" w:rsidRDefault="0027177E" w:rsidP="0027177E">
      <w:pPr>
        <w:spacing w:after="0"/>
      </w:pPr>
      <w:r>
        <w:t xml:space="preserve">The Commission further noted the sector producing fossil fuels – mining – is the least assisted relative to its size, receiving only $0.4bn - 4 per cent of total assistance.  The Commission added assistance to the sector fell by 16 per cent over the six-year review period.  </w:t>
      </w:r>
    </w:p>
    <w:p w14:paraId="731E92CF" w14:textId="77777777" w:rsidR="0027177E" w:rsidRDefault="0027177E" w:rsidP="0027177E">
      <w:pPr>
        <w:spacing w:after="0"/>
        <w:rPr>
          <w:rFonts w:cstheme="minorHAnsi"/>
          <w:color w:val="000000"/>
        </w:rPr>
      </w:pPr>
    </w:p>
    <w:p w14:paraId="4946BBBF" w14:textId="0C4D8883" w:rsidR="00FB5FA4" w:rsidRDefault="00622FA7" w:rsidP="00622FA7">
      <w:pPr>
        <w:pStyle w:val="Heading3"/>
      </w:pPr>
      <w:bookmarkStart w:id="13" w:name="_Toc100419388"/>
      <w:r>
        <w:t>4.</w:t>
      </w:r>
      <w:r w:rsidR="00FB3B84">
        <w:t>6</w:t>
      </w:r>
      <w:r>
        <w:tab/>
        <w:t>Summary – so far…</w:t>
      </w:r>
      <w:bookmarkEnd w:id="13"/>
      <w:r w:rsidR="00FB5FA4">
        <w:t xml:space="preserve"> </w:t>
      </w:r>
    </w:p>
    <w:p w14:paraId="0793FB3C" w14:textId="77777777" w:rsidR="00CB1128" w:rsidRDefault="002506FF" w:rsidP="002506FF">
      <w:pPr>
        <w:spacing w:after="0"/>
      </w:pPr>
      <w:r>
        <w:t xml:space="preserve">The effect of the above is to upend the Institute’s conclusions.  Applying a proper arithmetic methodology to the Institutes ‘subsidy’ categories would see fossil fuels taxed rather than subsidised.  </w:t>
      </w:r>
    </w:p>
    <w:p w14:paraId="2136C0B1" w14:textId="77777777" w:rsidR="00CB1128" w:rsidRDefault="00CB1128" w:rsidP="002506FF">
      <w:pPr>
        <w:spacing w:after="0"/>
      </w:pPr>
    </w:p>
    <w:p w14:paraId="7FF23CF2" w14:textId="5319D615" w:rsidR="002506FF" w:rsidRDefault="002506FF" w:rsidP="002506FF">
      <w:pPr>
        <w:spacing w:after="0"/>
      </w:pPr>
      <w:r>
        <w:t>On the above figures this would be by more than $12bn.</w:t>
      </w:r>
      <w:r w:rsidR="00511B20">
        <w:rPr>
          <w:rStyle w:val="FootnoteReference"/>
        </w:rPr>
        <w:footnoteReference w:id="14"/>
      </w:r>
      <w:r>
        <w:t xml:space="preserve">  </w:t>
      </w:r>
    </w:p>
    <w:p w14:paraId="5A9D8B4E" w14:textId="78704EA0" w:rsidR="002506FF" w:rsidRDefault="00FB09CC" w:rsidP="002506FF">
      <w:pPr>
        <w:spacing w:after="0"/>
      </w:pPr>
      <w:r>
        <w:lastRenderedPageBreak/>
        <w:t>Yet t</w:t>
      </w:r>
      <w:r w:rsidR="002506FF">
        <w:t xml:space="preserve">hat and the Institute’s attempt to focus on producer rather than consumer subsidies are beside the key points.  Those points being: the </w:t>
      </w:r>
      <w:r w:rsidR="002506FF">
        <w:t xml:space="preserve">issue </w:t>
      </w:r>
      <w:r>
        <w:t xml:space="preserve">the </w:t>
      </w:r>
      <w:r w:rsidR="002506FF">
        <w:t>Institute presumably wants addressed is the use of fossil fuels; an arithmetic approach</w:t>
      </w:r>
      <w:r w:rsidR="002506FF">
        <w:t>, such as used by the Institute,</w:t>
      </w:r>
      <w:r w:rsidR="002506FF">
        <w:t xml:space="preserve"> is inappropriate for development of public policy on fossil fuels.</w:t>
      </w:r>
    </w:p>
    <w:p w14:paraId="295F2617" w14:textId="77777777" w:rsidR="002506FF" w:rsidRDefault="002506FF" w:rsidP="00B81580">
      <w:pPr>
        <w:spacing w:after="0"/>
        <w:rPr>
          <w:rFonts w:cstheme="minorHAnsi"/>
          <w:color w:val="000000"/>
        </w:rPr>
      </w:pPr>
    </w:p>
    <w:p w14:paraId="4B38A982" w14:textId="46762104" w:rsidR="008C3A78" w:rsidRDefault="00962D10" w:rsidP="00B81580">
      <w:pPr>
        <w:spacing w:after="0"/>
        <w:rPr>
          <w:rFonts w:cstheme="minorHAnsi"/>
          <w:color w:val="000000"/>
        </w:rPr>
      </w:pPr>
      <w:r>
        <w:rPr>
          <w:rFonts w:cstheme="minorHAnsi"/>
          <w:color w:val="000000"/>
        </w:rPr>
        <w:t>In relation to the emissions-fossil fuel use issue</w:t>
      </w:r>
      <w:r w:rsidR="002506FF">
        <w:rPr>
          <w:rFonts w:cstheme="minorHAnsi"/>
          <w:color w:val="000000"/>
        </w:rPr>
        <w:t xml:space="preserve">, the Institute’s report, </w:t>
      </w:r>
      <w:r w:rsidR="004D567A">
        <w:rPr>
          <w:rFonts w:cstheme="minorHAnsi"/>
          <w:color w:val="000000"/>
        </w:rPr>
        <w:t>its</w:t>
      </w:r>
      <w:r w:rsidR="002506FF">
        <w:rPr>
          <w:rFonts w:cstheme="minorHAnsi"/>
          <w:color w:val="000000"/>
        </w:rPr>
        <w:t xml:space="preserve"> subsidy arithmetic and therefore the above, suffer a conspicuous absence – assessment of the effect of road spending.  </w:t>
      </w:r>
      <w:r w:rsidR="00BD5953">
        <w:rPr>
          <w:rFonts w:cstheme="minorHAnsi"/>
          <w:color w:val="000000"/>
        </w:rPr>
        <w:t xml:space="preserve"> </w:t>
      </w:r>
    </w:p>
    <w:p w14:paraId="0E0CB165" w14:textId="77777777" w:rsidR="00CB1128" w:rsidRDefault="00CB1128" w:rsidP="00B81580">
      <w:pPr>
        <w:spacing w:after="0"/>
        <w:rPr>
          <w:rFonts w:cstheme="minorHAnsi"/>
          <w:color w:val="000000"/>
        </w:rPr>
      </w:pPr>
    </w:p>
    <w:p w14:paraId="08470DB0" w14:textId="6D792656" w:rsidR="00AE3BAB" w:rsidRDefault="002E304E" w:rsidP="00B81580">
      <w:pPr>
        <w:pStyle w:val="Heading2"/>
        <w:numPr>
          <w:ilvl w:val="0"/>
          <w:numId w:val="2"/>
        </w:numPr>
      </w:pPr>
      <w:bookmarkStart w:id="14" w:name="_Toc100419389"/>
      <w:r>
        <w:t>R</w:t>
      </w:r>
      <w:r w:rsidR="00B159FD">
        <w:t>oad transport</w:t>
      </w:r>
      <w:bookmarkEnd w:id="14"/>
    </w:p>
    <w:p w14:paraId="5431D38C" w14:textId="77777777" w:rsidR="002E304E" w:rsidRDefault="002E304E" w:rsidP="002E304E">
      <w:pPr>
        <w:pStyle w:val="Heading3"/>
      </w:pPr>
      <w:bookmarkStart w:id="15" w:name="_Toc100419390"/>
      <w:r>
        <w:t>5.1</w:t>
      </w:r>
      <w:r>
        <w:tab/>
        <w:t>Basics</w:t>
      </w:r>
      <w:bookmarkEnd w:id="15"/>
    </w:p>
    <w:p w14:paraId="6784CFD0" w14:textId="4F3C37B4" w:rsidR="0083362C" w:rsidRDefault="00B159FD" w:rsidP="00B81580">
      <w:pPr>
        <w:spacing w:after="0"/>
      </w:pPr>
      <w:r>
        <w:t xml:space="preserve">Transport contributes around 18 percent of Australia’s greenhouse emissions.  </w:t>
      </w:r>
      <w:r w:rsidR="0083362C">
        <w:t xml:space="preserve">The sector is the fastest growing source of emissions.  </w:t>
      </w:r>
    </w:p>
    <w:p w14:paraId="4DB9F67D" w14:textId="77777777" w:rsidR="0083362C" w:rsidRDefault="0083362C" w:rsidP="00B81580">
      <w:pPr>
        <w:spacing w:after="0"/>
      </w:pPr>
    </w:p>
    <w:p w14:paraId="4C22EEDE" w14:textId="0716BE0F" w:rsidR="00B159FD" w:rsidRDefault="00B159FD" w:rsidP="00B81580">
      <w:pPr>
        <w:spacing w:after="0"/>
      </w:pPr>
      <w:r>
        <w:t xml:space="preserve">It is claimed </w:t>
      </w:r>
      <w:r w:rsidR="0083362C">
        <w:t>the vast bulk of transport emissions are road related – car use alone accounting for half all-transport emissions</w:t>
      </w:r>
      <w:r>
        <w:t>.</w:t>
      </w:r>
      <w:r>
        <w:rPr>
          <w:rStyle w:val="FootnoteReference"/>
        </w:rPr>
        <w:footnoteReference w:id="15"/>
      </w:r>
    </w:p>
    <w:p w14:paraId="131B7E7F" w14:textId="0E8601C5" w:rsidR="00B15108" w:rsidRDefault="00B15108" w:rsidP="00B81580">
      <w:pPr>
        <w:spacing w:after="0"/>
      </w:pPr>
    </w:p>
    <w:p w14:paraId="45FE9E82" w14:textId="4A81A756" w:rsidR="0083362C" w:rsidRDefault="0083362C" w:rsidP="00B81580">
      <w:pPr>
        <w:spacing w:after="0"/>
      </w:pPr>
      <w:r>
        <w:t>A report from Wollongong University noted:</w:t>
      </w:r>
    </w:p>
    <w:p w14:paraId="6AFEC1A3" w14:textId="2BD82E3B" w:rsidR="00AE3BAB" w:rsidRPr="0083362C" w:rsidRDefault="006D1CE9" w:rsidP="00B81580">
      <w:pPr>
        <w:spacing w:after="0"/>
        <w:ind w:left="720"/>
        <w:rPr>
          <w:rFonts w:cstheme="minorHAnsi"/>
          <w:i/>
          <w:iCs/>
        </w:rPr>
      </w:pPr>
      <w:r>
        <w:rPr>
          <w:rFonts w:cstheme="minorHAnsi"/>
          <w:i/>
          <w:iCs/>
          <w:shd w:val="clear" w:color="auto" w:fill="FFFFFF"/>
        </w:rPr>
        <w:t>‘</w:t>
      </w:r>
      <w:r w:rsidR="00DF5C7D" w:rsidRPr="0083362C">
        <w:rPr>
          <w:rFonts w:cstheme="minorHAnsi"/>
          <w:i/>
          <w:iCs/>
          <w:shd w:val="clear" w:color="auto" w:fill="FFFFFF"/>
        </w:rPr>
        <w:t>The International Monetary Fund (IMF) has also </w:t>
      </w:r>
      <w:r>
        <w:rPr>
          <w:rFonts w:cstheme="minorHAnsi"/>
          <w:i/>
          <w:iCs/>
          <w:shd w:val="clear" w:color="auto" w:fill="FFFFFF"/>
        </w:rPr>
        <w:t>questioned th</w:t>
      </w:r>
      <w:r w:rsidR="00DF5C7D" w:rsidRPr="0083362C">
        <w:rPr>
          <w:rFonts w:cstheme="minorHAnsi"/>
          <w:i/>
          <w:iCs/>
          <w:shd w:val="clear" w:color="auto" w:fill="FFFFFF"/>
        </w:rPr>
        <w:t>e Australian government’s preference for funding roads rather than more energy-efficient rail transport. The IMF </w:t>
      </w:r>
      <w:r>
        <w:rPr>
          <w:rFonts w:cstheme="minorHAnsi"/>
          <w:i/>
          <w:iCs/>
          <w:shd w:val="clear" w:color="auto" w:fill="FFFFFF"/>
        </w:rPr>
        <w:t xml:space="preserve">says </w:t>
      </w:r>
      <w:r w:rsidR="00DF5C7D" w:rsidRPr="0083362C">
        <w:rPr>
          <w:rFonts w:cstheme="minorHAnsi"/>
          <w:i/>
          <w:iCs/>
          <w:shd w:val="clear" w:color="auto" w:fill="FFFFFF"/>
        </w:rPr>
        <w:t>Australia should be spending more on infrastructure, but this should be on rail, airports and seaports, rather than roads.</w:t>
      </w:r>
      <w:r>
        <w:rPr>
          <w:rFonts w:cstheme="minorHAnsi"/>
          <w:i/>
          <w:iCs/>
          <w:shd w:val="clear" w:color="auto" w:fill="FFFFFF"/>
        </w:rPr>
        <w:t>’</w:t>
      </w:r>
      <w:r w:rsidR="00DF5C7D" w:rsidRPr="0083362C">
        <w:rPr>
          <w:rStyle w:val="FootnoteReference"/>
          <w:rFonts w:cstheme="minorHAnsi"/>
          <w:i/>
          <w:iCs/>
          <w:color w:val="001641"/>
          <w:shd w:val="clear" w:color="auto" w:fill="FFFFFF"/>
        </w:rPr>
        <w:footnoteReference w:id="16"/>
      </w:r>
    </w:p>
    <w:p w14:paraId="5BD76D4E" w14:textId="77777777" w:rsidR="002506FF" w:rsidRDefault="002506FF" w:rsidP="00B81580">
      <w:pPr>
        <w:spacing w:after="0"/>
      </w:pPr>
    </w:p>
    <w:p w14:paraId="3DF25360" w14:textId="3CDD686D" w:rsidR="004D1332" w:rsidRDefault="006D1CE9" w:rsidP="00B81580">
      <w:pPr>
        <w:spacing w:after="0"/>
      </w:pPr>
      <w:r>
        <w:t>In 2019, the IMF claimed Australia faces a looming infrastructure gap for seaports and railways but not for roads.</w:t>
      </w:r>
      <w:r w:rsidR="00DA7DCA">
        <w:t xml:space="preserve">  </w:t>
      </w:r>
      <w:r w:rsidR="004D1332">
        <w:t xml:space="preserve">In the present context, </w:t>
      </w:r>
      <w:r w:rsidR="00DA7DCA">
        <w:t>such</w:t>
      </w:r>
      <w:r w:rsidR="004D1332">
        <w:t xml:space="preserve"> views are particularly significant as </w:t>
      </w:r>
      <w:r w:rsidR="00DA7DCA">
        <w:t>the IMF</w:t>
      </w:r>
      <w:r w:rsidR="004D1332">
        <w:t xml:space="preserve"> sponsored international research on fossil fuel subsidies.</w:t>
      </w:r>
      <w:r w:rsidR="00DA7DCA">
        <w:rPr>
          <w:rStyle w:val="FootnoteReference"/>
        </w:rPr>
        <w:footnoteReference w:id="17"/>
      </w:r>
    </w:p>
    <w:p w14:paraId="14C51AB2" w14:textId="77777777" w:rsidR="001523EA" w:rsidRDefault="001523EA" w:rsidP="00B81580">
      <w:pPr>
        <w:spacing w:after="0"/>
      </w:pPr>
    </w:p>
    <w:p w14:paraId="541D016E" w14:textId="7A87AB13" w:rsidR="002E304E" w:rsidRPr="00457AD6" w:rsidRDefault="002E304E" w:rsidP="001523EA">
      <w:pPr>
        <w:pStyle w:val="Heading3"/>
      </w:pPr>
      <w:bookmarkStart w:id="16" w:name="_Toc100419391"/>
      <w:r w:rsidRPr="00457AD6">
        <w:t>5.2</w:t>
      </w:r>
      <w:r w:rsidRPr="00457AD6">
        <w:tab/>
        <w:t>Curious omission</w:t>
      </w:r>
      <w:bookmarkEnd w:id="16"/>
    </w:p>
    <w:p w14:paraId="51ACE5D6" w14:textId="630158DB" w:rsidR="004F7B10" w:rsidRDefault="004D567A" w:rsidP="00B81580">
      <w:pPr>
        <w:spacing w:after="0"/>
      </w:pPr>
      <w:r>
        <w:t>In that light, t</w:t>
      </w:r>
      <w:r w:rsidR="004F7B10">
        <w:t xml:space="preserve">he </w:t>
      </w:r>
      <w:r w:rsidR="000F4E8B">
        <w:t>report</w:t>
      </w:r>
      <w:r w:rsidR="004F7B10">
        <w:t xml:space="preserve">’s failure to deal with roads is curious.  Road transport is </w:t>
      </w:r>
      <w:r w:rsidR="00457AD6">
        <w:t>the domin</w:t>
      </w:r>
      <w:r w:rsidR="004F7B10">
        <w:t xml:space="preserve">ant user of </w:t>
      </w:r>
      <w:r w:rsidR="00457AD6">
        <w:t xml:space="preserve">liquid </w:t>
      </w:r>
      <w:r w:rsidR="004F7B10">
        <w:t>fossil fuels</w:t>
      </w:r>
      <w:r w:rsidR="00A762D3">
        <w:t xml:space="preserve">.  The </w:t>
      </w:r>
      <w:r w:rsidR="002E304E">
        <w:t>excise statistics</w:t>
      </w:r>
      <w:r w:rsidR="00A762D3">
        <w:t xml:space="preserve"> indicate cars and trucks on public roads use approximately twice as much petrol, diesel etc</w:t>
      </w:r>
      <w:r w:rsidR="004F7B10">
        <w:t>.</w:t>
      </w:r>
      <w:r w:rsidR="00A762D3">
        <w:t xml:space="preserve"> as ‘off-road’ uses.</w:t>
      </w:r>
      <w:r w:rsidR="002506FF">
        <w:rPr>
          <w:rStyle w:val="FootnoteReference"/>
        </w:rPr>
        <w:footnoteReference w:id="18"/>
      </w:r>
    </w:p>
    <w:p w14:paraId="00EBE31D" w14:textId="237A91F3" w:rsidR="004F7B10" w:rsidRDefault="004F7B10" w:rsidP="00B81580">
      <w:pPr>
        <w:spacing w:after="0"/>
      </w:pPr>
    </w:p>
    <w:p w14:paraId="0EABDB10" w14:textId="6D6CEC93" w:rsidR="00457AD6" w:rsidRDefault="000F4E8B" w:rsidP="00B81580">
      <w:pPr>
        <w:spacing w:after="0"/>
      </w:pPr>
      <w:r>
        <w:t>Rem</w:t>
      </w:r>
      <w:r w:rsidR="002E304E">
        <w:t>arkabl</w:t>
      </w:r>
      <w:r>
        <w:t>y</w:t>
      </w:r>
      <w:r w:rsidR="002E304E">
        <w:t xml:space="preserve"> the </w:t>
      </w:r>
      <w:r>
        <w:t xml:space="preserve">Institute </w:t>
      </w:r>
      <w:r w:rsidR="002E304E">
        <w:t xml:space="preserve">report </w:t>
      </w:r>
      <w:r w:rsidR="00DA7613">
        <w:t>seemingly refer</w:t>
      </w:r>
      <w:r w:rsidR="00A0479A">
        <w:t>s</w:t>
      </w:r>
      <w:r w:rsidR="00DA7613">
        <w:t xml:space="preserve"> to </w:t>
      </w:r>
      <w:r>
        <w:t>everything infrastructure</w:t>
      </w:r>
      <w:r w:rsidR="00DA7613">
        <w:t xml:space="preserve"> </w:t>
      </w:r>
      <w:r>
        <w:t>– ports, pipelines, railways etc. - except for</w:t>
      </w:r>
      <w:r w:rsidR="00DA7613">
        <w:t xml:space="preserve"> roads</w:t>
      </w:r>
      <w:r w:rsidR="00A0479A">
        <w:t>.  More so since it</w:t>
      </w:r>
      <w:r w:rsidR="006E1BAD">
        <w:t xml:space="preserve"> acknowledg</w:t>
      </w:r>
      <w:r w:rsidR="00A0479A">
        <w:t>e</w:t>
      </w:r>
      <w:r w:rsidR="004D567A">
        <w:t>d</w:t>
      </w:r>
      <w:r w:rsidR="006E1BAD">
        <w:t xml:space="preserve"> Commonwealth spending on roads </w:t>
      </w:r>
      <w:r w:rsidR="00A0479A">
        <w:t xml:space="preserve">- $7.6bn for 2021-22 - </w:t>
      </w:r>
      <w:r w:rsidR="006E1BAD">
        <w:t xml:space="preserve">is near </w:t>
      </w:r>
      <w:r w:rsidR="00A0479A">
        <w:t xml:space="preserve">(now more than) </w:t>
      </w:r>
      <w:r w:rsidR="006E1BAD">
        <w:t xml:space="preserve">the amount of excise Credits.  </w:t>
      </w:r>
      <w:r w:rsidR="00457AD6">
        <w:t>It also ignored the fringe benefits tax concession for cars</w:t>
      </w:r>
      <w:r w:rsidR="004D567A">
        <w:t xml:space="preserve"> – referred to in the media as a ‘tax break on wheels’.</w:t>
      </w:r>
      <w:r w:rsidR="00457AD6">
        <w:rPr>
          <w:rStyle w:val="FootnoteReference"/>
        </w:rPr>
        <w:footnoteReference w:id="19"/>
      </w:r>
    </w:p>
    <w:p w14:paraId="76BA1E22" w14:textId="3D59616F" w:rsidR="00457AD6" w:rsidRDefault="00457AD6" w:rsidP="00B81580">
      <w:pPr>
        <w:spacing w:after="0"/>
      </w:pPr>
    </w:p>
    <w:p w14:paraId="54811BF2" w14:textId="4C2E8CD4" w:rsidR="007650C1" w:rsidRDefault="007650C1" w:rsidP="007650C1">
      <w:pPr>
        <w:spacing w:after="0"/>
      </w:pPr>
      <w:r>
        <w:lastRenderedPageBreak/>
        <w:t>Combined with entire sections on items such as profitable port authorities, ‘</w:t>
      </w:r>
      <w:r w:rsidRPr="000F4E8B">
        <w:rPr>
          <w:i/>
          <w:iCs/>
        </w:rPr>
        <w:t>gas roads’</w:t>
      </w:r>
      <w:r>
        <w:rPr>
          <w:i/>
          <w:iCs/>
        </w:rPr>
        <w:t>,</w:t>
      </w:r>
      <w:r w:rsidRPr="000F4E8B">
        <w:rPr>
          <w:i/>
          <w:iCs/>
        </w:rPr>
        <w:t xml:space="preserve"> ‘Darwin ship lift’</w:t>
      </w:r>
      <w:r>
        <w:t xml:space="preserve"> - which in </w:t>
      </w:r>
      <w:r w:rsidR="00CB1128">
        <w:t>comparison</w:t>
      </w:r>
      <w:r>
        <w:t xml:space="preserve"> involve trivial amounts of public money – the report looks strange.</w:t>
      </w:r>
      <w:r>
        <w:rPr>
          <w:rStyle w:val="FootnoteReference"/>
        </w:rPr>
        <w:footnoteReference w:id="20"/>
      </w:r>
    </w:p>
    <w:p w14:paraId="30DD8C17" w14:textId="4F8CC883" w:rsidR="00CB1128" w:rsidRDefault="00CB1128" w:rsidP="007650C1">
      <w:pPr>
        <w:spacing w:after="0"/>
      </w:pPr>
    </w:p>
    <w:p w14:paraId="66F5375C" w14:textId="2D81160B" w:rsidR="00CB1128" w:rsidRDefault="00CB1128" w:rsidP="007650C1">
      <w:pPr>
        <w:spacing w:after="0"/>
      </w:pPr>
      <w:r>
        <w:t xml:space="preserve">Were road subsidies acknowledged, the </w:t>
      </w:r>
      <w:r w:rsidR="00925CE1">
        <w:t xml:space="preserve">decision to halve the fuel excise would have been </w:t>
      </w:r>
      <w:r w:rsidR="009D78B4">
        <w:t>seen</w:t>
      </w:r>
      <w:r w:rsidR="00925CE1">
        <w:t xml:space="preserve"> as a substantial subsidy increase – because the gap between road spending and road revenues </w:t>
      </w:r>
      <w:r>
        <w:t xml:space="preserve">would </w:t>
      </w:r>
      <w:r w:rsidR="00925CE1">
        <w:t xml:space="preserve">significantly </w:t>
      </w:r>
      <w:r w:rsidR="009D78B4">
        <w:t>widen</w:t>
      </w:r>
      <w:r w:rsidR="00925CE1">
        <w:t>.</w:t>
      </w:r>
    </w:p>
    <w:p w14:paraId="2609AC47" w14:textId="5C22EDA4" w:rsidR="007650C1" w:rsidRDefault="007650C1" w:rsidP="007650C1">
      <w:pPr>
        <w:spacing w:after="0"/>
      </w:pPr>
    </w:p>
    <w:p w14:paraId="29930860" w14:textId="01D6AB15" w:rsidR="007650C1" w:rsidRDefault="007650C1" w:rsidP="007650C1">
      <w:pPr>
        <w:pStyle w:val="Heading3"/>
      </w:pPr>
      <w:bookmarkStart w:id="17" w:name="_Toc100419392"/>
      <w:r>
        <w:t>5.3</w:t>
      </w:r>
      <w:r>
        <w:tab/>
        <w:t>D</w:t>
      </w:r>
      <w:r w:rsidR="00962D10">
        <w:t>ubious</w:t>
      </w:r>
      <w:r>
        <w:t xml:space="preserve"> implication</w:t>
      </w:r>
      <w:bookmarkEnd w:id="17"/>
    </w:p>
    <w:p w14:paraId="75B78C62" w14:textId="7242F080" w:rsidR="00FF7377" w:rsidRDefault="00FB3B84" w:rsidP="00B81580">
      <w:pPr>
        <w:spacing w:after="0"/>
      </w:pPr>
      <w:r>
        <w:t xml:space="preserve">While the report provided some background to the Credit, it did not mention </w:t>
      </w:r>
      <w:r w:rsidR="001927A3">
        <w:t xml:space="preserve">the pivotal change </w:t>
      </w:r>
      <w:r w:rsidR="000A77DD">
        <w:t>of</w:t>
      </w:r>
      <w:r w:rsidR="001927A3">
        <w:t xml:space="preserve"> Australia’s New Tax System </w:t>
      </w:r>
      <w:r w:rsidR="000A77DD">
        <w:t>(2000)</w:t>
      </w:r>
      <w:r w:rsidR="00FF7377">
        <w:t xml:space="preserve"> extending eligibility to the marine and rail industries.  This effectively re-instated the original – 1957 - intention </w:t>
      </w:r>
      <w:r w:rsidR="000A77DD">
        <w:t xml:space="preserve">of the fuel excise </w:t>
      </w:r>
      <w:r w:rsidR="00FF7377">
        <w:t>as a road</w:t>
      </w:r>
      <w:r w:rsidR="000A77DD">
        <w:t>-</w:t>
      </w:r>
      <w:r w:rsidR="00FF7377">
        <w:t>use charge.</w:t>
      </w:r>
      <w:r w:rsidR="00FF7377">
        <w:rPr>
          <w:rStyle w:val="FootnoteReference"/>
        </w:rPr>
        <w:footnoteReference w:id="21"/>
      </w:r>
    </w:p>
    <w:p w14:paraId="0D1151BE" w14:textId="77777777" w:rsidR="007650C1" w:rsidRDefault="007650C1" w:rsidP="00B81580">
      <w:pPr>
        <w:spacing w:after="0"/>
      </w:pPr>
    </w:p>
    <w:p w14:paraId="0F6933A9" w14:textId="47F475B5" w:rsidR="007650C1" w:rsidRDefault="000A77DD" w:rsidP="00B81580">
      <w:pPr>
        <w:spacing w:after="0"/>
      </w:pPr>
      <w:r>
        <w:t>It therefore overlooked</w:t>
      </w:r>
      <w:r w:rsidR="00000F79">
        <w:t xml:space="preserve"> almost 20 years of </w:t>
      </w:r>
      <w:r w:rsidR="007650C1">
        <w:t xml:space="preserve">subsequent </w:t>
      </w:r>
      <w:r w:rsidR="00000F79">
        <w:t>debate</w:t>
      </w:r>
      <w:r w:rsidR="0082679B">
        <w:t xml:space="preserve"> on ‘road reform’</w:t>
      </w:r>
      <w:r w:rsidR="00000F79">
        <w:t>, including at the Council of Australian Governments</w:t>
      </w:r>
      <w:r w:rsidR="0082679B">
        <w:t>.  This is a debate</w:t>
      </w:r>
      <w:r w:rsidR="00000F79">
        <w:t xml:space="preserve"> about the </w:t>
      </w:r>
      <w:r w:rsidR="0082679B">
        <w:t>application</w:t>
      </w:r>
      <w:r w:rsidR="00000F79">
        <w:t xml:space="preserve"> of direct road charges – based on vehicle mass, distance, location and potentially in some place congestion (?) – </w:t>
      </w:r>
      <w:r w:rsidR="007650C1">
        <w:t xml:space="preserve">to </w:t>
      </w:r>
      <w:r w:rsidR="0082679B">
        <w:t>deal with road costs</w:t>
      </w:r>
      <w:r w:rsidR="007650C1">
        <w:t xml:space="preserve">.  From </w:t>
      </w:r>
      <w:r w:rsidR="009008C7">
        <w:t xml:space="preserve">at least </w:t>
      </w:r>
      <w:r w:rsidR="007650C1">
        <w:t xml:space="preserve">the time of the Henry tax review (2010) it has been </w:t>
      </w:r>
      <w:r w:rsidR="00925CE1">
        <w:t>(</w:t>
      </w:r>
      <w:r w:rsidR="007650C1">
        <w:t>almost</w:t>
      </w:r>
      <w:r w:rsidR="00925CE1">
        <w:t>)</w:t>
      </w:r>
      <w:r w:rsidR="007650C1">
        <w:t xml:space="preserve"> universally assumed such direct charges would entirely replace </w:t>
      </w:r>
      <w:r w:rsidR="00000F79">
        <w:t>fuel excise and registration.</w:t>
      </w:r>
      <w:r w:rsidR="00000F79">
        <w:rPr>
          <w:rStyle w:val="FootnoteReference"/>
        </w:rPr>
        <w:footnoteReference w:id="22"/>
      </w:r>
    </w:p>
    <w:p w14:paraId="6F5BC796" w14:textId="77777777" w:rsidR="007650C1" w:rsidRDefault="007650C1" w:rsidP="00B81580">
      <w:pPr>
        <w:spacing w:after="0"/>
      </w:pPr>
    </w:p>
    <w:p w14:paraId="7DAAA945" w14:textId="188BBB74" w:rsidR="0082679B" w:rsidRDefault="0082679B" w:rsidP="00B81580">
      <w:pPr>
        <w:spacing w:after="0"/>
      </w:pPr>
      <w:r>
        <w:t>An</w:t>
      </w:r>
      <w:r w:rsidR="007650C1">
        <w:t xml:space="preserve"> implication of treating the Credit as a subsidy is </w:t>
      </w:r>
      <w:r>
        <w:t xml:space="preserve">treating </w:t>
      </w:r>
      <w:r w:rsidR="007650C1">
        <w:t xml:space="preserve">the excise </w:t>
      </w:r>
      <w:r>
        <w:t>as other than</w:t>
      </w:r>
      <w:r w:rsidR="007650C1">
        <w:t xml:space="preserve"> a road-user charge.</w:t>
      </w:r>
      <w:r w:rsidR="00000F79">
        <w:t xml:space="preserve">  </w:t>
      </w:r>
      <w:r>
        <w:t>This would imply the (an?) excise would be retained – levied in addition to – direct charges aimed at dealing with road costs.  Such a suggestion</w:t>
      </w:r>
      <w:r w:rsidR="009008C7">
        <w:t xml:space="preserve"> would derail any prospect of road reform.</w:t>
      </w:r>
    </w:p>
    <w:p w14:paraId="51FD9F07" w14:textId="77777777" w:rsidR="00000F79" w:rsidRDefault="00000F79" w:rsidP="00B81580">
      <w:pPr>
        <w:spacing w:after="0"/>
      </w:pPr>
    </w:p>
    <w:p w14:paraId="2EA4878D" w14:textId="1344BFAF" w:rsidR="00A53928" w:rsidRPr="002E304E" w:rsidRDefault="002E304E" w:rsidP="00457AD6">
      <w:pPr>
        <w:pStyle w:val="Heading3"/>
      </w:pPr>
      <w:bookmarkStart w:id="18" w:name="_Toc100419393"/>
      <w:r w:rsidRPr="002E304E">
        <w:t>5.</w:t>
      </w:r>
      <w:r w:rsidR="007E683E">
        <w:t>4</w:t>
      </w:r>
      <w:r w:rsidRPr="002E304E">
        <w:tab/>
        <w:t>Curing the curio</w:t>
      </w:r>
      <w:bookmarkEnd w:id="18"/>
    </w:p>
    <w:p w14:paraId="1DAA4574" w14:textId="2627AE16" w:rsidR="00A26A00" w:rsidRDefault="00457AD6" w:rsidP="00457AD6">
      <w:pPr>
        <w:spacing w:after="0"/>
      </w:pPr>
      <w:r>
        <w:t>Over recent years, a series of articles at the jadebeagle and John Menadue’s Pearls and Irritations</w:t>
      </w:r>
      <w:r>
        <w:t xml:space="preserve"> demonstrated </w:t>
      </w:r>
      <w:r>
        <w:t xml:space="preserve">road spending </w:t>
      </w:r>
      <w:r>
        <w:t>exceed</w:t>
      </w:r>
      <w:r>
        <w:t>s</w:t>
      </w:r>
      <w:r>
        <w:t xml:space="preserve"> road revenues by billions of dollars annually.  </w:t>
      </w:r>
      <w:r w:rsidR="00A26A00">
        <w:t>For 2019-20, the most recent reported year, excess spending was $8.9bn.</w:t>
      </w:r>
      <w:r w:rsidR="00A26A00">
        <w:rPr>
          <w:rStyle w:val="FootnoteReference"/>
        </w:rPr>
        <w:footnoteReference w:id="23"/>
      </w:r>
    </w:p>
    <w:p w14:paraId="694F705C" w14:textId="77777777" w:rsidR="00A26A00" w:rsidRDefault="00A26A00" w:rsidP="00457AD6">
      <w:pPr>
        <w:spacing w:after="0"/>
      </w:pPr>
    </w:p>
    <w:p w14:paraId="4853E1E9" w14:textId="77777777" w:rsidR="009D78B4" w:rsidRDefault="00457AD6" w:rsidP="00B81580">
      <w:pPr>
        <w:spacing w:after="0"/>
      </w:pPr>
      <w:r>
        <w:t>Given nearly all road use is by fossil fuel vehicles, th</w:t>
      </w:r>
      <w:r w:rsidR="00233173">
        <w:t>is is</w:t>
      </w:r>
      <w:r>
        <w:t xml:space="preserve"> the most substantial, incontrovertible, arithmetic subsidy to fossil fuel use</w:t>
      </w:r>
      <w:r w:rsidR="00233173">
        <w:t xml:space="preserve">.  It should have been included in the Institute’s calculations.  </w:t>
      </w:r>
    </w:p>
    <w:p w14:paraId="2642BDF9" w14:textId="77777777" w:rsidR="009D78B4" w:rsidRDefault="009D78B4" w:rsidP="00B81580">
      <w:pPr>
        <w:spacing w:after="0"/>
      </w:pPr>
    </w:p>
    <w:p w14:paraId="5F4D42E1" w14:textId="550E7246" w:rsidR="002C0F52" w:rsidRDefault="00233173" w:rsidP="00B81580">
      <w:pPr>
        <w:spacing w:after="0"/>
      </w:pPr>
      <w:r>
        <w:lastRenderedPageBreak/>
        <w:t>If it w</w:t>
      </w:r>
      <w:r w:rsidR="000F4E8B">
        <w:t>as</w:t>
      </w:r>
      <w:r>
        <w:t xml:space="preserve"> included, the result of the arithmetic would be </w:t>
      </w:r>
      <w:r w:rsidR="000F4E8B">
        <w:t xml:space="preserve">much closer to </w:t>
      </w:r>
      <w:r>
        <w:t xml:space="preserve">the </w:t>
      </w:r>
      <w:r w:rsidR="000F4E8B">
        <w:t xml:space="preserve">implication most readers would draw from the </w:t>
      </w:r>
      <w:r>
        <w:t>Institute</w:t>
      </w:r>
      <w:r w:rsidR="000F4E8B">
        <w:t>’s report</w:t>
      </w:r>
      <w:r>
        <w:t xml:space="preserve"> – fossil fuel use is subsidised in Australia. </w:t>
      </w:r>
      <w:r w:rsidR="00925CE1">
        <w:t xml:space="preserve">  It would have provided a common-sense conclusion: </w:t>
      </w:r>
      <w:r w:rsidR="009D78B4">
        <w:t xml:space="preserve">the </w:t>
      </w:r>
      <w:r w:rsidR="00925CE1">
        <w:t xml:space="preserve">cut in the excise </w:t>
      </w:r>
      <w:r w:rsidR="009D78B4">
        <w:t xml:space="preserve">significantly </w:t>
      </w:r>
      <w:r w:rsidR="00925CE1">
        <w:t>increased fossil fuel subsidies.</w:t>
      </w:r>
    </w:p>
    <w:p w14:paraId="24E29885" w14:textId="77777777" w:rsidR="00C316A3" w:rsidRDefault="00C316A3" w:rsidP="00B81580">
      <w:pPr>
        <w:spacing w:after="0"/>
      </w:pPr>
    </w:p>
    <w:p w14:paraId="444B7B3D" w14:textId="12FF4F44" w:rsidR="001E7ED8" w:rsidRDefault="00A26A00" w:rsidP="00B81580">
      <w:pPr>
        <w:pStyle w:val="Heading2"/>
        <w:numPr>
          <w:ilvl w:val="0"/>
          <w:numId w:val="2"/>
        </w:numPr>
      </w:pPr>
      <w:bookmarkStart w:id="19" w:name="_Toc100419394"/>
      <w:r>
        <w:t>Concluding comments</w:t>
      </w:r>
      <w:bookmarkEnd w:id="19"/>
    </w:p>
    <w:p w14:paraId="228BD254" w14:textId="77777777" w:rsidR="007E683E" w:rsidRDefault="000F29AA" w:rsidP="00233173">
      <w:pPr>
        <w:spacing w:after="0"/>
      </w:pPr>
      <w:r>
        <w:t>Some may claim the Institute’s report is justified because it simply says there are fossil fuel subsidies in Australia.  I disagree</w:t>
      </w:r>
      <w:r w:rsidR="00BE2B20">
        <w:t xml:space="preserve">.  </w:t>
      </w:r>
    </w:p>
    <w:p w14:paraId="3D96F719" w14:textId="77777777" w:rsidR="007E683E" w:rsidRDefault="007E683E" w:rsidP="00233173">
      <w:pPr>
        <w:spacing w:after="0"/>
      </w:pPr>
    </w:p>
    <w:p w14:paraId="6FCB5EC0" w14:textId="47E03C7B" w:rsidR="000F29AA" w:rsidRDefault="00BE2B20" w:rsidP="00233173">
      <w:pPr>
        <w:spacing w:after="0"/>
      </w:pPr>
      <w:r>
        <w:t>M</w:t>
      </w:r>
      <w:r w:rsidR="000F29AA">
        <w:t xml:space="preserve">ost readers would </w:t>
      </w:r>
      <w:r>
        <w:t>think</w:t>
      </w:r>
      <w:r w:rsidR="000F29AA">
        <w:t xml:space="preserve"> the report </w:t>
      </w:r>
      <w:r>
        <w:t>says</w:t>
      </w:r>
      <w:r w:rsidR="000F29AA">
        <w:t xml:space="preserve"> fossil fuels are subsidised.  That is not supportable by the report, and is likely not supportable by even a proper arithmetic approach to subsidy assessment.</w:t>
      </w:r>
    </w:p>
    <w:p w14:paraId="4C894F0B" w14:textId="77777777" w:rsidR="007E683E" w:rsidRDefault="007E683E" w:rsidP="00233173">
      <w:pPr>
        <w:spacing w:after="0"/>
      </w:pPr>
    </w:p>
    <w:p w14:paraId="6233D934" w14:textId="3FDFE1BF" w:rsidR="009008C7" w:rsidRDefault="00233173" w:rsidP="00233173">
      <w:pPr>
        <w:spacing w:after="0"/>
      </w:pPr>
      <w:r>
        <w:t xml:space="preserve">Apart from the </w:t>
      </w:r>
      <w:r w:rsidR="00BE2B20">
        <w:t>faulty</w:t>
      </w:r>
      <w:r w:rsidR="004224F9">
        <w:t xml:space="preserve"> </w:t>
      </w:r>
      <w:r>
        <w:t>approach</w:t>
      </w:r>
      <w:r w:rsidR="006C42AD">
        <w:t xml:space="preserve"> used by the Institute – wrongly counting a rebate as a </w:t>
      </w:r>
      <w:r w:rsidR="004224F9">
        <w:t xml:space="preserve">fossil fuel </w:t>
      </w:r>
      <w:r w:rsidR="006C42AD">
        <w:t>subsidy</w:t>
      </w:r>
      <w:r w:rsidR="009008C7">
        <w:t>,</w:t>
      </w:r>
      <w:r w:rsidR="006C42AD">
        <w:t xml:space="preserve"> ignoring a massive subsidy to road users </w:t>
      </w:r>
      <w:r w:rsidR="004224F9">
        <w:t>who are the largest users of liquid fossil fuels</w:t>
      </w:r>
      <w:r w:rsidR="007E683E">
        <w:t xml:space="preserve"> </w:t>
      </w:r>
      <w:r w:rsidR="006C42AD">
        <w:t xml:space="preserve">– another peculiar matter was publication of the report just prior to the Budget. </w:t>
      </w:r>
      <w:r>
        <w:t xml:space="preserve"> </w:t>
      </w:r>
    </w:p>
    <w:p w14:paraId="018669B9" w14:textId="77777777" w:rsidR="007E683E" w:rsidRDefault="007E683E" w:rsidP="00233173">
      <w:pPr>
        <w:spacing w:after="0"/>
      </w:pPr>
    </w:p>
    <w:p w14:paraId="0D1D591D" w14:textId="39499770" w:rsidR="002E304E" w:rsidRDefault="006C42AD" w:rsidP="00233173">
      <w:pPr>
        <w:spacing w:after="0"/>
      </w:pPr>
      <w:r>
        <w:t>Th</w:t>
      </w:r>
      <w:r w:rsidR="007E683E">
        <w:t>e timing</w:t>
      </w:r>
      <w:r>
        <w:t xml:space="preserve"> was </w:t>
      </w:r>
      <w:r w:rsidR="004224F9">
        <w:t>odd</w:t>
      </w:r>
      <w:r>
        <w:t xml:space="preserve"> given widespread speculation the Budget would announce an excise reduction - which would </w:t>
      </w:r>
      <w:r w:rsidR="000F29AA">
        <w:t xml:space="preserve">be expected to </w:t>
      </w:r>
      <w:r>
        <w:t>demonstrate the invalidity of the Institute’s approach.</w:t>
      </w:r>
      <w:r>
        <w:rPr>
          <w:rStyle w:val="FootnoteReference"/>
        </w:rPr>
        <w:footnoteReference w:id="24"/>
      </w:r>
    </w:p>
    <w:p w14:paraId="02F8B502" w14:textId="2CE4E77F" w:rsidR="006C42AD" w:rsidRDefault="006C42AD" w:rsidP="00233173">
      <w:pPr>
        <w:spacing w:after="0"/>
      </w:pPr>
    </w:p>
    <w:p w14:paraId="7C32E4D7" w14:textId="619B6B85" w:rsidR="008100E8" w:rsidRDefault="004224F9" w:rsidP="008100E8">
      <w:pPr>
        <w:spacing w:after="0"/>
      </w:pPr>
      <w:r>
        <w:t>Beyond this, the international situation after Russia’s invasion of Ukraine has drawn attention to energy security.  There appears to be regret within at least Europe about nations’ reliance on Russian gas and oil</w:t>
      </w:r>
      <w:r w:rsidR="007374F9">
        <w:t xml:space="preserve"> – most of all </w:t>
      </w:r>
      <w:r w:rsidR="000F29AA">
        <w:t xml:space="preserve">by </w:t>
      </w:r>
      <w:r w:rsidR="007374F9">
        <w:t>Germany</w:t>
      </w:r>
      <w:r>
        <w:t>.</w:t>
      </w:r>
      <w:r w:rsidR="002E304E">
        <w:t xml:space="preserve"> </w:t>
      </w:r>
      <w:r w:rsidR="007374F9">
        <w:t xml:space="preserve">  In that environment, urgent attention is likely to be paid to diversification of sources of fossil fuels, including </w:t>
      </w:r>
      <w:r w:rsidR="007E683E">
        <w:t xml:space="preserve">greater </w:t>
      </w:r>
      <w:r w:rsidR="007374F9">
        <w:t>domestic production and storage.</w:t>
      </w:r>
      <w:r w:rsidR="000A3FD8">
        <w:t xml:space="preserve">  Another effect of the invasion has been a contribution to soaring coal prices – thermal and coking coal being at record levels in March 2022.</w:t>
      </w:r>
      <w:r>
        <w:rPr>
          <w:rStyle w:val="FootnoteReference"/>
        </w:rPr>
        <w:footnoteReference w:id="25"/>
      </w:r>
    </w:p>
    <w:p w14:paraId="72BCBB2F" w14:textId="77777777" w:rsidR="008100E8" w:rsidRDefault="008100E8" w:rsidP="008100E8">
      <w:pPr>
        <w:spacing w:after="0"/>
      </w:pPr>
    </w:p>
    <w:p w14:paraId="57EF7933" w14:textId="77777777" w:rsidR="008100E8" w:rsidRDefault="00B657F1" w:rsidP="002E304E">
      <w:r>
        <w:t xml:space="preserve">Does this matter?  In my view: yes.  To the extent the Australia Institute seeks to influence public policy – and it claims to be influential – it should do so on the basis of fact and balance.  </w:t>
      </w:r>
    </w:p>
    <w:p w14:paraId="23F3C8B9" w14:textId="77777777" w:rsidR="008100E8" w:rsidRDefault="008100E8" w:rsidP="002E304E">
      <w:r>
        <w:t>P</w:t>
      </w:r>
      <w:r w:rsidR="00B657F1">
        <w:t xml:space="preserve">ublic policy questions regarding fossil fuel policy are held to be fundamentally important.  However, the report falls far short of the standard that should be expected in contributions to the debate.  </w:t>
      </w:r>
    </w:p>
    <w:p w14:paraId="4942CB53" w14:textId="3738C9A5" w:rsidR="008100E8" w:rsidRDefault="00B657F1" w:rsidP="002E304E">
      <w:r>
        <w:t xml:space="preserve">The report could be interpreted as an argument to </w:t>
      </w:r>
      <w:r w:rsidR="008100E8">
        <w:t xml:space="preserve">reduce fuel excises, as this is apparently a politically acceptable way of reducing what the report considers to be fossil fuel subsidies. </w:t>
      </w:r>
      <w:r>
        <w:t>While</w:t>
      </w:r>
      <w:r w:rsidR="008100E8">
        <w:t xml:space="preserve"> release of the report and the Government’s action are likely coincidental, it </w:t>
      </w:r>
      <w:r w:rsidR="009D78B4">
        <w:t xml:space="preserve">– like the criticisms of the Prime Minister for not ‘holding a hose’ </w:t>
      </w:r>
      <w:r w:rsidR="008100E8">
        <w:t>is another example of good intentions paving the way to hell.</w:t>
      </w:r>
    </w:p>
    <w:p w14:paraId="4C1915C9" w14:textId="77777777" w:rsidR="00BE2B20" w:rsidRDefault="008100E8" w:rsidP="002E304E">
      <w:r>
        <w:t xml:space="preserve">Here the intention is presumably to facilitate transition to a low carbon society.  </w:t>
      </w:r>
      <w:r w:rsidR="001523EA">
        <w:t xml:space="preserve">That transition needs to increase the price of carbon emissions relative to other activities.  </w:t>
      </w:r>
    </w:p>
    <w:p w14:paraId="4908B490" w14:textId="77777777" w:rsidR="009D78B4" w:rsidRDefault="001523EA" w:rsidP="002E304E">
      <w:r>
        <w:t>The argument for the price increase should be modelled – what is the optimum price of carbon</w:t>
      </w:r>
      <w:r w:rsidR="000F29AA">
        <w:t xml:space="preserve">?  </w:t>
      </w:r>
    </w:p>
    <w:p w14:paraId="4B020963" w14:textId="4026F4A5" w:rsidR="008100E8" w:rsidRDefault="000F29AA" w:rsidP="002E304E">
      <w:r>
        <w:lastRenderedPageBreak/>
        <w:t>I</w:t>
      </w:r>
      <w:r w:rsidR="001523EA">
        <w:t>n the case of the fuel excise</w:t>
      </w:r>
      <w:r>
        <w:t xml:space="preserve"> the public policy question is</w:t>
      </w:r>
      <w:r w:rsidR="00BE2B20">
        <w:t>:</w:t>
      </w:r>
      <w:r w:rsidR="001523EA">
        <w:t xml:space="preserve"> the optimum tax on fuels taking into account a carbon price and road usage costs.  It is all but certain the road</w:t>
      </w:r>
      <w:r w:rsidR="00BE2B20">
        <w:t>-</w:t>
      </w:r>
      <w:r w:rsidR="001523EA">
        <w:t xml:space="preserve">use excise prior to the recent cuts was significantly </w:t>
      </w:r>
      <w:r w:rsidR="009008C7">
        <w:t>different from</w:t>
      </w:r>
      <w:r w:rsidR="001523EA">
        <w:t xml:space="preserve"> that optimum.  The argument constructed by the Institute suggests exactly the opposite.  In that it is</w:t>
      </w:r>
      <w:r w:rsidR="00077E4D">
        <w:t xml:space="preserve"> </w:t>
      </w:r>
      <w:r w:rsidR="001523EA">
        <w:t>particularly unfortunate.</w:t>
      </w:r>
    </w:p>
    <w:p w14:paraId="30845004" w14:textId="59FB6EFF" w:rsidR="001523EA" w:rsidRDefault="001523EA" w:rsidP="002E304E"/>
    <w:p w14:paraId="1DDE1A42" w14:textId="3F42AA6A" w:rsidR="00BE2B20" w:rsidRDefault="00BE2B20" w:rsidP="002E304E">
      <w:r>
        <w:t>J Austen</w:t>
      </w:r>
    </w:p>
    <w:p w14:paraId="3CE2795D" w14:textId="6EFEA883" w:rsidR="0096778B" w:rsidRDefault="00FA44A5" w:rsidP="002E304E">
      <w:r>
        <w:t>6 April 2022</w:t>
      </w:r>
      <w:r w:rsidR="0096778B">
        <w:br/>
      </w:r>
    </w:p>
    <w:p w14:paraId="555BD32C" w14:textId="77777777" w:rsidR="0096778B" w:rsidRDefault="0096778B">
      <w:r>
        <w:br w:type="page"/>
      </w:r>
    </w:p>
    <w:p w14:paraId="3774CAB3" w14:textId="7F2A31D7" w:rsidR="008100E8" w:rsidRDefault="008100E8" w:rsidP="002E304E"/>
    <w:p w14:paraId="278F7376" w14:textId="0365CFCA" w:rsidR="0096778B" w:rsidRDefault="0027177E" w:rsidP="0027177E">
      <w:pPr>
        <w:pStyle w:val="Heading2"/>
      </w:pPr>
      <w:bookmarkStart w:id="20" w:name="_Toc100419395"/>
      <w:r>
        <w:t>Appendix: charts and better charts</w:t>
      </w:r>
      <w:bookmarkEnd w:id="20"/>
    </w:p>
    <w:p w14:paraId="1D7C7F45" w14:textId="182D1BBC" w:rsidR="00C728DA" w:rsidRDefault="00C728DA" w:rsidP="00BF3591">
      <w:r>
        <w:t>Both the Australia Institute and the Fuel Tax Credits Alliance produced charts that could easily mislead.</w:t>
      </w:r>
    </w:p>
    <w:p w14:paraId="3A731325" w14:textId="6BB24828" w:rsidR="004F63B5" w:rsidRPr="004F63B5" w:rsidRDefault="004F63B5" w:rsidP="004F63B5">
      <w:pPr>
        <w:pStyle w:val="Heading3"/>
      </w:pPr>
      <w:bookmarkStart w:id="21" w:name="_Toc100419396"/>
      <w:r w:rsidRPr="004F63B5">
        <w:t>Australia Institute</w:t>
      </w:r>
      <w:bookmarkEnd w:id="21"/>
    </w:p>
    <w:p w14:paraId="0C6ABB53" w14:textId="4D1F0797" w:rsidR="00BF3591" w:rsidRDefault="00C728DA" w:rsidP="00BF3591">
      <w:r>
        <w:t xml:space="preserve">The Australia Institute’s report </w:t>
      </w:r>
      <w:r w:rsidR="00AC36FA">
        <w:t>included</w:t>
      </w:r>
      <w:r>
        <w:t xml:space="preserve"> the following cha</w:t>
      </w:r>
      <w:r w:rsidR="00E7478C">
        <w:t>rt 1.</w:t>
      </w:r>
    </w:p>
    <w:p w14:paraId="5494B764" w14:textId="1B85AEE0" w:rsidR="00E7478C" w:rsidRPr="00E7478C" w:rsidRDefault="00E7478C" w:rsidP="00BF3591">
      <w:pPr>
        <w:rPr>
          <w:b/>
          <w:bCs/>
        </w:rPr>
      </w:pPr>
      <w:r w:rsidRPr="00E7478C">
        <w:rPr>
          <w:b/>
          <w:bCs/>
        </w:rPr>
        <w:t xml:space="preserve">Chart 1: Australia Institute fossil fuel share of </w:t>
      </w:r>
      <w:r>
        <w:rPr>
          <w:b/>
          <w:bCs/>
        </w:rPr>
        <w:t>F</w:t>
      </w:r>
      <w:r w:rsidRPr="00E7478C">
        <w:rPr>
          <w:b/>
          <w:bCs/>
        </w:rPr>
        <w:t xml:space="preserve">uel </w:t>
      </w:r>
      <w:r>
        <w:rPr>
          <w:b/>
          <w:bCs/>
        </w:rPr>
        <w:t>E</w:t>
      </w:r>
      <w:r w:rsidRPr="00E7478C">
        <w:rPr>
          <w:b/>
          <w:bCs/>
        </w:rPr>
        <w:t xml:space="preserve">xcise </w:t>
      </w:r>
      <w:r>
        <w:rPr>
          <w:b/>
          <w:bCs/>
        </w:rPr>
        <w:t>C</w:t>
      </w:r>
      <w:r w:rsidRPr="00E7478C">
        <w:rPr>
          <w:b/>
          <w:bCs/>
        </w:rPr>
        <w:t>redit</w:t>
      </w:r>
    </w:p>
    <w:p w14:paraId="3C880A48" w14:textId="240DD183" w:rsidR="0027177E" w:rsidRDefault="0027177E" w:rsidP="002E304E">
      <w:r>
        <w:rPr>
          <w:noProof/>
        </w:rPr>
        <w:drawing>
          <wp:inline distT="0" distB="0" distL="0" distR="0" wp14:anchorId="3FF2448D" wp14:editId="4C31F3F3">
            <wp:extent cx="5007128" cy="3557467"/>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245" t="19177" r="25053" b="12964"/>
                    <a:stretch/>
                  </pic:blipFill>
                  <pic:spPr bwMode="auto">
                    <a:xfrm>
                      <a:off x="0" y="0"/>
                      <a:ext cx="5027406" cy="3571874"/>
                    </a:xfrm>
                    <a:prstGeom prst="rect">
                      <a:avLst/>
                    </a:prstGeom>
                    <a:ln>
                      <a:noFill/>
                    </a:ln>
                    <a:extLst>
                      <a:ext uri="{53640926-AAD7-44D8-BBD7-CCE9431645EC}">
                        <a14:shadowObscured xmlns:a14="http://schemas.microsoft.com/office/drawing/2010/main"/>
                      </a:ext>
                    </a:extLst>
                  </pic:spPr>
                </pic:pic>
              </a:graphicData>
            </a:graphic>
          </wp:inline>
        </w:drawing>
      </w:r>
    </w:p>
    <w:p w14:paraId="412B5AA4" w14:textId="0F56736A" w:rsidR="00C728DA" w:rsidRDefault="00C728DA" w:rsidP="002E304E">
      <w:r>
        <w:t xml:space="preserve">The last two sentences in the </w:t>
      </w:r>
      <w:r w:rsidR="00BD121D">
        <w:t xml:space="preserve">above </w:t>
      </w:r>
      <w:r>
        <w:t xml:space="preserve">text indicate why </w:t>
      </w:r>
      <w:r w:rsidR="00BD121D">
        <w:t>the chart</w:t>
      </w:r>
      <w:r>
        <w:t xml:space="preserve"> might mislead</w:t>
      </w:r>
      <w:r w:rsidR="006572D2">
        <w:t xml:space="preserve"> readers to conclude</w:t>
      </w:r>
      <w:r>
        <w:t xml:space="preserve"> the main </w:t>
      </w:r>
      <w:r w:rsidR="00867F95">
        <w:t>‘</w:t>
      </w:r>
      <w:r>
        <w:t>beneficiary</w:t>
      </w:r>
      <w:r w:rsidR="00867F95">
        <w:t>’</w:t>
      </w:r>
      <w:r>
        <w:t xml:space="preserve"> of the Credit </w:t>
      </w:r>
      <w:r w:rsidR="006572D2">
        <w:t>is</w:t>
      </w:r>
      <w:r>
        <w:t xml:space="preserve"> fossil fuel </w:t>
      </w:r>
      <w:r w:rsidR="006572D2">
        <w:t>production</w:t>
      </w:r>
      <w:r>
        <w:t>.</w:t>
      </w:r>
    </w:p>
    <w:p w14:paraId="21AC254C" w14:textId="704916CC" w:rsidR="006572D2" w:rsidRDefault="00867F95" w:rsidP="002E304E">
      <w:r>
        <w:t xml:space="preserve">The chart could be read as distinguishing between </w:t>
      </w:r>
      <w:r w:rsidR="006F193B">
        <w:t>(</w:t>
      </w:r>
      <w:r>
        <w:t>what the Institute considers to be</w:t>
      </w:r>
      <w:r w:rsidR="006F193B">
        <w:t>)</w:t>
      </w:r>
      <w:r>
        <w:t xml:space="preserve"> </w:t>
      </w:r>
      <w:r w:rsidR="00200068">
        <w:t xml:space="preserve">subsidies for </w:t>
      </w:r>
      <w:r>
        <w:t xml:space="preserve">production and </w:t>
      </w:r>
      <w:r w:rsidR="00200068">
        <w:t xml:space="preserve">for </w:t>
      </w:r>
      <w:r>
        <w:t>consumption</w:t>
      </w:r>
      <w:r w:rsidR="004F63B5">
        <w:t xml:space="preserve"> – as fossil fuel industries are engaged in production </w:t>
      </w:r>
      <w:r w:rsidR="006572D2">
        <w:t xml:space="preserve">while other industries (including in mining) are </w:t>
      </w:r>
      <w:r w:rsidR="006F193B">
        <w:t>o</w:t>
      </w:r>
      <w:r w:rsidR="006572D2">
        <w:t>nly consum</w:t>
      </w:r>
      <w:r w:rsidR="006F193B">
        <w:t>e</w:t>
      </w:r>
      <w:r w:rsidR="006572D2">
        <w:t xml:space="preserve"> of fossil fuels</w:t>
      </w:r>
      <w:r>
        <w:t xml:space="preserve">.  </w:t>
      </w:r>
    </w:p>
    <w:p w14:paraId="66445020" w14:textId="1A82A194" w:rsidR="00867F95" w:rsidRDefault="00867F95" w:rsidP="002E304E">
      <w:r>
        <w:t>The text of the report refers to emissions</w:t>
      </w:r>
      <w:r w:rsidR="006572D2">
        <w:t>.  These</w:t>
      </w:r>
      <w:r>
        <w:t xml:space="preserve"> arise from consumption</w:t>
      </w:r>
      <w:r w:rsidR="006572D2">
        <w:t xml:space="preserve"> of fossil fuels and in some industries – such as agriculture – other factors</w:t>
      </w:r>
      <w:r>
        <w:t xml:space="preserve">.  </w:t>
      </w:r>
    </w:p>
    <w:p w14:paraId="3E6B4D4B" w14:textId="41FB5AC8" w:rsidR="0096778B" w:rsidRDefault="00200068" w:rsidP="003E117C">
      <w:r>
        <w:t xml:space="preserve">The report does not present a chart showing how mining, or fossil fuel mining, compares with other sectors in claiming Credits.  It does present a series of charts showing </w:t>
      </w:r>
      <w:r w:rsidR="003E117C">
        <w:t xml:space="preserve">broad industry allocation of Budget subsidies – excluding </w:t>
      </w:r>
      <w:r w:rsidR="008D232E">
        <w:t xml:space="preserve">tax concessions </w:t>
      </w:r>
      <w:r w:rsidR="00385BEC">
        <w:t>e.g.,</w:t>
      </w:r>
      <w:r w:rsidR="008D232E">
        <w:t xml:space="preserve"> excise C</w:t>
      </w:r>
      <w:r w:rsidR="003E117C">
        <w:t>redits</w:t>
      </w:r>
      <w:r w:rsidR="008D232E">
        <w:t xml:space="preserve"> – for fossil fuels</w:t>
      </w:r>
      <w:r w:rsidR="003E117C">
        <w:t xml:space="preserve">.  </w:t>
      </w:r>
      <w:r w:rsidR="00715FAB">
        <w:t>Unsurprisingly these show</w:t>
      </w:r>
      <w:r w:rsidR="008D232E">
        <w:t xml:space="preserve"> (production) subsidies for fossil fuels are largely used by fossil fuel producers.</w:t>
      </w:r>
    </w:p>
    <w:p w14:paraId="513D67A8" w14:textId="1BC40A9D" w:rsidR="00715FAB" w:rsidRDefault="00715FAB" w:rsidP="003E117C">
      <w:r>
        <w:t>A less</w:t>
      </w:r>
      <w:r w:rsidR="00C203A2">
        <w:t>-</w:t>
      </w:r>
      <w:r>
        <w:t>likely</w:t>
      </w:r>
      <w:r w:rsidR="00C203A2">
        <w:t>-</w:t>
      </w:r>
      <w:r>
        <w:t>to</w:t>
      </w:r>
      <w:r w:rsidR="00C203A2">
        <w:t>-</w:t>
      </w:r>
      <w:r>
        <w:t xml:space="preserve">mislead presentation of </w:t>
      </w:r>
      <w:r w:rsidR="00143015">
        <w:t>‘</w:t>
      </w:r>
      <w:r>
        <w:t>fossil fuel industry</w:t>
      </w:r>
      <w:r w:rsidR="00143015">
        <w:t>’</w:t>
      </w:r>
      <w:r>
        <w:t xml:space="preserve"> </w:t>
      </w:r>
      <w:r w:rsidR="00FB2A9F">
        <w:t xml:space="preserve">use of </w:t>
      </w:r>
      <w:r>
        <w:t xml:space="preserve">the </w:t>
      </w:r>
      <w:r w:rsidR="00FB2A9F">
        <w:t>C</w:t>
      </w:r>
      <w:r>
        <w:t xml:space="preserve">redit is </w:t>
      </w:r>
      <w:r w:rsidR="00C203A2">
        <w:t>C</w:t>
      </w:r>
      <w:r>
        <w:t>hart 2.</w:t>
      </w:r>
    </w:p>
    <w:p w14:paraId="16CEAD86" w14:textId="0B399BB9" w:rsidR="00143015" w:rsidRDefault="00143015" w:rsidP="003E117C">
      <w:pPr>
        <w:rPr>
          <w:b/>
          <w:bCs/>
        </w:rPr>
      </w:pPr>
    </w:p>
    <w:p w14:paraId="3C17D084" w14:textId="77777777" w:rsidR="00BD121D" w:rsidRDefault="00BD121D" w:rsidP="003E117C">
      <w:pPr>
        <w:rPr>
          <w:b/>
          <w:bCs/>
        </w:rPr>
      </w:pPr>
    </w:p>
    <w:p w14:paraId="7130FFAE" w14:textId="2439561D" w:rsidR="00E7478C" w:rsidRDefault="00E7478C" w:rsidP="003E117C">
      <w:pPr>
        <w:rPr>
          <w:b/>
          <w:bCs/>
        </w:rPr>
      </w:pPr>
      <w:r w:rsidRPr="00E7478C">
        <w:rPr>
          <w:b/>
          <w:bCs/>
        </w:rPr>
        <w:lastRenderedPageBreak/>
        <w:t xml:space="preserve">Chart 2: </w:t>
      </w:r>
      <w:r w:rsidR="00143015">
        <w:rPr>
          <w:b/>
          <w:bCs/>
        </w:rPr>
        <w:t xml:space="preserve">Fuel Excise Credit </w:t>
      </w:r>
      <w:r w:rsidR="00C203A2">
        <w:rPr>
          <w:b/>
          <w:bCs/>
        </w:rPr>
        <w:t xml:space="preserve">use </w:t>
      </w:r>
      <w:r w:rsidR="00143015">
        <w:rPr>
          <w:b/>
          <w:bCs/>
        </w:rPr>
        <w:t>by ‘fossil fuel’ and ‘not fossil fuel’ industr</w:t>
      </w:r>
      <w:r w:rsidR="00C203A2">
        <w:rPr>
          <w:b/>
          <w:bCs/>
        </w:rPr>
        <w:t>ies</w:t>
      </w:r>
      <w:r w:rsidR="00143015">
        <w:rPr>
          <w:b/>
          <w:bCs/>
        </w:rPr>
        <w:t xml:space="preserve"> 2019-20</w:t>
      </w:r>
    </w:p>
    <w:p w14:paraId="03EF36AB" w14:textId="75978570" w:rsidR="00143015" w:rsidRPr="00E7478C" w:rsidRDefault="00143015" w:rsidP="003E117C">
      <w:pPr>
        <w:rPr>
          <w:b/>
          <w:bCs/>
        </w:rPr>
      </w:pPr>
      <w:r>
        <w:rPr>
          <w:noProof/>
        </w:rPr>
        <w:drawing>
          <wp:inline distT="0" distB="0" distL="0" distR="0" wp14:anchorId="50E71864" wp14:editId="07384FB1">
            <wp:extent cx="4761186" cy="3134185"/>
            <wp:effectExtent l="0" t="0" r="1905" b="0"/>
            <wp:docPr id="8" name="Chart 8">
              <a:extLst xmlns:a="http://schemas.openxmlformats.org/drawingml/2006/main">
                <a:ext uri="{FF2B5EF4-FFF2-40B4-BE49-F238E27FC236}">
                  <a16:creationId xmlns:a16="http://schemas.microsoft.com/office/drawing/2014/main" id="{905A0EB1-B2B0-49B0-B028-CA9766079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F56886" w14:textId="77777777" w:rsidR="00143015" w:rsidRPr="00143015" w:rsidRDefault="00143015" w:rsidP="00143015">
      <w:pPr>
        <w:pStyle w:val="FootnoteText"/>
        <w:rPr>
          <w:sz w:val="16"/>
          <w:szCs w:val="16"/>
        </w:rPr>
      </w:pPr>
      <w:r w:rsidRPr="00143015">
        <w:rPr>
          <w:sz w:val="16"/>
          <w:szCs w:val="16"/>
        </w:rPr>
        <w:t xml:space="preserve">Source: </w:t>
      </w:r>
      <w:r w:rsidRPr="00143015">
        <w:rPr>
          <w:sz w:val="16"/>
          <w:szCs w:val="16"/>
        </w:rPr>
        <w:t xml:space="preserve">Excise, Table 4, at </w:t>
      </w:r>
      <w:hyperlink r:id="rId10" w:history="1">
        <w:r w:rsidRPr="00143015">
          <w:rPr>
            <w:rStyle w:val="Hyperlink"/>
            <w:sz w:val="16"/>
            <w:szCs w:val="16"/>
          </w:rPr>
          <w:t>https://data.gov.au/data/dataset/taxation-statistics-2018-19/resource/4b2139a1-395b-47e4-83bb-f1de7fb0ed8b?inner_span=True</w:t>
        </w:r>
      </w:hyperlink>
    </w:p>
    <w:p w14:paraId="32F13210" w14:textId="6BF9DBDB" w:rsidR="0096778B" w:rsidRDefault="0096778B" w:rsidP="002E304E">
      <w:pPr>
        <w:rPr>
          <w:sz w:val="16"/>
          <w:szCs w:val="16"/>
        </w:rPr>
      </w:pPr>
    </w:p>
    <w:p w14:paraId="76CA98D7" w14:textId="77777777" w:rsidR="00FB2A9F" w:rsidRDefault="00FB2A9F" w:rsidP="00FB2A9F">
      <w:pPr>
        <w:pStyle w:val="Heading3"/>
      </w:pPr>
      <w:bookmarkStart w:id="22" w:name="_Toc100419397"/>
      <w:r>
        <w:t>Fuel Tax Credit Alliance</w:t>
      </w:r>
      <w:bookmarkEnd w:id="22"/>
    </w:p>
    <w:p w14:paraId="09018EDD" w14:textId="65410AFE" w:rsidR="008861E9" w:rsidRDefault="008D232E" w:rsidP="002E304E">
      <w:r>
        <w:t xml:space="preserve">The Alliance produced a chart that shows the </w:t>
      </w:r>
      <w:r w:rsidR="00AC36FA">
        <w:t xml:space="preserve">proportion of </w:t>
      </w:r>
      <w:r>
        <w:t>claimants, by sector, of excise Credits</w:t>
      </w:r>
      <w:r w:rsidR="00AC36FA">
        <w:t xml:space="preserve"> </w:t>
      </w:r>
      <w:r w:rsidR="00C203A2">
        <w:t>–</w:t>
      </w:r>
      <w:r w:rsidR="00AC36FA">
        <w:t xml:space="preserve"> </w:t>
      </w:r>
      <w:r w:rsidR="00C203A2">
        <w:t xml:space="preserve">Chart 3 </w:t>
      </w:r>
      <w:r w:rsidR="00AC36FA">
        <w:t>below</w:t>
      </w:r>
      <w:r>
        <w:t xml:space="preserve">.  </w:t>
      </w:r>
    </w:p>
    <w:p w14:paraId="6FFF5AAF" w14:textId="50DB616F" w:rsidR="008D232E" w:rsidRDefault="008D232E" w:rsidP="002E304E">
      <w:r>
        <w:t xml:space="preserve">It did not produce a chart showing the amount or proportions </w:t>
      </w:r>
      <w:r w:rsidR="00AC36FA">
        <w:t>o</w:t>
      </w:r>
      <w:r>
        <w:t>f Credits claimed by the sectors</w:t>
      </w:r>
      <w:r w:rsidR="00AC36FA">
        <w:t xml:space="preserve">, and thus suffers the same </w:t>
      </w:r>
      <w:r w:rsidR="00715FAB">
        <w:t xml:space="preserve">likely-to-mislead </w:t>
      </w:r>
      <w:r w:rsidR="00AC36FA">
        <w:t>deficiency as the Institute’s report</w:t>
      </w:r>
      <w:r w:rsidR="00A34F47">
        <w:t xml:space="preserve"> </w:t>
      </w:r>
      <w:r w:rsidR="00A34F47">
        <w:t>about relative sectoral use of Credits</w:t>
      </w:r>
      <w:r>
        <w:t>.</w:t>
      </w:r>
      <w:r w:rsidR="00AC36FA">
        <w:t xml:space="preserve"> </w:t>
      </w:r>
      <w:r w:rsidR="008861E9">
        <w:t xml:space="preserve">  </w:t>
      </w:r>
      <w:r w:rsidR="00B005B1">
        <w:t>A fuller explanation requires  a chart showing the distribution of value of credits</w:t>
      </w:r>
      <w:r w:rsidR="008861E9">
        <w:t xml:space="preserve">. </w:t>
      </w:r>
    </w:p>
    <w:p w14:paraId="624CA2CD" w14:textId="5A93601E" w:rsidR="00715FAB" w:rsidRPr="00715FAB" w:rsidRDefault="00715FAB" w:rsidP="002E304E">
      <w:pPr>
        <w:rPr>
          <w:b/>
          <w:bCs/>
        </w:rPr>
      </w:pPr>
      <w:r w:rsidRPr="00715FAB">
        <w:rPr>
          <w:b/>
          <w:bCs/>
        </w:rPr>
        <w:t>Chart 3: Claimants of Fuel Excise Credits</w:t>
      </w:r>
      <w:r>
        <w:rPr>
          <w:b/>
          <w:bCs/>
        </w:rPr>
        <w:t>, by sector</w:t>
      </w:r>
      <w:r w:rsidRPr="00715FAB">
        <w:rPr>
          <w:b/>
          <w:bCs/>
        </w:rPr>
        <w:t xml:space="preserve"> </w:t>
      </w:r>
      <w:r w:rsidR="00FB2A9F">
        <w:rPr>
          <w:rStyle w:val="FootnoteReference"/>
          <w:b/>
          <w:bCs/>
        </w:rPr>
        <w:footnoteReference w:id="26"/>
      </w:r>
    </w:p>
    <w:p w14:paraId="355E5995" w14:textId="03C1325F" w:rsidR="0096778B" w:rsidRDefault="0027177E" w:rsidP="002E304E">
      <w:r>
        <w:rPr>
          <w:noProof/>
        </w:rPr>
        <w:drawing>
          <wp:inline distT="0" distB="0" distL="0" distR="0" wp14:anchorId="25B61AE3" wp14:editId="55FFAE7D">
            <wp:extent cx="5388840" cy="244680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393" r="1188" b="6261"/>
                    <a:stretch/>
                  </pic:blipFill>
                  <pic:spPr bwMode="auto">
                    <a:xfrm>
                      <a:off x="0" y="0"/>
                      <a:ext cx="5410116" cy="2456469"/>
                    </a:xfrm>
                    <a:prstGeom prst="rect">
                      <a:avLst/>
                    </a:prstGeom>
                    <a:ln>
                      <a:noFill/>
                    </a:ln>
                    <a:extLst>
                      <a:ext uri="{53640926-AAD7-44D8-BBD7-CCE9431645EC}">
                        <a14:shadowObscured xmlns:a14="http://schemas.microsoft.com/office/drawing/2010/main"/>
                      </a:ext>
                    </a:extLst>
                  </pic:spPr>
                </pic:pic>
              </a:graphicData>
            </a:graphic>
          </wp:inline>
        </w:drawing>
      </w:r>
    </w:p>
    <w:p w14:paraId="37D9FA62" w14:textId="77777777" w:rsidR="00BD121D" w:rsidRDefault="00BD121D" w:rsidP="00BD121D"/>
    <w:p w14:paraId="1C894D8A" w14:textId="0F3E7227" w:rsidR="0096778B" w:rsidRDefault="00B005B1" w:rsidP="002E304E">
      <w:r>
        <w:t>I</w:t>
      </w:r>
      <w:r w:rsidR="008861E9">
        <w:t>ndustry</w:t>
      </w:r>
      <w:r w:rsidR="00715FAB">
        <w:t xml:space="preserve"> use of Credits is in chart 4.</w:t>
      </w:r>
    </w:p>
    <w:p w14:paraId="5336A53A" w14:textId="3A35540E" w:rsidR="00715FAB" w:rsidRDefault="00715FAB" w:rsidP="002E304E">
      <w:pPr>
        <w:rPr>
          <w:b/>
          <w:bCs/>
        </w:rPr>
      </w:pPr>
      <w:r w:rsidRPr="00715FAB">
        <w:rPr>
          <w:b/>
          <w:bCs/>
        </w:rPr>
        <w:t>Chart 4: Fuel Excise Credits, by sector 2019-20</w:t>
      </w:r>
    </w:p>
    <w:p w14:paraId="2AE674E7" w14:textId="2A86FD8D" w:rsidR="006A57CE" w:rsidRDefault="006A57CE" w:rsidP="002E304E">
      <w:pPr>
        <w:rPr>
          <w:b/>
          <w:bCs/>
        </w:rPr>
      </w:pPr>
      <w:r>
        <w:rPr>
          <w:noProof/>
        </w:rPr>
        <w:drawing>
          <wp:inline distT="0" distB="0" distL="0" distR="0" wp14:anchorId="17B9C977" wp14:editId="59C7A754">
            <wp:extent cx="4174709" cy="2900856"/>
            <wp:effectExtent l="0" t="0" r="16510" b="13970"/>
            <wp:docPr id="6" name="Chart 6">
              <a:extLst xmlns:a="http://schemas.openxmlformats.org/drawingml/2006/main">
                <a:ext uri="{FF2B5EF4-FFF2-40B4-BE49-F238E27FC236}">
                  <a16:creationId xmlns:a16="http://schemas.microsoft.com/office/drawing/2014/main" id="{A249AB87-C733-430A-9BC0-2976E7BC8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2C3202" w14:textId="77777777" w:rsidR="00143015" w:rsidRPr="00143015" w:rsidRDefault="00143015" w:rsidP="00143015">
      <w:pPr>
        <w:pStyle w:val="FootnoteText"/>
        <w:rPr>
          <w:sz w:val="16"/>
          <w:szCs w:val="16"/>
        </w:rPr>
      </w:pPr>
      <w:r w:rsidRPr="00143015">
        <w:rPr>
          <w:sz w:val="16"/>
          <w:szCs w:val="16"/>
        </w:rPr>
        <w:t xml:space="preserve">Source: </w:t>
      </w:r>
      <w:r w:rsidRPr="00143015">
        <w:rPr>
          <w:sz w:val="16"/>
          <w:szCs w:val="16"/>
        </w:rPr>
        <w:t xml:space="preserve">Excise, Table 4, at </w:t>
      </w:r>
      <w:hyperlink r:id="rId13" w:history="1">
        <w:r w:rsidRPr="00143015">
          <w:rPr>
            <w:rStyle w:val="Hyperlink"/>
            <w:sz w:val="16"/>
            <w:szCs w:val="16"/>
          </w:rPr>
          <w:t>https://data.gov.au/data/dataset/taxation-statistics-2018-19/resource/4b2139a1-395b-47e4-83bb-f1de7fb0ed8b?inner_span=True</w:t>
        </w:r>
      </w:hyperlink>
    </w:p>
    <w:p w14:paraId="64FABAE8" w14:textId="2F876B8B" w:rsidR="006A57CE" w:rsidRPr="00715FAB" w:rsidRDefault="006A57CE" w:rsidP="002E304E">
      <w:pPr>
        <w:rPr>
          <w:b/>
          <w:bCs/>
        </w:rPr>
      </w:pPr>
    </w:p>
    <w:p w14:paraId="3CE9F395" w14:textId="77777777" w:rsidR="00B005B1" w:rsidRDefault="00B005B1" w:rsidP="00B005B1">
      <w:r>
        <w:t>Taken with Chart 4, t</w:t>
      </w:r>
      <w:r>
        <w:t xml:space="preserve">he main implications of </w:t>
      </w:r>
      <w:r>
        <w:t xml:space="preserve">the Alliance’s </w:t>
      </w:r>
      <w:r>
        <w:t xml:space="preserve">Chart 3 </w:t>
      </w:r>
      <w:r>
        <w:t xml:space="preserve">can be seen to </w:t>
      </w:r>
      <w:r>
        <w:t xml:space="preserve">relate to business sizes.  </w:t>
      </w:r>
    </w:p>
    <w:p w14:paraId="4C367A0B" w14:textId="318B0274" w:rsidR="00B005B1" w:rsidRDefault="00B005B1" w:rsidP="00B005B1">
      <w:r>
        <w:t xml:space="preserve">The mining industry has relatively few, large claimant firms – 1 percent of claimants for 45 percent of the value of claims.  </w:t>
      </w:r>
    </w:p>
    <w:p w14:paraId="60F4CD0A" w14:textId="26A34918" w:rsidR="00B005B1" w:rsidRDefault="00B005B1" w:rsidP="00B005B1">
      <w:r>
        <w:t xml:space="preserve">The large number of agricultural </w:t>
      </w:r>
      <w:proofErr w:type="spellStart"/>
      <w:r>
        <w:t>claimaints</w:t>
      </w:r>
      <w:proofErr w:type="spellEnd"/>
      <w:r>
        <w:t xml:space="preserve"> – 44 percent of </w:t>
      </w:r>
      <w:proofErr w:type="spellStart"/>
      <w:r>
        <w:t>claimaints</w:t>
      </w:r>
      <w:proofErr w:type="spellEnd"/>
      <w:r>
        <w:t xml:space="preserve"> for 11 percent of the value of claims - suggest an importance of the Credit to a large number of businesses in regional areas. </w:t>
      </w:r>
    </w:p>
    <w:p w14:paraId="6C8AF313" w14:textId="781221A8" w:rsidR="00715FAB" w:rsidRDefault="00B005B1" w:rsidP="002E304E">
      <w:r>
        <w:t>Thus, the Institute’s comment that support for the Credit is led by the mining industry should be expanded to acknowledge the likelihood of widespread support in regional Australia.</w:t>
      </w:r>
    </w:p>
    <w:sectPr w:rsidR="00715FA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933E" w14:textId="77777777" w:rsidR="00B775D8" w:rsidRDefault="00B775D8" w:rsidP="000D555D">
      <w:pPr>
        <w:spacing w:after="0" w:line="240" w:lineRule="auto"/>
      </w:pPr>
      <w:r>
        <w:separator/>
      </w:r>
    </w:p>
  </w:endnote>
  <w:endnote w:type="continuationSeparator" w:id="0">
    <w:p w14:paraId="264FE13D" w14:textId="77777777" w:rsidR="00B775D8" w:rsidRDefault="00B775D8" w:rsidP="000D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D1A" w14:textId="77777777" w:rsidR="007C44B7" w:rsidRDefault="007C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272964"/>
      <w:docPartObj>
        <w:docPartGallery w:val="Page Numbers (Bottom of Page)"/>
        <w:docPartUnique/>
      </w:docPartObj>
    </w:sdtPr>
    <w:sdtEndPr>
      <w:rPr>
        <w:noProof/>
      </w:rPr>
    </w:sdtEndPr>
    <w:sdtContent>
      <w:p w14:paraId="49729A85" w14:textId="7EA375DB" w:rsidR="007C44B7" w:rsidRDefault="007C4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70D25" w14:textId="77777777" w:rsidR="007C44B7" w:rsidRDefault="007C4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3372" w14:textId="77777777" w:rsidR="007C44B7" w:rsidRDefault="007C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5DD2" w14:textId="77777777" w:rsidR="00B775D8" w:rsidRDefault="00B775D8" w:rsidP="000D555D">
      <w:pPr>
        <w:spacing w:after="0" w:line="240" w:lineRule="auto"/>
      </w:pPr>
      <w:r>
        <w:separator/>
      </w:r>
    </w:p>
  </w:footnote>
  <w:footnote w:type="continuationSeparator" w:id="0">
    <w:p w14:paraId="22BC0ACA" w14:textId="77777777" w:rsidR="00B775D8" w:rsidRDefault="00B775D8" w:rsidP="000D555D">
      <w:pPr>
        <w:spacing w:after="0" w:line="240" w:lineRule="auto"/>
      </w:pPr>
      <w:r>
        <w:continuationSeparator/>
      </w:r>
    </w:p>
  </w:footnote>
  <w:footnote w:id="1">
    <w:p w14:paraId="4124984E" w14:textId="15A433FC" w:rsidR="000D555D" w:rsidRPr="00A86EB9" w:rsidRDefault="000D555D" w:rsidP="00A86EB9">
      <w:pPr>
        <w:rPr>
          <w:sz w:val="16"/>
          <w:szCs w:val="16"/>
        </w:rPr>
      </w:pPr>
      <w:r w:rsidRPr="00A86EB9">
        <w:rPr>
          <w:rStyle w:val="FootnoteReference"/>
          <w:sz w:val="16"/>
          <w:szCs w:val="16"/>
        </w:rPr>
        <w:footnoteRef/>
      </w:r>
      <w:r w:rsidRPr="00A86EB9">
        <w:rPr>
          <w:sz w:val="16"/>
          <w:szCs w:val="16"/>
        </w:rPr>
        <w:t xml:space="preserve"> </w:t>
      </w:r>
      <w:hyperlink r:id="rId1" w:history="1">
        <w:r w:rsidRPr="00A86EB9">
          <w:rPr>
            <w:rStyle w:val="Hyperlink"/>
            <w:sz w:val="16"/>
            <w:szCs w:val="16"/>
          </w:rPr>
          <w:t>https://www.thejadebeagle.com/facts-and-minds.html</w:t>
        </w:r>
      </w:hyperlink>
    </w:p>
  </w:footnote>
  <w:footnote w:id="2">
    <w:p w14:paraId="30380082" w14:textId="77777777" w:rsidR="000074F8" w:rsidRPr="00A86EB9" w:rsidRDefault="000074F8" w:rsidP="000074F8">
      <w:pPr>
        <w:pStyle w:val="FootnoteText"/>
        <w:rPr>
          <w:sz w:val="16"/>
          <w:szCs w:val="16"/>
        </w:rPr>
      </w:pPr>
      <w:r w:rsidRPr="00A86EB9">
        <w:rPr>
          <w:rStyle w:val="FootnoteReference"/>
          <w:sz w:val="16"/>
          <w:szCs w:val="16"/>
        </w:rPr>
        <w:footnoteRef/>
      </w:r>
      <w:r w:rsidRPr="00A86EB9">
        <w:rPr>
          <w:sz w:val="16"/>
          <w:szCs w:val="16"/>
        </w:rPr>
        <w:t xml:space="preserve"> </w:t>
      </w:r>
      <w:hyperlink r:id="rId2" w:history="1">
        <w:r w:rsidRPr="00A86EB9">
          <w:rPr>
            <w:rStyle w:val="Hyperlink"/>
            <w:sz w:val="16"/>
            <w:szCs w:val="16"/>
          </w:rPr>
          <w:t>https://australiainstitute.org.au/wp-content/uploads/2022/03/P1198-Fossil-fuel-subsidies-2022-WEB.pdf</w:t>
        </w:r>
      </w:hyperlink>
    </w:p>
    <w:p w14:paraId="6F7837D7" w14:textId="77777777" w:rsidR="000074F8" w:rsidRPr="00A86EB9" w:rsidRDefault="00B775D8" w:rsidP="000074F8">
      <w:pPr>
        <w:pStyle w:val="FootnoteText"/>
        <w:rPr>
          <w:sz w:val="16"/>
          <w:szCs w:val="16"/>
        </w:rPr>
      </w:pPr>
      <w:hyperlink r:id="rId3" w:history="1">
        <w:r w:rsidR="000074F8" w:rsidRPr="00A86EB9">
          <w:rPr>
            <w:rStyle w:val="Hyperlink"/>
            <w:sz w:val="16"/>
            <w:szCs w:val="16"/>
          </w:rPr>
          <w:t>https://australiainstitute.org.au/post/australian-fossil-fuel-subsidies-surge-to-11-6-billion-in-2021-22/</w:t>
        </w:r>
      </w:hyperlink>
    </w:p>
    <w:p w14:paraId="72033148" w14:textId="77777777" w:rsidR="000074F8" w:rsidRPr="00A86EB9" w:rsidRDefault="000074F8" w:rsidP="000074F8">
      <w:pPr>
        <w:pStyle w:val="FootnoteText"/>
        <w:rPr>
          <w:sz w:val="16"/>
          <w:szCs w:val="16"/>
        </w:rPr>
      </w:pPr>
    </w:p>
  </w:footnote>
  <w:footnote w:id="3">
    <w:p w14:paraId="4DD6544B" w14:textId="1A73B01A" w:rsidR="00A86EB9" w:rsidRPr="00AA4A8F" w:rsidRDefault="00A86EB9" w:rsidP="00A86EB9">
      <w:pPr>
        <w:spacing w:after="0"/>
        <w:rPr>
          <w:sz w:val="16"/>
          <w:szCs w:val="16"/>
        </w:rPr>
      </w:pPr>
      <w:r w:rsidRPr="00A86EB9">
        <w:rPr>
          <w:rStyle w:val="FootnoteReference"/>
          <w:sz w:val="16"/>
          <w:szCs w:val="16"/>
        </w:rPr>
        <w:footnoteRef/>
      </w:r>
      <w:r w:rsidRPr="00A86EB9">
        <w:rPr>
          <w:sz w:val="16"/>
          <w:szCs w:val="16"/>
        </w:rPr>
        <w:t xml:space="preserve"> From the Budget papers: </w:t>
      </w:r>
      <w:r w:rsidRPr="00A86EB9">
        <w:rPr>
          <w:i/>
          <w:iCs/>
          <w:sz w:val="16"/>
          <w:szCs w:val="16"/>
        </w:rPr>
        <w:t>‘Policy decisions are expected to reduce excise and customs duty receipts by $4.1 billion over the 4 years to 2025</w:t>
      </w:r>
      <w:r w:rsidRPr="00A86EB9">
        <w:rPr>
          <w:i/>
          <w:iCs/>
          <w:sz w:val="16"/>
          <w:szCs w:val="16"/>
        </w:rPr>
        <w:noBreakHyphen/>
        <w:t xml:space="preserve">26. This largely reflects the measure Addressing Cost of Living Pressures – temporary reduction in fuel excise, which will help reduce the burden of higher fuel prices by halving the excise for 6 months from 30 March 2022’. </w:t>
      </w:r>
    </w:p>
    <w:p w14:paraId="4837708E" w14:textId="326CB191" w:rsidR="00A86EB9" w:rsidRPr="00AA4A8F" w:rsidRDefault="00A86EB9">
      <w:pPr>
        <w:pStyle w:val="FootnoteText"/>
        <w:rPr>
          <w:sz w:val="16"/>
          <w:szCs w:val="16"/>
        </w:rPr>
      </w:pPr>
    </w:p>
  </w:footnote>
  <w:footnote w:id="4">
    <w:p w14:paraId="14B56E30" w14:textId="77777777" w:rsidR="00AA4A8F" w:rsidRPr="00AA4A8F" w:rsidRDefault="00E238A1" w:rsidP="00AA4A8F">
      <w:pPr>
        <w:spacing w:after="0"/>
        <w:rPr>
          <w:rFonts w:cstheme="minorHAnsi"/>
          <w:i/>
          <w:iCs/>
          <w:color w:val="000000"/>
          <w:sz w:val="16"/>
          <w:szCs w:val="16"/>
        </w:rPr>
      </w:pPr>
      <w:r w:rsidRPr="00AA4A8F">
        <w:rPr>
          <w:rStyle w:val="FootnoteReference"/>
          <w:sz w:val="16"/>
          <w:szCs w:val="16"/>
        </w:rPr>
        <w:footnoteRef/>
      </w:r>
      <w:r w:rsidRPr="00AA4A8F">
        <w:rPr>
          <w:sz w:val="16"/>
          <w:szCs w:val="16"/>
        </w:rPr>
        <w:t xml:space="preserve"> </w:t>
      </w:r>
      <w:r w:rsidR="00AA4A8F" w:rsidRPr="00AA4A8F">
        <w:rPr>
          <w:sz w:val="16"/>
          <w:szCs w:val="16"/>
        </w:rPr>
        <w:t xml:space="preserve">In full: </w:t>
      </w:r>
      <w:r w:rsidR="00AA4A8F" w:rsidRPr="00AA4A8F">
        <w:rPr>
          <w:rFonts w:cstheme="minorHAnsi"/>
          <w:i/>
          <w:iCs/>
          <w:color w:val="000000"/>
          <w:sz w:val="16"/>
          <w:szCs w:val="16"/>
        </w:rPr>
        <w:t>‘The Minerals Council, an industry body, has also argued that the credit should not be counted as subsidy.</w:t>
      </w:r>
    </w:p>
    <w:p w14:paraId="0F50E063" w14:textId="77777777" w:rsidR="00AA4A8F" w:rsidRPr="00AA4A8F" w:rsidRDefault="00AA4A8F" w:rsidP="00AA4A8F">
      <w:pPr>
        <w:spacing w:after="0"/>
        <w:rPr>
          <w:rFonts w:cstheme="minorHAnsi"/>
          <w:i/>
          <w:iCs/>
          <w:color w:val="000000"/>
          <w:sz w:val="16"/>
          <w:szCs w:val="16"/>
        </w:rPr>
      </w:pPr>
      <w:r w:rsidRPr="00AA4A8F">
        <w:rPr>
          <w:rFonts w:cstheme="minorHAnsi"/>
          <w:i/>
          <w:iCs/>
          <w:color w:val="000000"/>
          <w:sz w:val="16"/>
          <w:szCs w:val="16"/>
        </w:rPr>
        <w:t>This argument assumes that fuel excise represents a genuine "hypothecated" tax that should not be borne by non-road users, rather than a broader revenue raising tax imposed by the Federal Government.</w:t>
      </w:r>
    </w:p>
    <w:p w14:paraId="6699629E" w14:textId="7BC9F9AC" w:rsidR="00AA4A8F" w:rsidRPr="00AA4A8F" w:rsidRDefault="00AA4A8F" w:rsidP="00AA4A8F">
      <w:pPr>
        <w:spacing w:after="0"/>
        <w:rPr>
          <w:rFonts w:cstheme="minorHAnsi"/>
          <w:i/>
          <w:iCs/>
          <w:color w:val="000000"/>
          <w:sz w:val="16"/>
          <w:szCs w:val="16"/>
        </w:rPr>
      </w:pPr>
      <w:r w:rsidRPr="00AA4A8F">
        <w:rPr>
          <w:rFonts w:cstheme="minorHAnsi"/>
          <w:i/>
          <w:iCs/>
          <w:color w:val="000000"/>
          <w:sz w:val="16"/>
          <w:szCs w:val="16"/>
        </w:rPr>
        <w:t>The OECD's inventory of support for fossil fuels, however, treats Australian fuel tax credits as a subsidy</w:t>
      </w:r>
      <w:r>
        <w:rPr>
          <w:rFonts w:cstheme="minorHAnsi"/>
          <w:i/>
          <w:iCs/>
          <w:color w:val="000000"/>
          <w:sz w:val="16"/>
          <w:szCs w:val="16"/>
        </w:rPr>
        <w:t xml:space="preserve">.  </w:t>
      </w:r>
      <w:r w:rsidRPr="00AA4A8F">
        <w:rPr>
          <w:rFonts w:cstheme="minorHAnsi"/>
          <w:i/>
          <w:iCs/>
          <w:color w:val="000000"/>
          <w:sz w:val="16"/>
          <w:szCs w:val="16"/>
        </w:rPr>
        <w:t>It notes, "the mining sector is a prime beneficiary" of these credits, so "the measure could arguably be considered producer support since it lowers the cost of inputs used in the coal-mining and hydrocarbon sectors".</w:t>
      </w:r>
    </w:p>
    <w:p w14:paraId="256930F9" w14:textId="77777777" w:rsidR="00AA4A8F" w:rsidRPr="00AA4A8F" w:rsidRDefault="00AA4A8F" w:rsidP="00AA4A8F">
      <w:pPr>
        <w:spacing w:after="0"/>
        <w:rPr>
          <w:rFonts w:cstheme="minorHAnsi"/>
          <w:i/>
          <w:iCs/>
          <w:color w:val="000000"/>
          <w:sz w:val="16"/>
          <w:szCs w:val="16"/>
        </w:rPr>
      </w:pPr>
      <w:r w:rsidRPr="00AA4A8F">
        <w:rPr>
          <w:rFonts w:cstheme="minorHAnsi"/>
          <w:i/>
          <w:iCs/>
          <w:color w:val="000000"/>
          <w:sz w:val="16"/>
          <w:szCs w:val="16"/>
        </w:rPr>
        <w:t>At the very least, the rebate serves to cut the cost of fuel inputs for fossil fuel industries, representing a transfer from taxpayers in the form of forgone revenue that effectively lowers the cost of production.</w:t>
      </w:r>
    </w:p>
    <w:p w14:paraId="4F8897AC" w14:textId="77777777" w:rsidR="00AA4A8F" w:rsidRPr="00AA4A8F" w:rsidRDefault="00AA4A8F" w:rsidP="00AA4A8F">
      <w:pPr>
        <w:spacing w:after="0"/>
        <w:rPr>
          <w:rFonts w:cstheme="minorHAnsi"/>
          <w:i/>
          <w:iCs/>
          <w:color w:val="000000"/>
          <w:sz w:val="16"/>
          <w:szCs w:val="16"/>
        </w:rPr>
      </w:pPr>
      <w:r w:rsidRPr="00AA4A8F">
        <w:rPr>
          <w:rFonts w:cstheme="minorHAnsi"/>
          <w:i/>
          <w:iCs/>
          <w:color w:val="000000"/>
          <w:sz w:val="16"/>
          <w:szCs w:val="16"/>
        </w:rPr>
        <w:t>Miranda Stewart, Director of the Tax Group at Melbourne University Law School, said in her view the fuel tax credit represented a subsidy.</w:t>
      </w:r>
    </w:p>
    <w:p w14:paraId="7E85B2A4" w14:textId="031ABF8F" w:rsidR="00E238A1" w:rsidRPr="001D00A4" w:rsidRDefault="00AA4A8F" w:rsidP="00AA4A8F">
      <w:pPr>
        <w:pStyle w:val="FootnoteText"/>
        <w:rPr>
          <w:sz w:val="16"/>
          <w:szCs w:val="16"/>
        </w:rPr>
      </w:pPr>
      <w:r w:rsidRPr="00AA4A8F">
        <w:rPr>
          <w:rFonts w:cstheme="minorHAnsi"/>
          <w:i/>
          <w:iCs/>
          <w:color w:val="000000"/>
          <w:sz w:val="16"/>
          <w:szCs w:val="16"/>
        </w:rPr>
        <w:t>"The diesel fuel rebate reduces the cost of fuel business inputs for mining and agriculture, which are some of our largest emitting sectors, and this enables them to sell ultimately to export and domestic markets at cheaper prices so in this sense, there is a subsidy," Professor Stewart said.’</w:t>
      </w:r>
      <w:hyperlink r:id="rId4" w:history="1">
        <w:r w:rsidRPr="00115009">
          <w:rPr>
            <w:rStyle w:val="Hyperlink"/>
            <w:sz w:val="16"/>
            <w:szCs w:val="16"/>
          </w:rPr>
          <w:t>https://www.abc.net.au/news/2020-07-29/fact-check-matt-canavan-fossil-fuel-industry-subsidies/12496310</w:t>
        </w:r>
      </w:hyperlink>
    </w:p>
    <w:p w14:paraId="6A233948" w14:textId="77777777" w:rsidR="00E238A1" w:rsidRPr="001D00A4" w:rsidRDefault="00E238A1" w:rsidP="00E238A1">
      <w:pPr>
        <w:pStyle w:val="FootnoteText"/>
        <w:rPr>
          <w:sz w:val="16"/>
          <w:szCs w:val="16"/>
        </w:rPr>
      </w:pPr>
    </w:p>
  </w:footnote>
  <w:footnote w:id="5">
    <w:p w14:paraId="561622D0" w14:textId="3F606960" w:rsidR="00F805AA" w:rsidRPr="0045313A" w:rsidRDefault="00F805AA">
      <w:pPr>
        <w:pStyle w:val="FootnoteText"/>
        <w:rPr>
          <w:sz w:val="16"/>
          <w:szCs w:val="16"/>
        </w:rPr>
      </w:pPr>
      <w:r w:rsidRPr="0045313A">
        <w:rPr>
          <w:rStyle w:val="FootnoteReference"/>
          <w:sz w:val="16"/>
          <w:szCs w:val="16"/>
        </w:rPr>
        <w:footnoteRef/>
      </w:r>
      <w:r w:rsidRPr="0045313A">
        <w:rPr>
          <w:sz w:val="16"/>
          <w:szCs w:val="16"/>
        </w:rPr>
        <w:t xml:space="preserve"> It may be possible to treat foregone revenue </w:t>
      </w:r>
      <w:r w:rsidR="001D00A4">
        <w:rPr>
          <w:sz w:val="16"/>
          <w:szCs w:val="16"/>
        </w:rPr>
        <w:t xml:space="preserve">– such as a tax credit - </w:t>
      </w:r>
      <w:r w:rsidRPr="0045313A">
        <w:rPr>
          <w:sz w:val="16"/>
          <w:szCs w:val="16"/>
        </w:rPr>
        <w:t>as a subsidy in a</w:t>
      </w:r>
      <w:r w:rsidR="001D00A4">
        <w:rPr>
          <w:sz w:val="16"/>
          <w:szCs w:val="16"/>
        </w:rPr>
        <w:t xml:space="preserve">n alternative to arithmetic calculations – </w:t>
      </w:r>
      <w:r w:rsidRPr="0045313A">
        <w:rPr>
          <w:sz w:val="16"/>
          <w:szCs w:val="16"/>
        </w:rPr>
        <w:t>modelling</w:t>
      </w:r>
      <w:r w:rsidR="001D00A4">
        <w:rPr>
          <w:sz w:val="16"/>
          <w:szCs w:val="16"/>
        </w:rPr>
        <w:t xml:space="preserve">.  For example, </w:t>
      </w:r>
      <w:r w:rsidRPr="0045313A">
        <w:rPr>
          <w:sz w:val="16"/>
          <w:szCs w:val="16"/>
        </w:rPr>
        <w:t>estimation of optimum taxes and deviation of actual taxes from the optimum</w:t>
      </w:r>
      <w:r w:rsidR="001D00A4">
        <w:rPr>
          <w:sz w:val="16"/>
          <w:szCs w:val="16"/>
        </w:rPr>
        <w:t xml:space="preserve"> such as used in work for the IMF</w:t>
      </w:r>
      <w:r w:rsidRPr="0045313A">
        <w:rPr>
          <w:sz w:val="16"/>
          <w:szCs w:val="16"/>
        </w:rPr>
        <w:t xml:space="preserve">.  </w:t>
      </w:r>
      <w:r w:rsidR="001D00A4">
        <w:rPr>
          <w:sz w:val="16"/>
          <w:szCs w:val="16"/>
        </w:rPr>
        <w:t xml:space="preserve">In that case, a reduction in </w:t>
      </w:r>
      <w:r w:rsidR="00847B18">
        <w:rPr>
          <w:sz w:val="16"/>
          <w:szCs w:val="16"/>
        </w:rPr>
        <w:t xml:space="preserve">an excise which was already below the optimum would (correctly) be shown as an increase in subsidies.  </w:t>
      </w:r>
      <w:r w:rsidR="007A24E2" w:rsidRPr="0045313A">
        <w:rPr>
          <w:sz w:val="16"/>
          <w:szCs w:val="16"/>
        </w:rPr>
        <w:t>This</w:t>
      </w:r>
      <w:r w:rsidR="0045313A">
        <w:rPr>
          <w:sz w:val="16"/>
          <w:szCs w:val="16"/>
        </w:rPr>
        <w:t xml:space="preserve"> cannot be applied to arithmetic involving the fuel excise because that tax is not set at an ‘optimum’ level</w:t>
      </w:r>
      <w:r w:rsidR="00847B18">
        <w:rPr>
          <w:sz w:val="16"/>
          <w:szCs w:val="16"/>
        </w:rPr>
        <w:t xml:space="preserve"> – as demonstrated in the Budget papers</w:t>
      </w:r>
      <w:r w:rsidR="0045313A">
        <w:rPr>
          <w:sz w:val="16"/>
          <w:szCs w:val="16"/>
        </w:rPr>
        <w:t>.</w:t>
      </w:r>
    </w:p>
  </w:footnote>
  <w:footnote w:id="6">
    <w:p w14:paraId="22C479C4" w14:textId="15D74A71" w:rsidR="005F3C78" w:rsidRPr="001625BB" w:rsidRDefault="00D16495" w:rsidP="001625BB">
      <w:pPr>
        <w:pStyle w:val="NormalWeb"/>
        <w:spacing w:before="0" w:beforeAutospacing="0" w:after="225" w:afterAutospacing="0"/>
        <w:rPr>
          <w:sz w:val="16"/>
          <w:szCs w:val="16"/>
        </w:rPr>
      </w:pPr>
      <w:r w:rsidRPr="00D16495">
        <w:rPr>
          <w:rStyle w:val="FootnoteReference"/>
          <w:rFonts w:asciiTheme="minorHAnsi" w:hAnsiTheme="minorHAnsi" w:cstheme="minorHAnsi"/>
          <w:sz w:val="16"/>
          <w:szCs w:val="16"/>
        </w:rPr>
        <w:footnoteRef/>
      </w:r>
      <w:hyperlink r:id="rId5" w:history="1">
        <w:r w:rsidR="005F3C78" w:rsidRPr="008039A8">
          <w:rPr>
            <w:rStyle w:val="Hyperlink"/>
            <w:rFonts w:asciiTheme="minorHAnsi" w:hAnsiTheme="minorHAnsi" w:cstheme="minorHAnsi"/>
            <w:sz w:val="16"/>
            <w:szCs w:val="16"/>
          </w:rPr>
          <w:t>http://fueltaxfacts.com.au/myths-facts</w:t>
        </w:r>
      </w:hyperlink>
    </w:p>
  </w:footnote>
  <w:footnote w:id="7">
    <w:p w14:paraId="2BE0731A" w14:textId="66AED31A" w:rsidR="00AC1410" w:rsidRPr="001625BB" w:rsidRDefault="00AC1410" w:rsidP="00AC1410">
      <w:pPr>
        <w:pStyle w:val="FootnoteText"/>
        <w:rPr>
          <w:sz w:val="16"/>
          <w:szCs w:val="16"/>
        </w:rPr>
      </w:pPr>
      <w:r w:rsidRPr="001625BB">
        <w:rPr>
          <w:rStyle w:val="FootnoteReference"/>
          <w:sz w:val="16"/>
          <w:szCs w:val="16"/>
        </w:rPr>
        <w:footnoteRef/>
      </w:r>
      <w:r w:rsidRPr="001625BB">
        <w:rPr>
          <w:sz w:val="16"/>
          <w:szCs w:val="16"/>
        </w:rPr>
        <w:t xml:space="preserve"> NSW $1.6bn, Qld $2.7bn </w:t>
      </w:r>
      <w:hyperlink r:id="rId6" w:history="1">
        <w:r w:rsidRPr="001625BB">
          <w:rPr>
            <w:rStyle w:val="Hyperlink"/>
            <w:sz w:val="16"/>
            <w:szCs w:val="16"/>
          </w:rPr>
          <w:t>https://www.budget.nsw.gov.au/sites/default/files/2021-06/4.%20Review-BP1%20Budget%202021-22.pdf</w:t>
        </w:r>
      </w:hyperlink>
    </w:p>
    <w:p w14:paraId="5CAC7EA4" w14:textId="77777777" w:rsidR="00AC1410" w:rsidRPr="001625BB" w:rsidRDefault="00B775D8" w:rsidP="00AC1410">
      <w:pPr>
        <w:pStyle w:val="FootnoteText"/>
        <w:rPr>
          <w:sz w:val="16"/>
          <w:szCs w:val="16"/>
        </w:rPr>
      </w:pPr>
      <w:hyperlink r:id="rId7" w:history="1">
        <w:r w:rsidR="00AC1410" w:rsidRPr="001625BB">
          <w:rPr>
            <w:rStyle w:val="Hyperlink"/>
            <w:sz w:val="16"/>
            <w:szCs w:val="16"/>
          </w:rPr>
          <w:t>https://budget.qld.gov.au/files/BP2_4._Revenue.pdf</w:t>
        </w:r>
      </w:hyperlink>
    </w:p>
    <w:p w14:paraId="60833D62" w14:textId="77777777" w:rsidR="00AC1410" w:rsidRPr="001625BB" w:rsidRDefault="00AC1410" w:rsidP="00AC1410">
      <w:pPr>
        <w:pStyle w:val="FootnoteText"/>
        <w:rPr>
          <w:sz w:val="16"/>
          <w:szCs w:val="16"/>
        </w:rPr>
      </w:pPr>
    </w:p>
  </w:footnote>
  <w:footnote w:id="8">
    <w:p w14:paraId="4DB39663" w14:textId="72659466" w:rsidR="001625BB" w:rsidRDefault="001625BB">
      <w:pPr>
        <w:pStyle w:val="FootnoteText"/>
        <w:rPr>
          <w:sz w:val="16"/>
          <w:szCs w:val="16"/>
        </w:rPr>
      </w:pPr>
      <w:r w:rsidRPr="001625BB">
        <w:rPr>
          <w:rStyle w:val="FootnoteReference"/>
          <w:sz w:val="16"/>
          <w:szCs w:val="16"/>
        </w:rPr>
        <w:footnoteRef/>
      </w:r>
      <w:r w:rsidRPr="001625BB">
        <w:rPr>
          <w:sz w:val="16"/>
          <w:szCs w:val="16"/>
        </w:rPr>
        <w:t xml:space="preserve"> Excise</w:t>
      </w:r>
      <w:r w:rsidR="005F3C78">
        <w:rPr>
          <w:sz w:val="16"/>
          <w:szCs w:val="16"/>
        </w:rPr>
        <w:t>,</w:t>
      </w:r>
      <w:r w:rsidRPr="001625BB">
        <w:rPr>
          <w:sz w:val="16"/>
          <w:szCs w:val="16"/>
        </w:rPr>
        <w:t xml:space="preserve"> Table 4</w:t>
      </w:r>
      <w:r w:rsidR="005F3C78">
        <w:rPr>
          <w:sz w:val="16"/>
          <w:szCs w:val="16"/>
        </w:rPr>
        <w:t>,</w:t>
      </w:r>
      <w:r w:rsidRPr="001625BB">
        <w:rPr>
          <w:sz w:val="16"/>
          <w:szCs w:val="16"/>
        </w:rPr>
        <w:t xml:space="preserve"> at </w:t>
      </w:r>
      <w:hyperlink r:id="rId8" w:history="1">
        <w:r w:rsidR="005F3C78" w:rsidRPr="008039A8">
          <w:rPr>
            <w:rStyle w:val="Hyperlink"/>
            <w:sz w:val="16"/>
            <w:szCs w:val="16"/>
          </w:rPr>
          <w:t>https://data.gov.au/data/dataset/taxation-statistics-2018-19/resource/4b2139a1-395b-47e4-83bb-f1de7fb0ed8b?inner_span=True</w:t>
        </w:r>
      </w:hyperlink>
    </w:p>
    <w:p w14:paraId="04057C3F" w14:textId="77777777" w:rsidR="005F3C78" w:rsidRPr="001625BB" w:rsidRDefault="005F3C78">
      <w:pPr>
        <w:pStyle w:val="FootnoteText"/>
        <w:rPr>
          <w:sz w:val="16"/>
          <w:szCs w:val="16"/>
        </w:rPr>
      </w:pPr>
    </w:p>
  </w:footnote>
  <w:footnote w:id="9">
    <w:p w14:paraId="6CF69D28" w14:textId="3975E29C" w:rsidR="00DF5C7D" w:rsidRDefault="00DF5C7D" w:rsidP="00DF5C7D">
      <w:pPr>
        <w:pStyle w:val="FootnoteText"/>
        <w:rPr>
          <w:sz w:val="16"/>
          <w:szCs w:val="16"/>
        </w:rPr>
      </w:pPr>
      <w:r w:rsidRPr="001625BB">
        <w:rPr>
          <w:rStyle w:val="FootnoteReference"/>
          <w:sz w:val="16"/>
          <w:szCs w:val="16"/>
        </w:rPr>
        <w:footnoteRef/>
      </w:r>
      <w:r w:rsidRPr="001625BB">
        <w:rPr>
          <w:sz w:val="16"/>
          <w:szCs w:val="16"/>
        </w:rPr>
        <w:t xml:space="preserve"> </w:t>
      </w:r>
      <w:hyperlink r:id="rId9" w:history="1">
        <w:r w:rsidR="00FA44A5" w:rsidRPr="008039A8">
          <w:rPr>
            <w:rStyle w:val="Hyperlink"/>
            <w:sz w:val="16"/>
            <w:szCs w:val="16"/>
          </w:rPr>
          <w:t>https://www.bitre.gov.au/publications/2021/australian-infrastructure-and-transport-statistics-yearbook-2021</w:t>
        </w:r>
      </w:hyperlink>
    </w:p>
    <w:p w14:paraId="62CD167E" w14:textId="77777777" w:rsidR="00FA44A5" w:rsidRPr="00C316A3" w:rsidRDefault="00FA44A5" w:rsidP="00DF5C7D">
      <w:pPr>
        <w:pStyle w:val="FootnoteText"/>
        <w:rPr>
          <w:sz w:val="16"/>
          <w:szCs w:val="16"/>
        </w:rPr>
      </w:pPr>
    </w:p>
  </w:footnote>
  <w:footnote w:id="10">
    <w:p w14:paraId="4D5B93E2" w14:textId="2945F872" w:rsidR="001003C5" w:rsidRPr="001003C5" w:rsidRDefault="001003C5">
      <w:pPr>
        <w:pStyle w:val="FootnoteText"/>
        <w:rPr>
          <w:sz w:val="16"/>
          <w:szCs w:val="16"/>
        </w:rPr>
      </w:pPr>
      <w:r w:rsidRPr="001003C5">
        <w:rPr>
          <w:rStyle w:val="FootnoteReference"/>
          <w:sz w:val="16"/>
          <w:szCs w:val="16"/>
        </w:rPr>
        <w:footnoteRef/>
      </w:r>
      <w:r w:rsidRPr="001003C5">
        <w:rPr>
          <w:sz w:val="16"/>
          <w:szCs w:val="16"/>
        </w:rPr>
        <w:t xml:space="preserve"> </w:t>
      </w:r>
      <w:r>
        <w:rPr>
          <w:sz w:val="16"/>
          <w:szCs w:val="16"/>
        </w:rPr>
        <w:t xml:space="preserve">Negating Professor Stewart’s comment in </w:t>
      </w:r>
      <w:r w:rsidR="00511B20">
        <w:rPr>
          <w:sz w:val="16"/>
          <w:szCs w:val="16"/>
        </w:rPr>
        <w:t>note 4 (above) - s</w:t>
      </w:r>
      <w:r w:rsidRPr="001003C5">
        <w:rPr>
          <w:sz w:val="16"/>
          <w:szCs w:val="16"/>
        </w:rPr>
        <w:t>ee note 2</w:t>
      </w:r>
      <w:r w:rsidR="00511B20">
        <w:rPr>
          <w:sz w:val="16"/>
          <w:szCs w:val="16"/>
        </w:rPr>
        <w:t>3</w:t>
      </w:r>
      <w:r w:rsidRPr="001003C5">
        <w:rPr>
          <w:sz w:val="16"/>
          <w:szCs w:val="16"/>
        </w:rPr>
        <w:t xml:space="preserve"> </w:t>
      </w:r>
      <w:r w:rsidR="00511B20">
        <w:rPr>
          <w:sz w:val="16"/>
          <w:szCs w:val="16"/>
        </w:rPr>
        <w:t>(</w:t>
      </w:r>
      <w:r w:rsidRPr="001003C5">
        <w:rPr>
          <w:sz w:val="16"/>
          <w:szCs w:val="16"/>
        </w:rPr>
        <w:t>below</w:t>
      </w:r>
      <w:r w:rsidR="00511B20">
        <w:rPr>
          <w:sz w:val="16"/>
          <w:szCs w:val="16"/>
        </w:rPr>
        <w:t>)</w:t>
      </w:r>
      <w:r w:rsidRPr="001003C5">
        <w:rPr>
          <w:sz w:val="16"/>
          <w:szCs w:val="16"/>
        </w:rPr>
        <w:t>.</w:t>
      </w:r>
    </w:p>
    <w:p w14:paraId="353E1DED" w14:textId="77777777" w:rsidR="001003C5" w:rsidRPr="001003C5" w:rsidRDefault="001003C5">
      <w:pPr>
        <w:pStyle w:val="FootnoteText"/>
        <w:rPr>
          <w:sz w:val="16"/>
          <w:szCs w:val="16"/>
        </w:rPr>
      </w:pPr>
    </w:p>
  </w:footnote>
  <w:footnote w:id="11">
    <w:p w14:paraId="5A8A821A" w14:textId="77777777" w:rsidR="00BD5953" w:rsidRDefault="00BD5953" w:rsidP="00BD5953">
      <w:pPr>
        <w:pStyle w:val="FootnoteText"/>
        <w:rPr>
          <w:sz w:val="16"/>
          <w:szCs w:val="16"/>
        </w:rPr>
      </w:pPr>
      <w:r w:rsidRPr="00C316A3">
        <w:rPr>
          <w:rStyle w:val="FootnoteReference"/>
          <w:sz w:val="16"/>
          <w:szCs w:val="16"/>
        </w:rPr>
        <w:footnoteRef/>
      </w:r>
      <w:r w:rsidRPr="00C316A3">
        <w:rPr>
          <w:sz w:val="16"/>
          <w:szCs w:val="16"/>
        </w:rPr>
        <w:t xml:space="preserve"> </w:t>
      </w:r>
      <w:hyperlink r:id="rId10" w:history="1">
        <w:r w:rsidRPr="00C316A3">
          <w:rPr>
            <w:rStyle w:val="Hyperlink"/>
            <w:sz w:val="16"/>
            <w:szCs w:val="16"/>
          </w:rPr>
          <w:t>https://www.thejadebeagle.com/facts-and-minds.htm;</w:t>
        </w:r>
      </w:hyperlink>
      <w:r w:rsidRPr="00C316A3">
        <w:rPr>
          <w:sz w:val="16"/>
          <w:szCs w:val="16"/>
        </w:rPr>
        <w:t xml:space="preserve"> </w:t>
      </w:r>
      <w:hyperlink r:id="rId11" w:history="1">
        <w:r w:rsidRPr="00FC3C7B">
          <w:rPr>
            <w:rStyle w:val="Hyperlink"/>
            <w:sz w:val="16"/>
            <w:szCs w:val="16"/>
          </w:rPr>
          <w:t>https://www.artc.com.au/uploads/ART10515_Annual_report_2020_21_cover_and_spreads_V10_WEB-1.pdf</w:t>
        </w:r>
      </w:hyperlink>
    </w:p>
    <w:p w14:paraId="0EAE0AE5" w14:textId="77777777" w:rsidR="00BD5953" w:rsidRPr="005913BC" w:rsidRDefault="00BD5953" w:rsidP="00BD5953">
      <w:pPr>
        <w:pStyle w:val="FootnoteText"/>
        <w:rPr>
          <w:sz w:val="16"/>
          <w:szCs w:val="16"/>
        </w:rPr>
      </w:pPr>
    </w:p>
  </w:footnote>
  <w:footnote w:id="12">
    <w:p w14:paraId="48917F94" w14:textId="50DF5415" w:rsidR="00622FA7" w:rsidRDefault="00622FA7">
      <w:pPr>
        <w:pStyle w:val="FootnoteText"/>
        <w:rPr>
          <w:sz w:val="16"/>
          <w:szCs w:val="16"/>
        </w:rPr>
      </w:pPr>
      <w:r w:rsidRPr="00FA44A5">
        <w:rPr>
          <w:rStyle w:val="FootnoteReference"/>
          <w:sz w:val="16"/>
          <w:szCs w:val="16"/>
        </w:rPr>
        <w:footnoteRef/>
      </w:r>
      <w:hyperlink r:id="rId12" w:history="1">
        <w:r w:rsidR="00FA44A5" w:rsidRPr="008039A8">
          <w:rPr>
            <w:rStyle w:val="Hyperlink"/>
            <w:sz w:val="16"/>
            <w:szCs w:val="16"/>
          </w:rPr>
          <w:t>http://ncp.ncc.gov.au/docs/Competition%20Principles%20Agreement,%2011%20April%201995%20as%20amended%202007.pdf</w:t>
        </w:r>
      </w:hyperlink>
    </w:p>
    <w:p w14:paraId="22A97C5A" w14:textId="2674FF54" w:rsidR="0002342E" w:rsidRDefault="0002342E">
      <w:pPr>
        <w:pStyle w:val="FootnoteText"/>
        <w:rPr>
          <w:sz w:val="16"/>
          <w:szCs w:val="16"/>
        </w:rPr>
      </w:pPr>
      <w:r>
        <w:rPr>
          <w:sz w:val="16"/>
          <w:szCs w:val="16"/>
        </w:rPr>
        <w:t xml:space="preserve">A lead example of failure to invest was </w:t>
      </w:r>
      <w:r w:rsidR="00CB1128">
        <w:rPr>
          <w:sz w:val="16"/>
          <w:szCs w:val="16"/>
        </w:rPr>
        <w:t xml:space="preserve">NSW’s </w:t>
      </w:r>
      <w:r>
        <w:rPr>
          <w:sz w:val="16"/>
          <w:szCs w:val="16"/>
        </w:rPr>
        <w:t>Rail Infrastructure Corporation</w:t>
      </w:r>
      <w:r w:rsidR="00CB1128">
        <w:rPr>
          <w:sz w:val="16"/>
          <w:szCs w:val="16"/>
        </w:rPr>
        <w:t xml:space="preserve"> in the Hunter Valley.  This was among the reasons for the lease of infrastructure to the Commonwealth’s Australian Rail Track Corporation.  An implicit capital constraint from public sector ownership has been used as an argument for privatisation – for example of </w:t>
      </w:r>
      <w:proofErr w:type="spellStart"/>
      <w:r w:rsidR="00CB1128">
        <w:rPr>
          <w:sz w:val="16"/>
          <w:szCs w:val="16"/>
        </w:rPr>
        <w:t>FreightCorp</w:t>
      </w:r>
      <w:proofErr w:type="spellEnd"/>
      <w:r w:rsidR="00CB1128">
        <w:rPr>
          <w:sz w:val="16"/>
          <w:szCs w:val="16"/>
        </w:rPr>
        <w:t>, National Rail Corporation and several ports around Australia.</w:t>
      </w:r>
    </w:p>
    <w:p w14:paraId="3A9379AF" w14:textId="77777777" w:rsidR="00FA44A5" w:rsidRPr="00DA7DCA" w:rsidRDefault="00FA44A5">
      <w:pPr>
        <w:pStyle w:val="FootnoteText"/>
        <w:rPr>
          <w:sz w:val="16"/>
          <w:szCs w:val="16"/>
        </w:rPr>
      </w:pPr>
    </w:p>
  </w:footnote>
  <w:footnote w:id="13">
    <w:p w14:paraId="76F2F9D2" w14:textId="77777777" w:rsidR="0027177E" w:rsidRPr="00AC1410" w:rsidRDefault="0027177E" w:rsidP="0027177E">
      <w:pPr>
        <w:pStyle w:val="FootnoteText"/>
        <w:rPr>
          <w:sz w:val="16"/>
          <w:szCs w:val="16"/>
        </w:rPr>
      </w:pPr>
      <w:r w:rsidRPr="00AC1410">
        <w:rPr>
          <w:rStyle w:val="FootnoteReference"/>
          <w:sz w:val="16"/>
          <w:szCs w:val="16"/>
        </w:rPr>
        <w:footnoteRef/>
      </w:r>
      <w:r w:rsidRPr="00AC1410">
        <w:rPr>
          <w:sz w:val="16"/>
          <w:szCs w:val="16"/>
        </w:rPr>
        <w:t xml:space="preserve"> </w:t>
      </w:r>
      <w:hyperlink r:id="rId13" w:history="1">
        <w:r w:rsidRPr="00AC1410">
          <w:rPr>
            <w:rStyle w:val="Hyperlink"/>
            <w:sz w:val="16"/>
            <w:szCs w:val="16"/>
          </w:rPr>
          <w:t>https://www.pc.gov.au/research/ongoing/trade-assistance/2019-20</w:t>
        </w:r>
      </w:hyperlink>
    </w:p>
    <w:p w14:paraId="6266D969" w14:textId="77777777" w:rsidR="0027177E" w:rsidRPr="00AC1410" w:rsidRDefault="0027177E" w:rsidP="0027177E">
      <w:pPr>
        <w:pStyle w:val="FootnoteText"/>
        <w:rPr>
          <w:sz w:val="16"/>
          <w:szCs w:val="16"/>
        </w:rPr>
      </w:pPr>
    </w:p>
  </w:footnote>
  <w:footnote w:id="14">
    <w:p w14:paraId="569D21EC" w14:textId="6341587C" w:rsidR="00511B20" w:rsidRDefault="00511B20">
      <w:pPr>
        <w:pStyle w:val="FootnoteText"/>
      </w:pPr>
      <w:r w:rsidRPr="00DA7DCA">
        <w:rPr>
          <w:rStyle w:val="FootnoteReference"/>
          <w:sz w:val="16"/>
          <w:szCs w:val="16"/>
        </w:rPr>
        <w:footnoteRef/>
      </w:r>
      <w:r w:rsidRPr="00DA7DCA">
        <w:rPr>
          <w:sz w:val="16"/>
          <w:szCs w:val="16"/>
        </w:rPr>
        <w:t xml:space="preserve"> </w:t>
      </w:r>
      <w:r w:rsidR="00DA7DCA" w:rsidRPr="00DA7DCA">
        <w:rPr>
          <w:sz w:val="16"/>
          <w:szCs w:val="16"/>
        </w:rPr>
        <w:t>For example: t</w:t>
      </w:r>
      <w:r w:rsidRPr="00DA7DCA">
        <w:rPr>
          <w:sz w:val="16"/>
          <w:szCs w:val="16"/>
        </w:rPr>
        <w:t>he report’s claimed $11.</w:t>
      </w:r>
      <w:r w:rsidR="00DA7DCA" w:rsidRPr="00DA7DCA">
        <w:rPr>
          <w:sz w:val="16"/>
          <w:szCs w:val="16"/>
        </w:rPr>
        <w:t xml:space="preserve">6bn, less $1.2bn in lower Credits, less $4.3bn in coal royalties, less $18.2bn in fuel excise receipts yields $12.1bn in </w:t>
      </w:r>
      <w:r w:rsidR="00DA7DCA">
        <w:rPr>
          <w:sz w:val="16"/>
          <w:szCs w:val="16"/>
        </w:rPr>
        <w:t xml:space="preserve">net </w:t>
      </w:r>
      <w:r w:rsidR="00DA7DCA" w:rsidRPr="00DA7DCA">
        <w:rPr>
          <w:sz w:val="16"/>
          <w:szCs w:val="16"/>
        </w:rPr>
        <w:t>taxes.</w:t>
      </w:r>
    </w:p>
  </w:footnote>
  <w:footnote w:id="15">
    <w:p w14:paraId="07FF4C77" w14:textId="6D5892FC" w:rsidR="00B159FD" w:rsidRPr="00C316A3" w:rsidRDefault="00B159FD">
      <w:pPr>
        <w:pStyle w:val="FootnoteText"/>
        <w:rPr>
          <w:sz w:val="16"/>
          <w:szCs w:val="16"/>
        </w:rPr>
      </w:pPr>
      <w:r w:rsidRPr="00C316A3">
        <w:rPr>
          <w:rStyle w:val="FootnoteReference"/>
          <w:sz w:val="16"/>
          <w:szCs w:val="16"/>
        </w:rPr>
        <w:footnoteRef/>
      </w:r>
      <w:r w:rsidRPr="00C316A3">
        <w:rPr>
          <w:sz w:val="16"/>
          <w:szCs w:val="16"/>
        </w:rPr>
        <w:t xml:space="preserve"> </w:t>
      </w:r>
      <w:hyperlink r:id="rId14" w:history="1">
        <w:r w:rsidRPr="00C316A3">
          <w:rPr>
            <w:rStyle w:val="Hyperlink"/>
            <w:sz w:val="16"/>
            <w:szCs w:val="16"/>
          </w:rPr>
          <w:t>https://www.industry.gov.au/data-and-publications/national-greenhouse-gas-inventory-quarterly-update-september-2021</w:t>
        </w:r>
      </w:hyperlink>
    </w:p>
    <w:p w14:paraId="743B0136" w14:textId="6ED1381C" w:rsidR="00B159FD" w:rsidRPr="00C316A3" w:rsidRDefault="00B159FD">
      <w:pPr>
        <w:pStyle w:val="FootnoteText"/>
        <w:rPr>
          <w:sz w:val="16"/>
          <w:szCs w:val="16"/>
        </w:rPr>
      </w:pPr>
      <w:hyperlink r:id="rId15" w:history="1">
        <w:r w:rsidRPr="00C316A3">
          <w:rPr>
            <w:rStyle w:val="Hyperlink"/>
            <w:sz w:val="16"/>
            <w:szCs w:val="16"/>
          </w:rPr>
          <w:t>https://www.pwc.com.au/government/Australias-road-to-zero-transport-emissions_1.pdf</w:t>
        </w:r>
      </w:hyperlink>
    </w:p>
    <w:p w14:paraId="6B627E75" w14:textId="107581D5" w:rsidR="0083362C" w:rsidRPr="00C316A3" w:rsidRDefault="0083362C">
      <w:pPr>
        <w:pStyle w:val="FootnoteText"/>
        <w:rPr>
          <w:sz w:val="16"/>
          <w:szCs w:val="16"/>
        </w:rPr>
      </w:pPr>
      <w:hyperlink r:id="rId16" w:history="1">
        <w:r w:rsidRPr="00C316A3">
          <w:rPr>
            <w:rStyle w:val="Hyperlink"/>
            <w:sz w:val="16"/>
            <w:szCs w:val="16"/>
          </w:rPr>
          <w:t>https://climateanalytics.org/publications/2019/australia-climate-factsheets-vehicle-emissions/</w:t>
        </w:r>
      </w:hyperlink>
    </w:p>
    <w:p w14:paraId="2C66738C" w14:textId="77777777" w:rsidR="00B159FD" w:rsidRPr="00C316A3" w:rsidRDefault="00B159FD">
      <w:pPr>
        <w:pStyle w:val="FootnoteText"/>
        <w:rPr>
          <w:sz w:val="16"/>
          <w:szCs w:val="16"/>
        </w:rPr>
      </w:pPr>
    </w:p>
  </w:footnote>
  <w:footnote w:id="16">
    <w:p w14:paraId="522F5CF4" w14:textId="38E90951" w:rsidR="00DF5C7D" w:rsidRPr="00C316A3" w:rsidRDefault="00DF5C7D">
      <w:pPr>
        <w:pStyle w:val="FootnoteText"/>
        <w:rPr>
          <w:sz w:val="16"/>
          <w:szCs w:val="16"/>
        </w:rPr>
      </w:pPr>
      <w:r w:rsidRPr="00C316A3">
        <w:rPr>
          <w:rStyle w:val="FootnoteReference"/>
          <w:sz w:val="16"/>
          <w:szCs w:val="16"/>
        </w:rPr>
        <w:footnoteRef/>
      </w:r>
      <w:r w:rsidRPr="00C316A3">
        <w:rPr>
          <w:sz w:val="16"/>
          <w:szCs w:val="16"/>
        </w:rPr>
        <w:t xml:space="preserve"> </w:t>
      </w:r>
      <w:hyperlink r:id="rId17" w:history="1">
        <w:r w:rsidRPr="00C316A3">
          <w:rPr>
            <w:rStyle w:val="Hyperlink"/>
            <w:sz w:val="16"/>
            <w:szCs w:val="16"/>
          </w:rPr>
          <w:t>https://www.uow.edu.au/media/2020/transport-is-letting-australia-down-in-the-race-to-cut-emissions.php</w:t>
        </w:r>
      </w:hyperlink>
    </w:p>
    <w:p w14:paraId="3AB9E5D4" w14:textId="77777777" w:rsidR="00DF5C7D" w:rsidRPr="00C316A3" w:rsidRDefault="00DF5C7D">
      <w:pPr>
        <w:pStyle w:val="FootnoteText"/>
        <w:rPr>
          <w:sz w:val="16"/>
          <w:szCs w:val="16"/>
        </w:rPr>
      </w:pPr>
    </w:p>
  </w:footnote>
  <w:footnote w:id="17">
    <w:p w14:paraId="5BC52B25" w14:textId="77777777" w:rsidR="00DA7DCA" w:rsidRPr="00C316A3" w:rsidRDefault="00DA7DCA" w:rsidP="00DA7DCA">
      <w:pPr>
        <w:pStyle w:val="FootnoteText"/>
        <w:rPr>
          <w:sz w:val="16"/>
          <w:szCs w:val="16"/>
        </w:rPr>
      </w:pPr>
      <w:r w:rsidRPr="00C316A3">
        <w:rPr>
          <w:rStyle w:val="FootnoteReference"/>
          <w:sz w:val="16"/>
          <w:szCs w:val="16"/>
        </w:rPr>
        <w:footnoteRef/>
      </w:r>
      <w:r w:rsidRPr="00C316A3">
        <w:rPr>
          <w:sz w:val="16"/>
          <w:szCs w:val="16"/>
        </w:rPr>
        <w:t xml:space="preserve"> </w:t>
      </w:r>
      <w:hyperlink r:id="rId18" w:history="1">
        <w:r w:rsidRPr="00C316A3">
          <w:rPr>
            <w:rStyle w:val="Hyperlink"/>
            <w:sz w:val="16"/>
            <w:szCs w:val="16"/>
          </w:rPr>
          <w:t>https://www.imf.org/en/Publications/CR/Issues/2019/02/13/Australia-2018-Article-IV-Consultation-Press-Release-Staff-Report-and-Statement-by-the-46612</w:t>
        </w:r>
      </w:hyperlink>
    </w:p>
    <w:p w14:paraId="36150375" w14:textId="77777777" w:rsidR="00DA7DCA" w:rsidRPr="00C316A3" w:rsidRDefault="00DA7DCA" w:rsidP="00DA7DCA">
      <w:pPr>
        <w:pStyle w:val="FootnoteText"/>
        <w:rPr>
          <w:sz w:val="16"/>
          <w:szCs w:val="16"/>
        </w:rPr>
      </w:pPr>
    </w:p>
  </w:footnote>
  <w:footnote w:id="18">
    <w:p w14:paraId="037E442B" w14:textId="4F601A55" w:rsidR="002506FF" w:rsidRDefault="002506FF">
      <w:pPr>
        <w:pStyle w:val="FootnoteText"/>
        <w:rPr>
          <w:sz w:val="16"/>
          <w:szCs w:val="16"/>
        </w:rPr>
      </w:pPr>
      <w:r w:rsidRPr="002506FF">
        <w:rPr>
          <w:rStyle w:val="FootnoteReference"/>
          <w:sz w:val="16"/>
          <w:szCs w:val="16"/>
        </w:rPr>
        <w:footnoteRef/>
      </w:r>
      <w:r w:rsidRPr="002506FF">
        <w:rPr>
          <w:sz w:val="16"/>
          <w:szCs w:val="16"/>
        </w:rPr>
        <w:t xml:space="preserve"> As the Credit is only one third of total fuel excise collections.</w:t>
      </w:r>
    </w:p>
    <w:p w14:paraId="34DF1010" w14:textId="77777777" w:rsidR="00A26A00" w:rsidRPr="004D567A" w:rsidRDefault="00A26A00">
      <w:pPr>
        <w:pStyle w:val="FootnoteText"/>
        <w:rPr>
          <w:sz w:val="16"/>
          <w:szCs w:val="16"/>
        </w:rPr>
      </w:pPr>
    </w:p>
  </w:footnote>
  <w:footnote w:id="19">
    <w:p w14:paraId="35289721" w14:textId="29F425B5" w:rsidR="00457AD6" w:rsidRPr="004D567A" w:rsidRDefault="00457AD6">
      <w:pPr>
        <w:pStyle w:val="FootnoteText"/>
        <w:rPr>
          <w:sz w:val="16"/>
          <w:szCs w:val="16"/>
        </w:rPr>
      </w:pPr>
      <w:r w:rsidRPr="004D567A">
        <w:rPr>
          <w:rStyle w:val="FootnoteReference"/>
          <w:sz w:val="16"/>
          <w:szCs w:val="16"/>
        </w:rPr>
        <w:footnoteRef/>
      </w:r>
      <w:r w:rsidRPr="004D567A">
        <w:rPr>
          <w:sz w:val="16"/>
          <w:szCs w:val="16"/>
        </w:rPr>
        <w:t xml:space="preserve"> </w:t>
      </w:r>
      <w:hyperlink r:id="rId19" w:history="1">
        <w:r w:rsidR="004D567A" w:rsidRPr="004D567A">
          <w:rPr>
            <w:rStyle w:val="Hyperlink"/>
            <w:sz w:val="16"/>
            <w:szCs w:val="16"/>
          </w:rPr>
          <w:t>https://www.msn.com/en-au/motoring/news/your-tax-break-on-wheels/ar-AAVRxQg?ocid=mailsignout&amp;li=AAgfYrC</w:t>
        </w:r>
      </w:hyperlink>
    </w:p>
    <w:p w14:paraId="1C4D6107" w14:textId="77777777" w:rsidR="004D567A" w:rsidRPr="004D567A" w:rsidRDefault="004D567A">
      <w:pPr>
        <w:pStyle w:val="FootnoteText"/>
        <w:rPr>
          <w:sz w:val="16"/>
          <w:szCs w:val="16"/>
        </w:rPr>
      </w:pPr>
    </w:p>
  </w:footnote>
  <w:footnote w:id="20">
    <w:p w14:paraId="7819F524" w14:textId="77777777" w:rsidR="007650C1" w:rsidRPr="00C316A3" w:rsidRDefault="007650C1" w:rsidP="007650C1">
      <w:pPr>
        <w:pStyle w:val="FootnoteText"/>
        <w:rPr>
          <w:sz w:val="16"/>
          <w:szCs w:val="16"/>
        </w:rPr>
      </w:pPr>
      <w:r w:rsidRPr="00C316A3">
        <w:rPr>
          <w:rStyle w:val="FootnoteReference"/>
          <w:sz w:val="16"/>
          <w:szCs w:val="16"/>
        </w:rPr>
        <w:footnoteRef/>
      </w:r>
      <w:r w:rsidRPr="00C316A3">
        <w:rPr>
          <w:sz w:val="16"/>
          <w:szCs w:val="16"/>
        </w:rPr>
        <w:t xml:space="preserve"> General </w:t>
      </w:r>
      <w:r w:rsidRPr="00C316A3">
        <w:rPr>
          <w:i/>
          <w:iCs/>
          <w:sz w:val="16"/>
          <w:szCs w:val="16"/>
        </w:rPr>
        <w:t>‘The provision of infrastructure represents a major subsidy to fossil fuel industries in Australia. Governments spend significant amounts of money on ports, railways, pipelines, power stations and other infrastructure that assists the production, transport and consumption of fossil fuels. While the users of this infrastructure often pay to use it, and the management bodies may return surplus money to the government that owns the asset….</w:t>
      </w:r>
      <w:r w:rsidRPr="00C316A3">
        <w:rPr>
          <w:sz w:val="16"/>
          <w:szCs w:val="16"/>
        </w:rPr>
        <w:t>’</w:t>
      </w:r>
    </w:p>
    <w:p w14:paraId="16DE6B4E" w14:textId="77777777" w:rsidR="007650C1" w:rsidRDefault="007650C1" w:rsidP="007650C1">
      <w:pPr>
        <w:pStyle w:val="FootnoteText"/>
        <w:rPr>
          <w:sz w:val="16"/>
          <w:szCs w:val="16"/>
        </w:rPr>
      </w:pPr>
      <w:r w:rsidRPr="00C316A3">
        <w:rPr>
          <w:sz w:val="16"/>
          <w:szCs w:val="16"/>
        </w:rPr>
        <w:t>Gas roads: $273m.  Ship lift $190m.</w:t>
      </w:r>
    </w:p>
    <w:p w14:paraId="6DC74150" w14:textId="77777777" w:rsidR="007650C1" w:rsidRPr="00C316A3" w:rsidRDefault="007650C1" w:rsidP="007650C1">
      <w:pPr>
        <w:pStyle w:val="FootnoteText"/>
        <w:rPr>
          <w:sz w:val="16"/>
          <w:szCs w:val="16"/>
        </w:rPr>
      </w:pPr>
    </w:p>
  </w:footnote>
  <w:footnote w:id="21">
    <w:p w14:paraId="19928353" w14:textId="25458C77" w:rsidR="00FF7377" w:rsidRDefault="00FF7377">
      <w:pPr>
        <w:pStyle w:val="FootnoteText"/>
        <w:rPr>
          <w:sz w:val="16"/>
          <w:szCs w:val="16"/>
        </w:rPr>
      </w:pPr>
      <w:r w:rsidRPr="00FF7377">
        <w:rPr>
          <w:rStyle w:val="FootnoteReference"/>
          <w:sz w:val="16"/>
          <w:szCs w:val="16"/>
        </w:rPr>
        <w:footnoteRef/>
      </w:r>
      <w:r w:rsidRPr="00FF7377">
        <w:rPr>
          <w:sz w:val="16"/>
          <w:szCs w:val="16"/>
        </w:rPr>
        <w:t xml:space="preserve"> </w:t>
      </w:r>
      <w:r w:rsidR="008142E0">
        <w:rPr>
          <w:sz w:val="16"/>
          <w:szCs w:val="16"/>
        </w:rPr>
        <w:t xml:space="preserve">Petrol excise was introduced in 1929, diesel in 1957.  </w:t>
      </w:r>
      <w:r>
        <w:rPr>
          <w:sz w:val="16"/>
          <w:szCs w:val="16"/>
        </w:rPr>
        <w:t xml:space="preserve">An exemption </w:t>
      </w:r>
      <w:r w:rsidR="008142E0">
        <w:rPr>
          <w:sz w:val="16"/>
          <w:szCs w:val="16"/>
        </w:rPr>
        <w:t xml:space="preserve">certificate </w:t>
      </w:r>
      <w:r>
        <w:rPr>
          <w:sz w:val="16"/>
          <w:szCs w:val="16"/>
        </w:rPr>
        <w:t xml:space="preserve">scheme for off-road diesel use existed until 1982, </w:t>
      </w:r>
      <w:r w:rsidR="008142E0">
        <w:rPr>
          <w:sz w:val="16"/>
          <w:szCs w:val="16"/>
        </w:rPr>
        <w:t>and was replaced by the (present) rebate mechanism due to the scheme being ‘widely abused’.  However, at that time rebates were not available for all off road uses – notably they were not available for railways.  Thus, it could be claimed the excise was not related to road use.  This changed with the New Tax System in 2000, after the rail industry claimed it was part paying for the roads against which it compete</w:t>
      </w:r>
      <w:r w:rsidR="001B5F11">
        <w:rPr>
          <w:sz w:val="16"/>
          <w:szCs w:val="16"/>
        </w:rPr>
        <w:t>s</w:t>
      </w:r>
      <w:r w:rsidRPr="00FF7377">
        <w:rPr>
          <w:sz w:val="16"/>
          <w:szCs w:val="16"/>
        </w:rPr>
        <w:t xml:space="preserve">: </w:t>
      </w:r>
      <w:hyperlink r:id="rId20" w:history="1">
        <w:r w:rsidRPr="00FF7377">
          <w:rPr>
            <w:rStyle w:val="Hyperlink"/>
            <w:sz w:val="16"/>
            <w:szCs w:val="16"/>
          </w:rPr>
          <w:t>https://www.aph.gov.au/About_Parliament/Parliamentary_Departments/Parliamentary_Library/pubs/rp/rp0001/01RP06</w:t>
        </w:r>
      </w:hyperlink>
      <w:r w:rsidR="00A81477">
        <w:rPr>
          <w:sz w:val="16"/>
          <w:szCs w:val="16"/>
        </w:rPr>
        <w:t>.</w:t>
      </w:r>
    </w:p>
    <w:p w14:paraId="35AAAFE4" w14:textId="48F77B13" w:rsidR="00A81477" w:rsidRPr="00FF7377" w:rsidRDefault="00A81477">
      <w:pPr>
        <w:pStyle w:val="FootnoteText"/>
        <w:rPr>
          <w:sz w:val="16"/>
          <w:szCs w:val="16"/>
        </w:rPr>
      </w:pPr>
      <w:r>
        <w:rPr>
          <w:sz w:val="16"/>
          <w:szCs w:val="16"/>
        </w:rPr>
        <w:t xml:space="preserve">The Australia’s Future Tax System report (Henry Review, 2010) </w:t>
      </w:r>
      <w:r w:rsidR="00CC1C4D">
        <w:rPr>
          <w:sz w:val="16"/>
          <w:szCs w:val="16"/>
        </w:rPr>
        <w:t xml:space="preserve">said that the fuel excise and registration charges could be viewed as a two-part tariff for road use - </w:t>
      </w:r>
      <w:hyperlink r:id="rId21" w:history="1">
        <w:r w:rsidR="00CC1C4D" w:rsidRPr="008039A8">
          <w:rPr>
            <w:rStyle w:val="Hyperlink"/>
            <w:sz w:val="16"/>
            <w:szCs w:val="16"/>
          </w:rPr>
          <w:t>https://treasury.gov.au/sites/default/files/2019-10/afts_final_report_part_2_vol_2_consolidated.pdf</w:t>
        </w:r>
        <w:r w:rsidR="00CC1C4D" w:rsidRPr="008039A8">
          <w:rPr>
            <w:rStyle w:val="Hyperlink"/>
            <w:sz w:val="16"/>
            <w:szCs w:val="16"/>
          </w:rPr>
          <w:t xml:space="preserve"> at p.375</w:t>
        </w:r>
      </w:hyperlink>
      <w:r w:rsidR="00CC1C4D">
        <w:rPr>
          <w:sz w:val="16"/>
          <w:szCs w:val="16"/>
        </w:rPr>
        <w:t>.  This was in the context of considering whether there were better ways of dealing with road costs, with a suggestion of phasing out the excise in favour of direct road charges</w:t>
      </w:r>
      <w:r w:rsidR="004F5F9E">
        <w:rPr>
          <w:sz w:val="16"/>
          <w:szCs w:val="16"/>
        </w:rPr>
        <w:t xml:space="preserve"> – recommendation 65, A Senate Committee referring to the excise as a road transport tax</w:t>
      </w:r>
      <w:r w:rsidR="004F5F9E" w:rsidRPr="004F5F9E">
        <w:t xml:space="preserve"> </w:t>
      </w:r>
      <w:hyperlink r:id="rId22" w:history="1">
        <w:r w:rsidR="004F5F9E" w:rsidRPr="008039A8">
          <w:rPr>
            <w:rStyle w:val="Hyperlink"/>
            <w:sz w:val="16"/>
            <w:szCs w:val="16"/>
          </w:rPr>
          <w:t>https://www.aph.gov.au/Parliamentary_Business/Committees/Senate/Former_Committees/fuelenergy/second_interim/c03</w:t>
        </w:r>
      </w:hyperlink>
      <w:r w:rsidR="00CC1C4D">
        <w:rPr>
          <w:sz w:val="16"/>
          <w:szCs w:val="16"/>
        </w:rPr>
        <w:t>.  At the time – but not now – excise and registration revenues exceeded road spending.</w:t>
      </w:r>
    </w:p>
    <w:p w14:paraId="0569137B" w14:textId="77777777" w:rsidR="00FF7377" w:rsidRDefault="00FF7377">
      <w:pPr>
        <w:pStyle w:val="FootnoteText"/>
      </w:pPr>
    </w:p>
  </w:footnote>
  <w:footnote w:id="22">
    <w:p w14:paraId="3255D28F" w14:textId="4CC35CF8" w:rsidR="00000F79" w:rsidRDefault="00000F79">
      <w:pPr>
        <w:pStyle w:val="FootnoteText"/>
        <w:rPr>
          <w:sz w:val="16"/>
          <w:szCs w:val="16"/>
        </w:rPr>
      </w:pPr>
      <w:r w:rsidRPr="00000F79">
        <w:rPr>
          <w:rStyle w:val="FootnoteReference"/>
          <w:sz w:val="16"/>
          <w:szCs w:val="16"/>
        </w:rPr>
        <w:footnoteRef/>
      </w:r>
      <w:r w:rsidRPr="00000F79">
        <w:rPr>
          <w:sz w:val="16"/>
          <w:szCs w:val="16"/>
        </w:rPr>
        <w:t xml:space="preserve"> </w:t>
      </w:r>
      <w:r w:rsidR="00385BEC" w:rsidRPr="00000F79">
        <w:rPr>
          <w:sz w:val="16"/>
          <w:szCs w:val="16"/>
        </w:rPr>
        <w:t>E.g.,</w:t>
      </w:r>
      <w:r w:rsidRPr="00000F79">
        <w:rPr>
          <w:sz w:val="16"/>
          <w:szCs w:val="16"/>
        </w:rPr>
        <w:t xml:space="preserve"> </w:t>
      </w:r>
      <w:hyperlink r:id="rId23" w:history="1">
        <w:r w:rsidRPr="008039A8">
          <w:rPr>
            <w:rStyle w:val="Hyperlink"/>
            <w:sz w:val="16"/>
            <w:szCs w:val="16"/>
          </w:rPr>
          <w:t>https://www.thejadebeagle.com/roads.html</w:t>
        </w:r>
      </w:hyperlink>
    </w:p>
    <w:p w14:paraId="51FECF24" w14:textId="175EFE7D" w:rsidR="00000F79" w:rsidRPr="00000F79" w:rsidRDefault="00000F79">
      <w:pPr>
        <w:pStyle w:val="FootnoteText"/>
        <w:rPr>
          <w:sz w:val="16"/>
          <w:szCs w:val="16"/>
        </w:rPr>
      </w:pPr>
      <w:hyperlink r:id="rId24" w:history="1">
        <w:r w:rsidRPr="00000F79">
          <w:rPr>
            <w:rStyle w:val="Hyperlink"/>
            <w:sz w:val="16"/>
            <w:szCs w:val="16"/>
          </w:rPr>
          <w:t>https://www.thejadebeagle.com/road-reform.html</w:t>
        </w:r>
      </w:hyperlink>
    </w:p>
    <w:p w14:paraId="01E929EE" w14:textId="77777777" w:rsidR="00000F79" w:rsidRPr="00000F79" w:rsidRDefault="00000F79">
      <w:pPr>
        <w:pStyle w:val="FootnoteText"/>
        <w:rPr>
          <w:sz w:val="16"/>
          <w:szCs w:val="16"/>
        </w:rPr>
      </w:pPr>
    </w:p>
  </w:footnote>
  <w:footnote w:id="23">
    <w:p w14:paraId="7BC00A8F" w14:textId="77777777" w:rsidR="00A26A00" w:rsidRDefault="00A26A00" w:rsidP="00A26A00">
      <w:pPr>
        <w:pStyle w:val="FootnoteText"/>
        <w:rPr>
          <w:sz w:val="16"/>
          <w:szCs w:val="16"/>
        </w:rPr>
      </w:pPr>
      <w:r w:rsidRPr="00AC1410">
        <w:rPr>
          <w:rStyle w:val="FootnoteReference"/>
          <w:sz w:val="16"/>
          <w:szCs w:val="16"/>
        </w:rPr>
        <w:footnoteRef/>
      </w:r>
      <w:r w:rsidRPr="00AC1410">
        <w:rPr>
          <w:sz w:val="16"/>
          <w:szCs w:val="16"/>
        </w:rPr>
        <w:t xml:space="preserve"> </w:t>
      </w:r>
      <w:hyperlink r:id="rId25" w:history="1">
        <w:r w:rsidRPr="00FC3C7B">
          <w:rPr>
            <w:rStyle w:val="Hyperlink"/>
            <w:sz w:val="16"/>
            <w:szCs w:val="16"/>
          </w:rPr>
          <w:t>https://www.thejadebeagle.com/roads-deficit-2019-20.html</w:t>
        </w:r>
      </w:hyperlink>
    </w:p>
    <w:p w14:paraId="11620045" w14:textId="77777777" w:rsidR="00A26A00" w:rsidRPr="00AC1410" w:rsidRDefault="00A26A00" w:rsidP="00A26A00">
      <w:pPr>
        <w:pStyle w:val="FootnoteText"/>
        <w:rPr>
          <w:sz w:val="16"/>
          <w:szCs w:val="16"/>
        </w:rPr>
      </w:pPr>
    </w:p>
  </w:footnote>
  <w:footnote w:id="24">
    <w:p w14:paraId="3E77C9B6" w14:textId="108FBE47" w:rsidR="006C42AD" w:rsidRPr="00B657F1" w:rsidRDefault="006C42AD">
      <w:pPr>
        <w:pStyle w:val="FootnoteText"/>
        <w:rPr>
          <w:sz w:val="16"/>
          <w:szCs w:val="16"/>
        </w:rPr>
      </w:pPr>
      <w:r w:rsidRPr="00B657F1">
        <w:rPr>
          <w:rStyle w:val="FootnoteReference"/>
          <w:sz w:val="16"/>
          <w:szCs w:val="16"/>
        </w:rPr>
        <w:footnoteRef/>
      </w:r>
      <w:r w:rsidRPr="00B657F1">
        <w:rPr>
          <w:sz w:val="16"/>
          <w:szCs w:val="16"/>
        </w:rPr>
        <w:t xml:space="preserve"> </w:t>
      </w:r>
      <w:hyperlink r:id="rId26" w:history="1">
        <w:r w:rsidRPr="00B657F1">
          <w:rPr>
            <w:rStyle w:val="Hyperlink"/>
            <w:sz w:val="16"/>
            <w:szCs w:val="16"/>
          </w:rPr>
          <w:t>https://www.abc.net.au/news/2022-03-27/josh-frydenberg-hints-at-fuel-excise-cut-in-federal-budget/100942580</w:t>
        </w:r>
      </w:hyperlink>
    </w:p>
    <w:p w14:paraId="4F78A08D" w14:textId="77777777" w:rsidR="006C42AD" w:rsidRPr="00B657F1" w:rsidRDefault="006C42AD">
      <w:pPr>
        <w:pStyle w:val="FootnoteText"/>
        <w:rPr>
          <w:sz w:val="16"/>
          <w:szCs w:val="16"/>
        </w:rPr>
      </w:pPr>
    </w:p>
  </w:footnote>
  <w:footnote w:id="25">
    <w:p w14:paraId="27633314" w14:textId="3223857D" w:rsidR="004224F9" w:rsidRPr="00B657F1" w:rsidRDefault="004224F9">
      <w:pPr>
        <w:pStyle w:val="FootnoteText"/>
        <w:rPr>
          <w:sz w:val="16"/>
          <w:szCs w:val="16"/>
        </w:rPr>
      </w:pPr>
      <w:r w:rsidRPr="00B657F1">
        <w:rPr>
          <w:rStyle w:val="FootnoteReference"/>
          <w:sz w:val="16"/>
          <w:szCs w:val="16"/>
        </w:rPr>
        <w:footnoteRef/>
      </w:r>
      <w:r w:rsidRPr="00B657F1">
        <w:rPr>
          <w:sz w:val="16"/>
          <w:szCs w:val="16"/>
        </w:rPr>
        <w:t xml:space="preserve"> </w:t>
      </w:r>
      <w:hyperlink r:id="rId27" w:history="1">
        <w:r w:rsidR="000A3FD8" w:rsidRPr="00B657F1">
          <w:rPr>
            <w:rStyle w:val="Hyperlink"/>
            <w:sz w:val="16"/>
            <w:szCs w:val="16"/>
          </w:rPr>
          <w:t>https://www.nytimes.com/2022/04/05/business/germany-russia-oil-gas-coal.html</w:t>
        </w:r>
      </w:hyperlink>
    </w:p>
    <w:p w14:paraId="5679B05E" w14:textId="0C7E63D6" w:rsidR="000A3FD8" w:rsidRPr="00B657F1" w:rsidRDefault="000A3FD8">
      <w:pPr>
        <w:pStyle w:val="FootnoteText"/>
        <w:rPr>
          <w:sz w:val="16"/>
          <w:szCs w:val="16"/>
        </w:rPr>
      </w:pPr>
      <w:r w:rsidRPr="00B657F1">
        <w:rPr>
          <w:sz w:val="16"/>
          <w:szCs w:val="16"/>
        </w:rPr>
        <w:t xml:space="preserve">Coal: </w:t>
      </w:r>
      <w:hyperlink r:id="rId28" w:history="1">
        <w:r w:rsidRPr="00B657F1">
          <w:rPr>
            <w:rStyle w:val="Hyperlink"/>
            <w:sz w:val="16"/>
            <w:szCs w:val="16"/>
          </w:rPr>
          <w:t>https://www.spglobal.com/commodity-insights/en/market-insights/latest-news/coal/031022-australias-record-high-thermal-coal-prices-here-to-stay-amid-sweeping-european-demand</w:t>
        </w:r>
      </w:hyperlink>
    </w:p>
    <w:p w14:paraId="7F275DC4" w14:textId="79A89FC5" w:rsidR="000A3FD8" w:rsidRPr="00B657F1" w:rsidRDefault="00B657F1">
      <w:pPr>
        <w:pStyle w:val="FootnoteText"/>
        <w:rPr>
          <w:sz w:val="16"/>
          <w:szCs w:val="16"/>
        </w:rPr>
      </w:pPr>
      <w:hyperlink r:id="rId29" w:history="1">
        <w:r w:rsidRPr="00B657F1">
          <w:rPr>
            <w:rStyle w:val="Hyperlink"/>
            <w:sz w:val="16"/>
            <w:szCs w:val="16"/>
          </w:rPr>
          <w:t>https://publications.industry.gov.au/publications/resourcesandenergyquarterlymarch2022/index.html</w:t>
        </w:r>
      </w:hyperlink>
    </w:p>
    <w:p w14:paraId="63954BF9" w14:textId="77777777" w:rsidR="00B657F1" w:rsidRDefault="00B657F1">
      <w:pPr>
        <w:pStyle w:val="FootnoteText"/>
      </w:pPr>
    </w:p>
  </w:footnote>
  <w:footnote w:id="26">
    <w:p w14:paraId="6F06D4FB" w14:textId="3EDD1AC0" w:rsidR="00FB2A9F" w:rsidRPr="00FB2A9F" w:rsidRDefault="00FB2A9F">
      <w:pPr>
        <w:pStyle w:val="FootnoteText"/>
        <w:rPr>
          <w:sz w:val="16"/>
          <w:szCs w:val="16"/>
        </w:rPr>
      </w:pPr>
      <w:r w:rsidRPr="00FB2A9F">
        <w:rPr>
          <w:rStyle w:val="FootnoteReference"/>
          <w:sz w:val="16"/>
          <w:szCs w:val="16"/>
        </w:rPr>
        <w:footnoteRef/>
      </w:r>
      <w:r w:rsidRPr="00FB2A9F">
        <w:rPr>
          <w:sz w:val="16"/>
          <w:szCs w:val="16"/>
        </w:rPr>
        <w:t xml:space="preserve"> </w:t>
      </w:r>
      <w:hyperlink r:id="rId30" w:history="1">
        <w:r w:rsidRPr="00FB2A9F">
          <w:rPr>
            <w:rStyle w:val="Hyperlink"/>
            <w:sz w:val="16"/>
            <w:szCs w:val="16"/>
          </w:rPr>
          <w:t>http://fueltaxfacts.com.au/who-claims-credits</w:t>
        </w:r>
      </w:hyperlink>
    </w:p>
    <w:p w14:paraId="06EB1A32" w14:textId="77777777" w:rsidR="00FB2A9F" w:rsidRDefault="00FB2A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EC69" w14:textId="77777777" w:rsidR="007C44B7" w:rsidRDefault="007C4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B492" w14:textId="77777777" w:rsidR="007C44B7" w:rsidRDefault="007C4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6D23" w14:textId="77777777" w:rsidR="007C44B7" w:rsidRDefault="007C4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0A0"/>
    <w:multiLevelType w:val="hybridMultilevel"/>
    <w:tmpl w:val="6B40D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844C71"/>
    <w:multiLevelType w:val="hybridMultilevel"/>
    <w:tmpl w:val="84F8A39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BF2B29"/>
    <w:multiLevelType w:val="hybridMultilevel"/>
    <w:tmpl w:val="98C44114"/>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E155F9"/>
    <w:multiLevelType w:val="multilevel"/>
    <w:tmpl w:val="F0688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15:restartNumberingAfterBreak="0">
    <w:nsid w:val="5CBB3F37"/>
    <w:multiLevelType w:val="hybridMultilevel"/>
    <w:tmpl w:val="CFA0C9A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E"/>
    <w:rsid w:val="00000F79"/>
    <w:rsid w:val="0000660E"/>
    <w:rsid w:val="000074F8"/>
    <w:rsid w:val="0002342E"/>
    <w:rsid w:val="000414ED"/>
    <w:rsid w:val="000521D7"/>
    <w:rsid w:val="00052268"/>
    <w:rsid w:val="0006517E"/>
    <w:rsid w:val="0007288A"/>
    <w:rsid w:val="00075AE5"/>
    <w:rsid w:val="00077E4D"/>
    <w:rsid w:val="0008655C"/>
    <w:rsid w:val="0009228A"/>
    <w:rsid w:val="000A3FD8"/>
    <w:rsid w:val="000A77DD"/>
    <w:rsid w:val="000D555D"/>
    <w:rsid w:val="000E7276"/>
    <w:rsid w:val="000F1334"/>
    <w:rsid w:val="000F29AA"/>
    <w:rsid w:val="000F4E8B"/>
    <w:rsid w:val="001003C5"/>
    <w:rsid w:val="0012648C"/>
    <w:rsid w:val="001346AF"/>
    <w:rsid w:val="00143015"/>
    <w:rsid w:val="001468A6"/>
    <w:rsid w:val="001523EA"/>
    <w:rsid w:val="00154749"/>
    <w:rsid w:val="00157A3A"/>
    <w:rsid w:val="001625BB"/>
    <w:rsid w:val="00164109"/>
    <w:rsid w:val="00170C83"/>
    <w:rsid w:val="001910E3"/>
    <w:rsid w:val="001927A3"/>
    <w:rsid w:val="001A68FE"/>
    <w:rsid w:val="001B5F11"/>
    <w:rsid w:val="001C76CD"/>
    <w:rsid w:val="001D00A4"/>
    <w:rsid w:val="001E7ED8"/>
    <w:rsid w:val="00200068"/>
    <w:rsid w:val="002039D1"/>
    <w:rsid w:val="00227B75"/>
    <w:rsid w:val="00233173"/>
    <w:rsid w:val="002506FF"/>
    <w:rsid w:val="00251F9A"/>
    <w:rsid w:val="0027177E"/>
    <w:rsid w:val="00285078"/>
    <w:rsid w:val="002916BA"/>
    <w:rsid w:val="002A5DC9"/>
    <w:rsid w:val="002C0F52"/>
    <w:rsid w:val="002E304E"/>
    <w:rsid w:val="002F4DB7"/>
    <w:rsid w:val="0030206C"/>
    <w:rsid w:val="00326336"/>
    <w:rsid w:val="00361E47"/>
    <w:rsid w:val="003661A1"/>
    <w:rsid w:val="00385BEC"/>
    <w:rsid w:val="003A5BC7"/>
    <w:rsid w:val="003A7041"/>
    <w:rsid w:val="003B3C05"/>
    <w:rsid w:val="003D40C9"/>
    <w:rsid w:val="003E117C"/>
    <w:rsid w:val="003E2C5E"/>
    <w:rsid w:val="00405AD4"/>
    <w:rsid w:val="00412064"/>
    <w:rsid w:val="004224F9"/>
    <w:rsid w:val="004445B7"/>
    <w:rsid w:val="004459FE"/>
    <w:rsid w:val="0045313A"/>
    <w:rsid w:val="00457AD6"/>
    <w:rsid w:val="00472683"/>
    <w:rsid w:val="00477F62"/>
    <w:rsid w:val="00495987"/>
    <w:rsid w:val="004B3D1E"/>
    <w:rsid w:val="004B7C4E"/>
    <w:rsid w:val="004D1332"/>
    <w:rsid w:val="004D567A"/>
    <w:rsid w:val="004E09B5"/>
    <w:rsid w:val="004E1200"/>
    <w:rsid w:val="004F5F9E"/>
    <w:rsid w:val="004F63B5"/>
    <w:rsid w:val="004F7B10"/>
    <w:rsid w:val="005012CD"/>
    <w:rsid w:val="00511B20"/>
    <w:rsid w:val="005432AA"/>
    <w:rsid w:val="005764D5"/>
    <w:rsid w:val="005913BC"/>
    <w:rsid w:val="005C2BBC"/>
    <w:rsid w:val="005E7BD3"/>
    <w:rsid w:val="005F3C78"/>
    <w:rsid w:val="005F78F3"/>
    <w:rsid w:val="00600CCD"/>
    <w:rsid w:val="00612983"/>
    <w:rsid w:val="00622FA7"/>
    <w:rsid w:val="006336D8"/>
    <w:rsid w:val="006572D2"/>
    <w:rsid w:val="0069407E"/>
    <w:rsid w:val="006A57CE"/>
    <w:rsid w:val="006B2A8A"/>
    <w:rsid w:val="006C42AD"/>
    <w:rsid w:val="006D0E0A"/>
    <w:rsid w:val="006D1CE9"/>
    <w:rsid w:val="006D3444"/>
    <w:rsid w:val="006D3991"/>
    <w:rsid w:val="006D4BB1"/>
    <w:rsid w:val="006D5ED3"/>
    <w:rsid w:val="006D7E43"/>
    <w:rsid w:val="006E1BAD"/>
    <w:rsid w:val="006F193B"/>
    <w:rsid w:val="006F28D2"/>
    <w:rsid w:val="006F4197"/>
    <w:rsid w:val="00707978"/>
    <w:rsid w:val="00710DA3"/>
    <w:rsid w:val="00715FAB"/>
    <w:rsid w:val="007374F9"/>
    <w:rsid w:val="00753C34"/>
    <w:rsid w:val="007577AA"/>
    <w:rsid w:val="007633F1"/>
    <w:rsid w:val="007650C1"/>
    <w:rsid w:val="007676F2"/>
    <w:rsid w:val="00793BDF"/>
    <w:rsid w:val="007A24E2"/>
    <w:rsid w:val="007C44B7"/>
    <w:rsid w:val="007D23AA"/>
    <w:rsid w:val="007E683E"/>
    <w:rsid w:val="008100E8"/>
    <w:rsid w:val="008142E0"/>
    <w:rsid w:val="008247A4"/>
    <w:rsid w:val="0082679B"/>
    <w:rsid w:val="0083362C"/>
    <w:rsid w:val="00842E16"/>
    <w:rsid w:val="00847B18"/>
    <w:rsid w:val="00867F95"/>
    <w:rsid w:val="008861E9"/>
    <w:rsid w:val="008C3A78"/>
    <w:rsid w:val="008D232E"/>
    <w:rsid w:val="009008C7"/>
    <w:rsid w:val="00925CE1"/>
    <w:rsid w:val="00926256"/>
    <w:rsid w:val="00951BBE"/>
    <w:rsid w:val="00962D10"/>
    <w:rsid w:val="0096778B"/>
    <w:rsid w:val="009827EC"/>
    <w:rsid w:val="0099444F"/>
    <w:rsid w:val="009D5A1F"/>
    <w:rsid w:val="009D78B4"/>
    <w:rsid w:val="009E05B3"/>
    <w:rsid w:val="00A0479A"/>
    <w:rsid w:val="00A14DB9"/>
    <w:rsid w:val="00A26A00"/>
    <w:rsid w:val="00A327D9"/>
    <w:rsid w:val="00A34AD8"/>
    <w:rsid w:val="00A34F47"/>
    <w:rsid w:val="00A4766D"/>
    <w:rsid w:val="00A53928"/>
    <w:rsid w:val="00A762D3"/>
    <w:rsid w:val="00A81477"/>
    <w:rsid w:val="00A86EB9"/>
    <w:rsid w:val="00AA4A8F"/>
    <w:rsid w:val="00AB0A8A"/>
    <w:rsid w:val="00AB4653"/>
    <w:rsid w:val="00AC0668"/>
    <w:rsid w:val="00AC1410"/>
    <w:rsid w:val="00AC36FA"/>
    <w:rsid w:val="00AE1597"/>
    <w:rsid w:val="00AE3BAB"/>
    <w:rsid w:val="00B005B1"/>
    <w:rsid w:val="00B109D4"/>
    <w:rsid w:val="00B12C50"/>
    <w:rsid w:val="00B15108"/>
    <w:rsid w:val="00B15260"/>
    <w:rsid w:val="00B159FD"/>
    <w:rsid w:val="00B37BE4"/>
    <w:rsid w:val="00B536CB"/>
    <w:rsid w:val="00B56C62"/>
    <w:rsid w:val="00B657F1"/>
    <w:rsid w:val="00B6619C"/>
    <w:rsid w:val="00B775D8"/>
    <w:rsid w:val="00B81580"/>
    <w:rsid w:val="00B8587A"/>
    <w:rsid w:val="00B92322"/>
    <w:rsid w:val="00BC2EEC"/>
    <w:rsid w:val="00BD121D"/>
    <w:rsid w:val="00BD5953"/>
    <w:rsid w:val="00BD6C2E"/>
    <w:rsid w:val="00BD7194"/>
    <w:rsid w:val="00BE2B20"/>
    <w:rsid w:val="00BF1AF8"/>
    <w:rsid w:val="00BF3591"/>
    <w:rsid w:val="00C1202A"/>
    <w:rsid w:val="00C16AED"/>
    <w:rsid w:val="00C203A2"/>
    <w:rsid w:val="00C316A3"/>
    <w:rsid w:val="00C708DC"/>
    <w:rsid w:val="00C728DA"/>
    <w:rsid w:val="00C8744C"/>
    <w:rsid w:val="00CA0CAC"/>
    <w:rsid w:val="00CB1128"/>
    <w:rsid w:val="00CC1C4D"/>
    <w:rsid w:val="00CC667E"/>
    <w:rsid w:val="00CE1DD6"/>
    <w:rsid w:val="00CF53E7"/>
    <w:rsid w:val="00D05BF2"/>
    <w:rsid w:val="00D16495"/>
    <w:rsid w:val="00D21DF0"/>
    <w:rsid w:val="00D61FE1"/>
    <w:rsid w:val="00D6464F"/>
    <w:rsid w:val="00D73E45"/>
    <w:rsid w:val="00DA2E93"/>
    <w:rsid w:val="00DA7613"/>
    <w:rsid w:val="00DA7679"/>
    <w:rsid w:val="00DA7DCA"/>
    <w:rsid w:val="00DF522D"/>
    <w:rsid w:val="00DF5C7D"/>
    <w:rsid w:val="00E238A1"/>
    <w:rsid w:val="00E3545F"/>
    <w:rsid w:val="00E5035D"/>
    <w:rsid w:val="00E615E2"/>
    <w:rsid w:val="00E70085"/>
    <w:rsid w:val="00E7478C"/>
    <w:rsid w:val="00E92529"/>
    <w:rsid w:val="00EA52D6"/>
    <w:rsid w:val="00F47309"/>
    <w:rsid w:val="00F805AA"/>
    <w:rsid w:val="00F81109"/>
    <w:rsid w:val="00F82379"/>
    <w:rsid w:val="00FA44A5"/>
    <w:rsid w:val="00FB09CC"/>
    <w:rsid w:val="00FB11C8"/>
    <w:rsid w:val="00FB2A9F"/>
    <w:rsid w:val="00FB3B84"/>
    <w:rsid w:val="00FB5FA4"/>
    <w:rsid w:val="00FC3A26"/>
    <w:rsid w:val="00FD4918"/>
    <w:rsid w:val="00FF7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7F60"/>
  <w15:chartTrackingRefBased/>
  <w15:docId w15:val="{13C6B95B-39EB-4A3B-9A3A-8413FB99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978"/>
    <w:pPr>
      <w:keepNext/>
      <w:keepLines/>
      <w:spacing w:before="40" w:after="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B81580"/>
    <w:pPr>
      <w:keepNext/>
      <w:keepLines/>
      <w:spacing w:before="40" w:after="0"/>
      <w:outlineLvl w:val="2"/>
    </w:pPr>
    <w:rPr>
      <w:rFonts w:eastAsiaTheme="majorEastAsia"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4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7679"/>
    <w:rPr>
      <w:color w:val="0563C1" w:themeColor="hyperlink"/>
      <w:u w:val="single"/>
    </w:rPr>
  </w:style>
  <w:style w:type="character" w:styleId="UnresolvedMention">
    <w:name w:val="Unresolved Mention"/>
    <w:basedOn w:val="DefaultParagraphFont"/>
    <w:uiPriority w:val="99"/>
    <w:semiHidden/>
    <w:unhideWhenUsed/>
    <w:rsid w:val="00DA7679"/>
    <w:rPr>
      <w:color w:val="605E5C"/>
      <w:shd w:val="clear" w:color="auto" w:fill="E1DFDD"/>
    </w:rPr>
  </w:style>
  <w:style w:type="table" w:styleId="TableGrid">
    <w:name w:val="Table Grid"/>
    <w:basedOn w:val="TableNormal"/>
    <w:uiPriority w:val="39"/>
    <w:rsid w:val="00B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322"/>
    <w:pPr>
      <w:ind w:left="720"/>
      <w:contextualSpacing/>
    </w:pPr>
  </w:style>
  <w:style w:type="paragraph" w:styleId="FootnoteText">
    <w:name w:val="footnote text"/>
    <w:basedOn w:val="Normal"/>
    <w:link w:val="FootnoteTextChar"/>
    <w:uiPriority w:val="99"/>
    <w:semiHidden/>
    <w:unhideWhenUsed/>
    <w:rsid w:val="000D5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55D"/>
    <w:rPr>
      <w:sz w:val="20"/>
      <w:szCs w:val="20"/>
    </w:rPr>
  </w:style>
  <w:style w:type="character" w:styleId="FootnoteReference">
    <w:name w:val="footnote reference"/>
    <w:basedOn w:val="DefaultParagraphFont"/>
    <w:uiPriority w:val="99"/>
    <w:semiHidden/>
    <w:unhideWhenUsed/>
    <w:rsid w:val="000D555D"/>
    <w:rPr>
      <w:vertAlign w:val="superscript"/>
    </w:rPr>
  </w:style>
  <w:style w:type="character" w:customStyle="1" w:styleId="Heading2Char">
    <w:name w:val="Heading 2 Char"/>
    <w:basedOn w:val="DefaultParagraphFont"/>
    <w:link w:val="Heading2"/>
    <w:uiPriority w:val="9"/>
    <w:rsid w:val="00707978"/>
    <w:rPr>
      <w:rFonts w:eastAsiaTheme="majorEastAsia" w:cstheme="majorBidi"/>
      <w:b/>
      <w:color w:val="2F5496" w:themeColor="accent1" w:themeShade="BF"/>
      <w:sz w:val="24"/>
      <w:szCs w:val="26"/>
    </w:rPr>
  </w:style>
  <w:style w:type="paragraph" w:customStyle="1" w:styleId="1hzxw">
    <w:name w:val="_1hzxw"/>
    <w:basedOn w:val="Normal"/>
    <w:rsid w:val="004E12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aliases w:val="Body Text1,new legislation style,new legislation style1,new legislation style Ch,headBody Text,boxy Text1"/>
    <w:link w:val="BodyTextChar"/>
    <w:semiHidden/>
    <w:unhideWhenUsed/>
    <w:qFormat/>
    <w:rsid w:val="008247A4"/>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headBody Text Char,boxy Text1 Char"/>
    <w:basedOn w:val="DefaultParagraphFont"/>
    <w:link w:val="BodyText"/>
    <w:semiHidden/>
    <w:rsid w:val="008247A4"/>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8247A4"/>
    <w:rPr>
      <w:sz w:val="24"/>
    </w:rPr>
  </w:style>
  <w:style w:type="paragraph" w:styleId="ListBullet">
    <w:name w:val="List Bullet"/>
    <w:basedOn w:val="BodyText"/>
    <w:link w:val="ListBulletChar"/>
    <w:unhideWhenUsed/>
    <w:rsid w:val="008247A4"/>
    <w:pPr>
      <w:numPr>
        <w:numId w:val="1"/>
      </w:numPr>
      <w:spacing w:before="120"/>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7C4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B7"/>
  </w:style>
  <w:style w:type="paragraph" w:styleId="Footer">
    <w:name w:val="footer"/>
    <w:basedOn w:val="Normal"/>
    <w:link w:val="FooterChar"/>
    <w:uiPriority w:val="99"/>
    <w:unhideWhenUsed/>
    <w:rsid w:val="007C4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B7"/>
  </w:style>
  <w:style w:type="character" w:customStyle="1" w:styleId="Heading3Char">
    <w:name w:val="Heading 3 Char"/>
    <w:basedOn w:val="DefaultParagraphFont"/>
    <w:link w:val="Heading3"/>
    <w:uiPriority w:val="9"/>
    <w:rsid w:val="00B81580"/>
    <w:rPr>
      <w:rFonts w:eastAsiaTheme="majorEastAsia" w:cstheme="majorBidi"/>
      <w:i/>
      <w:color w:val="1F3763" w:themeColor="accent1" w:themeShade="7F"/>
      <w:sz w:val="24"/>
      <w:szCs w:val="24"/>
    </w:rPr>
  </w:style>
  <w:style w:type="paragraph" w:styleId="TOCHeading">
    <w:name w:val="TOC Heading"/>
    <w:basedOn w:val="Heading1"/>
    <w:next w:val="Normal"/>
    <w:uiPriority w:val="39"/>
    <w:unhideWhenUsed/>
    <w:qFormat/>
    <w:rsid w:val="00B15108"/>
    <w:pPr>
      <w:outlineLvl w:val="9"/>
    </w:pPr>
    <w:rPr>
      <w:lang w:val="en-US"/>
    </w:rPr>
  </w:style>
  <w:style w:type="paragraph" w:styleId="TOC1">
    <w:name w:val="toc 1"/>
    <w:basedOn w:val="Normal"/>
    <w:next w:val="Normal"/>
    <w:autoRedefine/>
    <w:uiPriority w:val="39"/>
    <w:unhideWhenUsed/>
    <w:rsid w:val="00B15108"/>
    <w:pPr>
      <w:spacing w:after="100"/>
    </w:pPr>
  </w:style>
  <w:style w:type="paragraph" w:styleId="TOC2">
    <w:name w:val="toc 2"/>
    <w:basedOn w:val="Normal"/>
    <w:next w:val="Normal"/>
    <w:autoRedefine/>
    <w:uiPriority w:val="39"/>
    <w:unhideWhenUsed/>
    <w:rsid w:val="00B15108"/>
    <w:pPr>
      <w:spacing w:after="100"/>
      <w:ind w:left="220"/>
    </w:pPr>
  </w:style>
  <w:style w:type="paragraph" w:styleId="TOC3">
    <w:name w:val="toc 3"/>
    <w:basedOn w:val="Normal"/>
    <w:next w:val="Normal"/>
    <w:autoRedefine/>
    <w:uiPriority w:val="39"/>
    <w:unhideWhenUsed/>
    <w:rsid w:val="00B15108"/>
    <w:pPr>
      <w:spacing w:after="100"/>
      <w:ind w:left="440"/>
    </w:pPr>
  </w:style>
  <w:style w:type="paragraph" w:styleId="NormalWeb">
    <w:name w:val="Normal (Web)"/>
    <w:basedOn w:val="Normal"/>
    <w:uiPriority w:val="99"/>
    <w:unhideWhenUsed/>
    <w:rsid w:val="006336D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4156">
      <w:bodyDiv w:val="1"/>
      <w:marLeft w:val="0"/>
      <w:marRight w:val="0"/>
      <w:marTop w:val="0"/>
      <w:marBottom w:val="0"/>
      <w:divBdr>
        <w:top w:val="none" w:sz="0" w:space="0" w:color="auto"/>
        <w:left w:val="none" w:sz="0" w:space="0" w:color="auto"/>
        <w:bottom w:val="none" w:sz="0" w:space="0" w:color="auto"/>
        <w:right w:val="none" w:sz="0" w:space="0" w:color="auto"/>
      </w:divBdr>
    </w:div>
    <w:div w:id="352419066">
      <w:bodyDiv w:val="1"/>
      <w:marLeft w:val="0"/>
      <w:marRight w:val="0"/>
      <w:marTop w:val="0"/>
      <w:marBottom w:val="0"/>
      <w:divBdr>
        <w:top w:val="none" w:sz="0" w:space="0" w:color="auto"/>
        <w:left w:val="none" w:sz="0" w:space="0" w:color="auto"/>
        <w:bottom w:val="none" w:sz="0" w:space="0" w:color="auto"/>
        <w:right w:val="none" w:sz="0" w:space="0" w:color="auto"/>
      </w:divBdr>
    </w:div>
    <w:div w:id="472479382">
      <w:bodyDiv w:val="1"/>
      <w:marLeft w:val="0"/>
      <w:marRight w:val="0"/>
      <w:marTop w:val="0"/>
      <w:marBottom w:val="0"/>
      <w:divBdr>
        <w:top w:val="none" w:sz="0" w:space="0" w:color="auto"/>
        <w:left w:val="none" w:sz="0" w:space="0" w:color="auto"/>
        <w:bottom w:val="none" w:sz="0" w:space="0" w:color="auto"/>
        <w:right w:val="none" w:sz="0" w:space="0" w:color="auto"/>
      </w:divBdr>
    </w:div>
    <w:div w:id="544147302">
      <w:bodyDiv w:val="1"/>
      <w:marLeft w:val="0"/>
      <w:marRight w:val="0"/>
      <w:marTop w:val="0"/>
      <w:marBottom w:val="0"/>
      <w:divBdr>
        <w:top w:val="none" w:sz="0" w:space="0" w:color="auto"/>
        <w:left w:val="none" w:sz="0" w:space="0" w:color="auto"/>
        <w:bottom w:val="none" w:sz="0" w:space="0" w:color="auto"/>
        <w:right w:val="none" w:sz="0" w:space="0" w:color="auto"/>
      </w:divBdr>
    </w:div>
    <w:div w:id="595672375">
      <w:bodyDiv w:val="1"/>
      <w:marLeft w:val="0"/>
      <w:marRight w:val="0"/>
      <w:marTop w:val="0"/>
      <w:marBottom w:val="0"/>
      <w:divBdr>
        <w:top w:val="none" w:sz="0" w:space="0" w:color="auto"/>
        <w:left w:val="none" w:sz="0" w:space="0" w:color="auto"/>
        <w:bottom w:val="none" w:sz="0" w:space="0" w:color="auto"/>
        <w:right w:val="none" w:sz="0" w:space="0" w:color="auto"/>
      </w:divBdr>
    </w:div>
    <w:div w:id="1289311484">
      <w:bodyDiv w:val="1"/>
      <w:marLeft w:val="0"/>
      <w:marRight w:val="0"/>
      <w:marTop w:val="0"/>
      <w:marBottom w:val="0"/>
      <w:divBdr>
        <w:top w:val="none" w:sz="0" w:space="0" w:color="auto"/>
        <w:left w:val="none" w:sz="0" w:space="0" w:color="auto"/>
        <w:bottom w:val="none" w:sz="0" w:space="0" w:color="auto"/>
        <w:right w:val="none" w:sz="0" w:space="0" w:color="auto"/>
      </w:divBdr>
    </w:div>
    <w:div w:id="1844930416">
      <w:bodyDiv w:val="1"/>
      <w:marLeft w:val="0"/>
      <w:marRight w:val="0"/>
      <w:marTop w:val="0"/>
      <w:marBottom w:val="0"/>
      <w:divBdr>
        <w:top w:val="none" w:sz="0" w:space="0" w:color="auto"/>
        <w:left w:val="none" w:sz="0" w:space="0" w:color="auto"/>
        <w:bottom w:val="none" w:sz="0" w:space="0" w:color="auto"/>
        <w:right w:val="none" w:sz="0" w:space="0" w:color="auto"/>
      </w:divBdr>
      <w:divsChild>
        <w:div w:id="317467251">
          <w:marLeft w:val="0"/>
          <w:marRight w:val="0"/>
          <w:marTop w:val="0"/>
          <w:marBottom w:val="180"/>
          <w:divBdr>
            <w:top w:val="none" w:sz="0" w:space="0" w:color="auto"/>
            <w:left w:val="none" w:sz="0" w:space="0" w:color="auto"/>
            <w:bottom w:val="none" w:sz="0" w:space="0" w:color="auto"/>
            <w:right w:val="none" w:sz="0" w:space="0" w:color="auto"/>
          </w:divBdr>
        </w:div>
        <w:div w:id="101531315">
          <w:marLeft w:val="0"/>
          <w:marRight w:val="0"/>
          <w:marTop w:val="0"/>
          <w:marBottom w:val="180"/>
          <w:divBdr>
            <w:top w:val="none" w:sz="0" w:space="0" w:color="auto"/>
            <w:left w:val="none" w:sz="0" w:space="0" w:color="auto"/>
            <w:bottom w:val="none" w:sz="0" w:space="0" w:color="auto"/>
            <w:right w:val="none" w:sz="0" w:space="0" w:color="auto"/>
          </w:divBdr>
        </w:div>
      </w:divsChild>
    </w:div>
    <w:div w:id="20080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gov.au/data/dataset/taxation-statistics-2018-19/resource/4b2139a1-395b-47e4-83bb-f1de7fb0ed8b?inner_span=Tru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ata.gov.au/data/dataset/taxation-statistics-2018-19/resource/4b2139a1-395b-47e4-83bb-f1de7fb0ed8b?inner_span=Tru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ata.gov.au/data/dataset/taxation-statistics-2018-19/resource/4b2139a1-395b-47e4-83bb-f1de7fb0ed8b?inner_span=True" TargetMode="External"/><Relationship Id="rId13" Type="http://schemas.openxmlformats.org/officeDocument/2006/relationships/hyperlink" Target="https://www.pc.gov.au/research/ongoing/trade-assistance/2019-20" TargetMode="External"/><Relationship Id="rId18" Type="http://schemas.openxmlformats.org/officeDocument/2006/relationships/hyperlink" Target="https://www.imf.org/en/Publications/CR/Issues/2019/02/13/Australia-2018-Article-IV-Consultation-Press-Release-Staff-Report-and-Statement-by-the-46612" TargetMode="External"/><Relationship Id="rId26" Type="http://schemas.openxmlformats.org/officeDocument/2006/relationships/hyperlink" Target="https://www.abc.net.au/news/2022-03-27/josh-frydenberg-hints-at-fuel-excise-cut-in-federal-budget/100942580" TargetMode="External"/><Relationship Id="rId3" Type="http://schemas.openxmlformats.org/officeDocument/2006/relationships/hyperlink" Target="https://australiainstitute.org.au/post/australian-fossil-fuel-subsidies-surge-to-11-6-billion-in-2021-22/" TargetMode="External"/><Relationship Id="rId21" Type="http://schemas.openxmlformats.org/officeDocument/2006/relationships/hyperlink" Target="https://treasury.gov.au/sites/default/files/2019-10/afts_final_report_part_2_vol_2_consolidated.pdf%20at%20p.375" TargetMode="External"/><Relationship Id="rId7" Type="http://schemas.openxmlformats.org/officeDocument/2006/relationships/hyperlink" Target="https://budget.qld.gov.au/files/BP2_4._Revenue.pdf" TargetMode="External"/><Relationship Id="rId12" Type="http://schemas.openxmlformats.org/officeDocument/2006/relationships/hyperlink" Target="http://ncp.ncc.gov.au/docs/Competition%20Principles%20Agreement,%2011%20April%201995%20as%20amended%202007.pdf" TargetMode="External"/><Relationship Id="rId17" Type="http://schemas.openxmlformats.org/officeDocument/2006/relationships/hyperlink" Target="https://www.uow.edu.au/media/2020/transport-is-letting-australia-down-in-the-race-to-cut-emissions.php" TargetMode="External"/><Relationship Id="rId25" Type="http://schemas.openxmlformats.org/officeDocument/2006/relationships/hyperlink" Target="https://www.thejadebeagle.com/roads-deficit-2019-20.html" TargetMode="External"/><Relationship Id="rId2" Type="http://schemas.openxmlformats.org/officeDocument/2006/relationships/hyperlink" Target="https://australiainstitute.org.au/wp-content/uploads/2022/03/P1198-Fossil-fuel-subsidies-2022-WEB.pdf" TargetMode="External"/><Relationship Id="rId16" Type="http://schemas.openxmlformats.org/officeDocument/2006/relationships/hyperlink" Target="https://climateanalytics.org/publications/2019/australia-climate-factsheets-vehicle-emissions/" TargetMode="External"/><Relationship Id="rId20" Type="http://schemas.openxmlformats.org/officeDocument/2006/relationships/hyperlink" Target="https://www.aph.gov.au/About_Parliament/Parliamentary_Departments/Parliamentary_Library/pubs/rp/rp0001/01RP06" TargetMode="External"/><Relationship Id="rId29" Type="http://schemas.openxmlformats.org/officeDocument/2006/relationships/hyperlink" Target="https://publications.industry.gov.au/publications/resourcesandenergyquarterlymarch2022/index.html" TargetMode="External"/><Relationship Id="rId1" Type="http://schemas.openxmlformats.org/officeDocument/2006/relationships/hyperlink" Target="https://www.thejadebeagle.com/facts-and-minds.html" TargetMode="External"/><Relationship Id="rId6" Type="http://schemas.openxmlformats.org/officeDocument/2006/relationships/hyperlink" Target="https://www.budget.nsw.gov.au/sites/default/files/2021-06/4.%20Review-BP1%20Budget%202021-22.pdf" TargetMode="External"/><Relationship Id="rId11" Type="http://schemas.openxmlformats.org/officeDocument/2006/relationships/hyperlink" Target="https://www.artc.com.au/uploads/ART10515_Annual_report_2020_21_cover_and_spreads_V10_WEB-1.pdf" TargetMode="External"/><Relationship Id="rId24" Type="http://schemas.openxmlformats.org/officeDocument/2006/relationships/hyperlink" Target="https://www.thejadebeagle.com/road-reform.html" TargetMode="External"/><Relationship Id="rId5" Type="http://schemas.openxmlformats.org/officeDocument/2006/relationships/hyperlink" Target="http://fueltaxfacts.com.au/myths-facts" TargetMode="External"/><Relationship Id="rId15" Type="http://schemas.openxmlformats.org/officeDocument/2006/relationships/hyperlink" Target="https://www.pwc.com.au/government/Australias-road-to-zero-transport-emissions_1.pdf" TargetMode="External"/><Relationship Id="rId23" Type="http://schemas.openxmlformats.org/officeDocument/2006/relationships/hyperlink" Target="https://www.thejadebeagle.com/roads.html" TargetMode="External"/><Relationship Id="rId28" Type="http://schemas.openxmlformats.org/officeDocument/2006/relationships/hyperlink" Target="https://www.spglobal.com/commodity-insights/en/market-insights/latest-news/coal/031022-australias-record-high-thermal-coal-prices-here-to-stay-amid-sweeping-european-demand" TargetMode="External"/><Relationship Id="rId10" Type="http://schemas.openxmlformats.org/officeDocument/2006/relationships/hyperlink" Target="https://www.thejadebeagle.com/facts-and-minds.htm;" TargetMode="External"/><Relationship Id="rId19" Type="http://schemas.openxmlformats.org/officeDocument/2006/relationships/hyperlink" Target="https://www.msn.com/en-au/motoring/news/your-tax-break-on-wheels/ar-AAVRxQg?ocid=mailsignout&amp;li=AAgfYrC" TargetMode="External"/><Relationship Id="rId4" Type="http://schemas.openxmlformats.org/officeDocument/2006/relationships/hyperlink" Target="https://www.abc.net.au/news/2020-07-29/fact-check-matt-canavan-fossil-fuel-industry-subsidies/12496310" TargetMode="External"/><Relationship Id="rId9" Type="http://schemas.openxmlformats.org/officeDocument/2006/relationships/hyperlink" Target="https://www.bitre.gov.au/publications/2021/australian-infrastructure-and-transport-statistics-yearbook-2021" TargetMode="External"/><Relationship Id="rId14" Type="http://schemas.openxmlformats.org/officeDocument/2006/relationships/hyperlink" Target="https://www.industry.gov.au/data-and-publications/national-greenhouse-gas-inventory-quarterly-update-september-2021" TargetMode="External"/><Relationship Id="rId22" Type="http://schemas.openxmlformats.org/officeDocument/2006/relationships/hyperlink" Target="https://www.aph.gov.au/Parliamentary_Business/Committees/Senate/Former_Committees/fuelenergy/second_interim/c03" TargetMode="External"/><Relationship Id="rId27" Type="http://schemas.openxmlformats.org/officeDocument/2006/relationships/hyperlink" Target="https://www.nytimes.com/2022/04/05/business/germany-russia-oil-gas-coal.html" TargetMode="External"/><Relationship Id="rId30" Type="http://schemas.openxmlformats.org/officeDocument/2006/relationships/hyperlink" Target="http://fueltaxfacts.com.au/who-claims-credi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wnloads\ts19excise04ftcbyindustryye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Downloads\ts19excise04ftcbyindustryye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AU"/>
              <a:t>Fuel Tax Credit 2019-20 $m</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9.7122703412073491E-2"/>
          <c:y val="0.25953703703703701"/>
          <c:w val="0.87232174103237092"/>
          <c:h val="0.51327136191309419"/>
        </c:manualLayout>
      </c:layout>
      <c:barChart>
        <c:barDir val="col"/>
        <c:grouping val="stacked"/>
        <c:varyColors val="0"/>
        <c:ser>
          <c:idx val="0"/>
          <c:order val="0"/>
          <c:tx>
            <c:strRef>
              <c:f>Sheet1!$O$44</c:f>
              <c:strCache>
                <c:ptCount val="1"/>
                <c:pt idx="0">
                  <c:v>Fossil fuel production and sale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Sheet1!$P$44</c:f>
              <c:numCache>
                <c:formatCode>_("$"* #,##0.00_);_("$"* \(#,##0.00\);_("$"* "-"??_);_(@_)</c:formatCode>
                <c:ptCount val="1"/>
                <c:pt idx="0">
                  <c:v>1172</c:v>
                </c:pt>
              </c:numCache>
            </c:numRef>
          </c:val>
          <c:extLst>
            <c:ext xmlns:c16="http://schemas.microsoft.com/office/drawing/2014/chart" uri="{C3380CC4-5D6E-409C-BE32-E72D297353CC}">
              <c16:uniqueId val="{00000000-FD40-445C-A2FB-5E50F5C21EDF}"/>
            </c:ext>
          </c:extLst>
        </c:ser>
        <c:ser>
          <c:idx val="1"/>
          <c:order val="1"/>
          <c:tx>
            <c:strRef>
              <c:f>Sheet1!$O$45</c:f>
              <c:strCache>
                <c:ptCount val="1"/>
                <c:pt idx="0">
                  <c:v>Not fossil fuel production and sale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Sheet1!$P$45</c:f>
              <c:numCache>
                <c:formatCode>_("$"* #,##0.00_);_("$"* \(#,##0.00\);_("$"* "-"??_);_(@_)</c:formatCode>
                <c:ptCount val="1"/>
                <c:pt idx="0">
                  <c:v>6210.5</c:v>
                </c:pt>
              </c:numCache>
            </c:numRef>
          </c:val>
          <c:extLst>
            <c:ext xmlns:c16="http://schemas.microsoft.com/office/drawing/2014/chart" uri="{C3380CC4-5D6E-409C-BE32-E72D297353CC}">
              <c16:uniqueId val="{00000001-FD40-445C-A2FB-5E50F5C21EDF}"/>
            </c:ext>
          </c:extLst>
        </c:ser>
        <c:dLbls>
          <c:showLegendKey val="0"/>
          <c:showVal val="0"/>
          <c:showCatName val="0"/>
          <c:showSerName val="0"/>
          <c:showPercent val="0"/>
          <c:showBubbleSize val="0"/>
        </c:dLbls>
        <c:gapWidth val="150"/>
        <c:overlap val="100"/>
        <c:axId val="460507264"/>
        <c:axId val="460507592"/>
      </c:barChart>
      <c:catAx>
        <c:axId val="4605072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0507592"/>
        <c:crosses val="autoZero"/>
        <c:auto val="1"/>
        <c:lblAlgn val="ctr"/>
        <c:lblOffset val="100"/>
        <c:noMultiLvlLbl val="0"/>
      </c:catAx>
      <c:valAx>
        <c:axId val="460507592"/>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050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normalizeH="0" baseline="0">
                <a:solidFill>
                  <a:schemeClr val="dk1">
                    <a:lumMod val="50000"/>
                    <a:lumOff val="50000"/>
                  </a:schemeClr>
                </a:solidFill>
                <a:latin typeface="+mj-lt"/>
                <a:ea typeface="+mj-ea"/>
                <a:cs typeface="+mj-cs"/>
              </a:defRPr>
            </a:pPr>
            <a:r>
              <a:rPr lang="en-US" b="1">
                <a:latin typeface="+mn-lt"/>
              </a:rPr>
              <a:t>Share of Fuel Excise Credits 2019-20</a:t>
            </a:r>
          </a:p>
        </c:rich>
      </c:tx>
      <c:layout>
        <c:manualLayout>
          <c:xMode val="edge"/>
          <c:yMode val="edge"/>
          <c:x val="0.15084405520195282"/>
          <c:y val="2.6269702276707531E-2"/>
        </c:manualLayout>
      </c:layout>
      <c:overlay val="0"/>
      <c:spPr>
        <a:noFill/>
        <a:ln>
          <a:noFill/>
        </a:ln>
        <a:effectLst/>
      </c:spPr>
      <c:txPr>
        <a:bodyPr rot="0" spcFirstLastPara="1" vertOverflow="ellipsis" vert="horz" wrap="square" anchor="ctr" anchorCtr="1"/>
        <a:lstStyle/>
        <a:p>
          <a:pPr>
            <a:defRPr sz="1600" b="0"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doughnutChart>
        <c:varyColors val="1"/>
        <c:ser>
          <c:idx val="0"/>
          <c:order val="0"/>
          <c:dPt>
            <c:idx val="0"/>
            <c:bubble3D val="0"/>
            <c:spPr>
              <a:gradFill>
                <a:gsLst>
                  <a:gs pos="100000">
                    <a:schemeClr val="accent1">
                      <a:shade val="47000"/>
                      <a:lumMod val="60000"/>
                      <a:lumOff val="40000"/>
                    </a:schemeClr>
                  </a:gs>
                  <a:gs pos="0">
                    <a:schemeClr val="accent1">
                      <a:shade val="47000"/>
                    </a:schemeClr>
                  </a:gs>
                </a:gsLst>
                <a:lin ang="5400000" scaled="0"/>
              </a:gradFill>
              <a:ln w="19050">
                <a:solidFill>
                  <a:schemeClr val="lt1"/>
                </a:solidFill>
              </a:ln>
              <a:effectLst/>
            </c:spPr>
            <c:extLst>
              <c:ext xmlns:c16="http://schemas.microsoft.com/office/drawing/2014/chart" uri="{C3380CC4-5D6E-409C-BE32-E72D297353CC}">
                <c16:uniqueId val="{00000001-D481-4372-B4A3-B7891BDD2533}"/>
              </c:ext>
            </c:extLst>
          </c:dPt>
          <c:dPt>
            <c:idx val="1"/>
            <c:bubble3D val="0"/>
            <c:spPr>
              <a:gradFill>
                <a:gsLst>
                  <a:gs pos="100000">
                    <a:schemeClr val="accent1">
                      <a:shade val="65000"/>
                      <a:lumMod val="60000"/>
                      <a:lumOff val="40000"/>
                    </a:schemeClr>
                  </a:gs>
                  <a:gs pos="0">
                    <a:schemeClr val="accent1">
                      <a:shade val="65000"/>
                    </a:schemeClr>
                  </a:gs>
                </a:gsLst>
                <a:lin ang="5400000" scaled="0"/>
              </a:gradFill>
              <a:ln w="19050">
                <a:solidFill>
                  <a:schemeClr val="lt1"/>
                </a:solidFill>
              </a:ln>
              <a:effectLst/>
            </c:spPr>
            <c:extLst>
              <c:ext xmlns:c16="http://schemas.microsoft.com/office/drawing/2014/chart" uri="{C3380CC4-5D6E-409C-BE32-E72D297353CC}">
                <c16:uniqueId val="{00000003-D481-4372-B4A3-B7891BDD2533}"/>
              </c:ext>
            </c:extLst>
          </c:dPt>
          <c:dPt>
            <c:idx val="2"/>
            <c:bubble3D val="0"/>
            <c:spPr>
              <a:gradFill>
                <a:gsLst>
                  <a:gs pos="100000">
                    <a:schemeClr val="accent1">
                      <a:shade val="82000"/>
                      <a:lumMod val="60000"/>
                      <a:lumOff val="40000"/>
                    </a:schemeClr>
                  </a:gs>
                  <a:gs pos="0">
                    <a:schemeClr val="accent1">
                      <a:shade val="82000"/>
                    </a:schemeClr>
                  </a:gs>
                </a:gsLst>
                <a:lin ang="5400000" scaled="0"/>
              </a:gradFill>
              <a:ln w="19050">
                <a:solidFill>
                  <a:schemeClr val="lt1"/>
                </a:solidFill>
              </a:ln>
              <a:effectLst/>
            </c:spPr>
            <c:extLst>
              <c:ext xmlns:c16="http://schemas.microsoft.com/office/drawing/2014/chart" uri="{C3380CC4-5D6E-409C-BE32-E72D297353CC}">
                <c16:uniqueId val="{00000005-D481-4372-B4A3-B7891BDD2533}"/>
              </c:ext>
            </c:extLst>
          </c:dPt>
          <c:dPt>
            <c:idx val="3"/>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7-D481-4372-B4A3-B7891BDD2533}"/>
              </c:ext>
            </c:extLst>
          </c:dPt>
          <c:dPt>
            <c:idx val="4"/>
            <c:bubble3D val="0"/>
            <c:spPr>
              <a:gradFill>
                <a:gsLst>
                  <a:gs pos="100000">
                    <a:schemeClr val="accent1">
                      <a:tint val="83000"/>
                      <a:lumMod val="60000"/>
                      <a:lumOff val="40000"/>
                    </a:schemeClr>
                  </a:gs>
                  <a:gs pos="0">
                    <a:schemeClr val="accent1">
                      <a:tint val="83000"/>
                    </a:schemeClr>
                  </a:gs>
                </a:gsLst>
                <a:lin ang="5400000" scaled="0"/>
              </a:gradFill>
              <a:ln w="19050">
                <a:solidFill>
                  <a:schemeClr val="lt1"/>
                </a:solidFill>
              </a:ln>
              <a:effectLst/>
            </c:spPr>
            <c:extLst>
              <c:ext xmlns:c16="http://schemas.microsoft.com/office/drawing/2014/chart" uri="{C3380CC4-5D6E-409C-BE32-E72D297353CC}">
                <c16:uniqueId val="{00000009-D481-4372-B4A3-B7891BDD2533}"/>
              </c:ext>
            </c:extLst>
          </c:dPt>
          <c:dPt>
            <c:idx val="5"/>
            <c:bubble3D val="0"/>
            <c:spPr>
              <a:gradFill>
                <a:gsLst>
                  <a:gs pos="100000">
                    <a:schemeClr val="accent1">
                      <a:tint val="65000"/>
                      <a:lumMod val="60000"/>
                      <a:lumOff val="40000"/>
                    </a:schemeClr>
                  </a:gs>
                  <a:gs pos="0">
                    <a:schemeClr val="accent1">
                      <a:tint val="65000"/>
                    </a:schemeClr>
                  </a:gs>
                </a:gsLst>
                <a:lin ang="5400000" scaled="0"/>
              </a:gradFill>
              <a:ln w="19050">
                <a:solidFill>
                  <a:schemeClr val="lt1"/>
                </a:solidFill>
              </a:ln>
              <a:effectLst/>
            </c:spPr>
            <c:extLst>
              <c:ext xmlns:c16="http://schemas.microsoft.com/office/drawing/2014/chart" uri="{C3380CC4-5D6E-409C-BE32-E72D297353CC}">
                <c16:uniqueId val="{0000000B-D481-4372-B4A3-B7891BDD2533}"/>
              </c:ext>
            </c:extLst>
          </c:dPt>
          <c:dPt>
            <c:idx val="6"/>
            <c:bubble3D val="0"/>
            <c:spPr>
              <a:gradFill>
                <a:gsLst>
                  <a:gs pos="100000">
                    <a:schemeClr val="accent1">
                      <a:tint val="48000"/>
                      <a:lumMod val="60000"/>
                      <a:lumOff val="40000"/>
                    </a:schemeClr>
                  </a:gs>
                  <a:gs pos="0">
                    <a:schemeClr val="accent1">
                      <a:tint val="48000"/>
                    </a:schemeClr>
                  </a:gs>
                </a:gsLst>
                <a:lin ang="5400000" scaled="0"/>
              </a:gradFill>
              <a:ln w="19050">
                <a:solidFill>
                  <a:schemeClr val="lt1"/>
                </a:solidFill>
              </a:ln>
              <a:effectLst/>
            </c:spPr>
            <c:extLst>
              <c:ext xmlns:c16="http://schemas.microsoft.com/office/drawing/2014/chart" uri="{C3380CC4-5D6E-409C-BE32-E72D297353CC}">
                <c16:uniqueId val="{0000000D-D481-4372-B4A3-B7891BDD2533}"/>
              </c:ext>
            </c:extLst>
          </c:dPt>
          <c:dLbls>
            <c:dLbl>
              <c:idx val="3"/>
              <c:layout>
                <c:manualLayout>
                  <c:x val="0"/>
                  <c:y val="-1.751313485113851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8.4469001003715419E-2"/>
                      <c:h val="0.11370402802101576"/>
                    </c:manualLayout>
                  </c15:layout>
                </c:ext>
                <c:ext xmlns:c16="http://schemas.microsoft.com/office/drawing/2014/chart" uri="{C3380CC4-5D6E-409C-BE32-E72D297353CC}">
                  <c16:uniqueId val="{00000007-D481-4372-B4A3-B7891BDD2533}"/>
                </c:ext>
              </c:extLst>
            </c:dLbl>
            <c:dLbl>
              <c:idx val="4"/>
              <c:layout>
                <c:manualLayout>
                  <c:x val="2.2817158503194459E-2"/>
                  <c:y val="6.59567756526055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dk1">
                            <a:lumMod val="75000"/>
                            <a:lumOff val="25000"/>
                          </a:schemeClr>
                        </a:solidFill>
                        <a:latin typeface="+mn-lt"/>
                        <a:ea typeface="+mn-ea"/>
                        <a:cs typeface="+mn-cs"/>
                      </a:defRPr>
                    </a:pPr>
                    <a:fld id="{8F52E452-2D5D-46F2-8F04-D0F5EE687FF0}" type="CATEGORYNAME">
                      <a:rPr lang="en-US" sz="800"/>
                      <a:pPr>
                        <a:defRPr b="1"/>
                      </a:pPr>
                      <a:t>[CATEGORY NAME]</a:t>
                    </a:fld>
                    <a:r>
                      <a:rPr lang="en-US" sz="800" baseline="0"/>
                      <a:t>
</a:t>
                    </a:r>
                    <a:fld id="{CE90F2AE-0039-475D-BCC2-FD4EB0B9FA53}" type="PERCENTAGE">
                      <a:rPr lang="en-US" sz="800" baseline="0"/>
                      <a:pPr>
                        <a:defRPr b="1"/>
                      </a:pPr>
                      <a:t>[PERCENTAGE]</a:t>
                    </a:fld>
                    <a:endParaRPr lang="en-US" sz="8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1248871119585864"/>
                      <c:h val="0.12677337727705226"/>
                    </c:manualLayout>
                  </c15:layout>
                  <c15:dlblFieldTable/>
                  <c15:showDataLabelsRange val="0"/>
                </c:ext>
                <c:ext xmlns:c16="http://schemas.microsoft.com/office/drawing/2014/chart" uri="{C3380CC4-5D6E-409C-BE32-E72D297353CC}">
                  <c16:uniqueId val="{00000009-D481-4372-B4A3-B7891BDD2533}"/>
                </c:ext>
              </c:extLst>
            </c:dLbl>
            <c:dLbl>
              <c:idx val="5"/>
              <c:layout>
                <c:manualLayout>
                  <c:x val="-5.5378022225470013E-3"/>
                  <c:y val="-6.414082215204718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8705494563407743"/>
                      <c:h val="0.11370402802101576"/>
                    </c:manualLayout>
                  </c15:layout>
                </c:ext>
                <c:ext xmlns:c16="http://schemas.microsoft.com/office/drawing/2014/chart" uri="{C3380CC4-5D6E-409C-BE32-E72D297353CC}">
                  <c16:uniqueId val="{0000000B-D481-4372-B4A3-B7891BDD25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Sheet1!$B$14:$B$20</c:f>
              <c:strCache>
                <c:ptCount val="7"/>
                <c:pt idx="0">
                  <c:v>Agriculture</c:v>
                </c:pt>
                <c:pt idx="1">
                  <c:v>Transport</c:v>
                </c:pt>
                <c:pt idx="2">
                  <c:v>Construction</c:v>
                </c:pt>
                <c:pt idx="3">
                  <c:v>Other</c:v>
                </c:pt>
                <c:pt idx="4">
                  <c:v>Wholesale &amp; retail trade</c:v>
                </c:pt>
                <c:pt idx="5">
                  <c:v>Manufacturing</c:v>
                </c:pt>
                <c:pt idx="6">
                  <c:v>Mining</c:v>
                </c:pt>
              </c:strCache>
            </c:strRef>
          </c:cat>
          <c:val>
            <c:numRef>
              <c:f>Sheet1!$C$14:$C$20</c:f>
              <c:numCache>
                <c:formatCode>0.0%</c:formatCode>
                <c:ptCount val="7"/>
                <c:pt idx="0">
                  <c:v>0.114</c:v>
                </c:pt>
                <c:pt idx="1">
                  <c:v>0.192</c:v>
                </c:pt>
                <c:pt idx="2">
                  <c:v>6.6000000000000003E-2</c:v>
                </c:pt>
                <c:pt idx="3">
                  <c:v>0.1</c:v>
                </c:pt>
                <c:pt idx="4">
                  <c:v>0.04</c:v>
                </c:pt>
                <c:pt idx="5">
                  <c:v>4.1000000000000002E-2</c:v>
                </c:pt>
                <c:pt idx="6">
                  <c:v>0.44700000000000001</c:v>
                </c:pt>
              </c:numCache>
            </c:numRef>
          </c:val>
          <c:extLst>
            <c:ext xmlns:c16="http://schemas.microsoft.com/office/drawing/2014/chart" uri="{C3380CC4-5D6E-409C-BE32-E72D297353CC}">
              <c16:uniqueId val="{0000000E-D481-4372-B4A3-B7891BDD2533}"/>
            </c:ext>
          </c:extLst>
        </c:ser>
        <c:dLbls>
          <c:showLegendKey val="0"/>
          <c:showVal val="0"/>
          <c:showCatName val="1"/>
          <c:showSerName val="0"/>
          <c:showPercent val="1"/>
          <c:showBubbleSize val="0"/>
          <c:showLeaderLines val="1"/>
        </c:dLbls>
        <c:firstSliceAng val="0"/>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A864-0421-46AE-A08D-1C1FD0E7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5</cp:revision>
  <dcterms:created xsi:type="dcterms:W3CDTF">2022-04-09T07:55:00Z</dcterms:created>
  <dcterms:modified xsi:type="dcterms:W3CDTF">2022-04-09T08:11:00Z</dcterms:modified>
</cp:coreProperties>
</file>