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42AD" w14:textId="3DB8B008" w:rsidR="00A3771C" w:rsidRPr="00A3771C" w:rsidRDefault="00A3771C" w:rsidP="000B0318">
      <w:pPr>
        <w:pStyle w:val="Heading1"/>
        <w:spacing w:before="0" w:line="240" w:lineRule="auto"/>
        <w:rPr>
          <w:b/>
          <w:bCs/>
        </w:rPr>
      </w:pPr>
      <w:bookmarkStart w:id="0" w:name="_Toc48224229"/>
      <w:r w:rsidRPr="00A3771C">
        <w:rPr>
          <w:b/>
          <w:bCs/>
        </w:rPr>
        <w:t>Covid update</w:t>
      </w:r>
      <w:bookmarkEnd w:id="0"/>
    </w:p>
    <w:p w14:paraId="6DB93161" w14:textId="77777777" w:rsidR="00A3771C" w:rsidRDefault="00A3771C" w:rsidP="000B0318">
      <w:pPr>
        <w:pStyle w:val="Heading2"/>
        <w:spacing w:before="0" w:line="240" w:lineRule="auto"/>
      </w:pPr>
      <w:bookmarkStart w:id="1" w:name="_Toc48224230"/>
      <w:r>
        <w:t>1.</w:t>
      </w:r>
      <w:r>
        <w:tab/>
        <w:t>Introduction</w:t>
      </w:r>
      <w:bookmarkEnd w:id="1"/>
    </w:p>
    <w:p w14:paraId="76D3AB6F" w14:textId="42BF1DDB" w:rsidR="008225A4" w:rsidRDefault="00E35D1F" w:rsidP="000B0318">
      <w:pPr>
        <w:spacing w:after="0" w:line="240" w:lineRule="auto"/>
        <w:rPr>
          <w:rFonts w:cstheme="minorHAnsi"/>
          <w:shd w:val="clear" w:color="auto" w:fill="FFFFFF"/>
        </w:rPr>
      </w:pPr>
      <w:bookmarkStart w:id="2" w:name="_Hlk40262291"/>
      <w:r>
        <w:rPr>
          <w:rFonts w:cstheme="minorHAnsi"/>
          <w:shd w:val="clear" w:color="auto" w:fill="FFFFFF"/>
        </w:rPr>
        <w:t>E</w:t>
      </w:r>
      <w:r w:rsidR="00B143E8">
        <w:rPr>
          <w:rFonts w:cstheme="minorHAnsi"/>
          <w:shd w:val="clear" w:color="auto" w:fill="FFFFFF"/>
        </w:rPr>
        <w:t xml:space="preserve">rosion of democratic principles, in the name of </w:t>
      </w:r>
      <w:r w:rsidR="001E2F5B">
        <w:rPr>
          <w:rFonts w:cstheme="minorHAnsi"/>
          <w:shd w:val="clear" w:color="auto" w:fill="FFFFFF"/>
        </w:rPr>
        <w:t>Government ‘</w:t>
      </w:r>
      <w:r w:rsidR="00B143E8">
        <w:rPr>
          <w:rFonts w:cstheme="minorHAnsi"/>
          <w:shd w:val="clear" w:color="auto" w:fill="FFFFFF"/>
        </w:rPr>
        <w:t>respon</w:t>
      </w:r>
      <w:r w:rsidR="001E2F5B">
        <w:rPr>
          <w:rFonts w:cstheme="minorHAnsi"/>
          <w:shd w:val="clear" w:color="auto" w:fill="FFFFFF"/>
        </w:rPr>
        <w:t>ses</w:t>
      </w:r>
      <w:r w:rsidR="00B143E8">
        <w:rPr>
          <w:rFonts w:cstheme="minorHAnsi"/>
          <w:shd w:val="clear" w:color="auto" w:fill="FFFFFF"/>
        </w:rPr>
        <w:t xml:space="preserve"> to emergencies</w:t>
      </w:r>
      <w:r w:rsidR="001E2F5B">
        <w:rPr>
          <w:rFonts w:cstheme="minorHAnsi"/>
          <w:shd w:val="clear" w:color="auto" w:fill="FFFFFF"/>
        </w:rPr>
        <w:t>’</w:t>
      </w:r>
      <w:r w:rsidR="000B0318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is a troubling trend</w:t>
      </w:r>
      <w:r w:rsidR="00DA7CA5">
        <w:rPr>
          <w:rFonts w:cstheme="minorHAnsi"/>
          <w:shd w:val="clear" w:color="auto" w:fill="FFFFFF"/>
        </w:rPr>
        <w:t>.  Recent articles on bushfires and Covid have been motivated by that.</w:t>
      </w:r>
    </w:p>
    <w:p w14:paraId="3DDB0658" w14:textId="77777777" w:rsidR="000B0318" w:rsidRDefault="000B0318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4D264246" w14:textId="7021FD14" w:rsidR="0027118A" w:rsidRDefault="001C1988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</w:t>
      </w:r>
      <w:r w:rsidR="00DA7CA5">
        <w:rPr>
          <w:rFonts w:cstheme="minorHAnsi"/>
          <w:shd w:val="clear" w:color="auto" w:fill="FFFFFF"/>
        </w:rPr>
        <w:t xml:space="preserve">is </w:t>
      </w:r>
      <w:r w:rsidR="001E2F5B">
        <w:rPr>
          <w:rFonts w:cstheme="minorHAnsi"/>
          <w:shd w:val="clear" w:color="auto" w:fill="FFFFFF"/>
        </w:rPr>
        <w:t>article</w:t>
      </w:r>
      <w:r w:rsidR="00DA7CA5">
        <w:rPr>
          <w:rFonts w:cstheme="minorHAnsi"/>
          <w:shd w:val="clear" w:color="auto" w:fill="FFFFFF"/>
        </w:rPr>
        <w:t xml:space="preserve"> </w:t>
      </w:r>
      <w:r w:rsidR="001E2F5B">
        <w:rPr>
          <w:rFonts w:cstheme="minorHAnsi"/>
          <w:shd w:val="clear" w:color="auto" w:fill="FFFFFF"/>
        </w:rPr>
        <w:t xml:space="preserve">updates </w:t>
      </w:r>
      <w:r w:rsidR="00DA7CA5">
        <w:rPr>
          <w:rFonts w:cstheme="minorHAnsi"/>
          <w:shd w:val="clear" w:color="auto" w:fill="FFFFFF"/>
        </w:rPr>
        <w:t xml:space="preserve">the May </w:t>
      </w:r>
      <w:r w:rsidR="001E2F5B">
        <w:rPr>
          <w:rFonts w:cstheme="minorHAnsi"/>
          <w:shd w:val="clear" w:color="auto" w:fill="FFFFFF"/>
        </w:rPr>
        <w:t xml:space="preserve">note on </w:t>
      </w:r>
      <w:r w:rsidR="00DA7CA5">
        <w:rPr>
          <w:rFonts w:cstheme="minorHAnsi"/>
          <w:shd w:val="clear" w:color="auto" w:fill="FFFFFF"/>
        </w:rPr>
        <w:t xml:space="preserve">Covid </w:t>
      </w:r>
      <w:r w:rsidR="001E2F5B">
        <w:rPr>
          <w:rFonts w:cstheme="minorHAnsi"/>
          <w:shd w:val="clear" w:color="auto" w:fill="FFFFFF"/>
        </w:rPr>
        <w:t>for the period to early August 2020</w:t>
      </w:r>
      <w:r w:rsidR="00DA7CA5">
        <w:rPr>
          <w:rFonts w:cstheme="minorHAnsi"/>
          <w:shd w:val="clear" w:color="auto" w:fill="FFFFFF"/>
        </w:rPr>
        <w:t xml:space="preserve">.  Like that, it does </w:t>
      </w:r>
      <w:r>
        <w:rPr>
          <w:rFonts w:cstheme="minorHAnsi"/>
          <w:shd w:val="clear" w:color="auto" w:fill="FFFFFF"/>
        </w:rPr>
        <w:t xml:space="preserve">not consider the health v. economy debate.  Rather, it </w:t>
      </w:r>
      <w:r w:rsidR="00DA7CA5">
        <w:rPr>
          <w:rFonts w:cstheme="minorHAnsi"/>
          <w:shd w:val="clear" w:color="auto" w:fill="FFFFFF"/>
        </w:rPr>
        <w:t>is</w:t>
      </w:r>
      <w:r>
        <w:rPr>
          <w:rFonts w:cstheme="minorHAnsi"/>
          <w:shd w:val="clear" w:color="auto" w:fill="FFFFFF"/>
        </w:rPr>
        <w:t xml:space="preserve"> interested in national goals</w:t>
      </w:r>
      <w:r w:rsidR="00DA7CA5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how they </w:t>
      </w:r>
      <w:r w:rsidR="00DA7CA5">
        <w:rPr>
          <w:rFonts w:cstheme="minorHAnsi"/>
          <w:shd w:val="clear" w:color="auto" w:fill="FFFFFF"/>
        </w:rPr>
        <w:t>are</w:t>
      </w:r>
      <w:r>
        <w:rPr>
          <w:rFonts w:cstheme="minorHAnsi"/>
          <w:shd w:val="clear" w:color="auto" w:fill="FFFFFF"/>
        </w:rPr>
        <w:t xml:space="preserve"> pursued</w:t>
      </w:r>
      <w:r w:rsidR="00DA7CA5">
        <w:rPr>
          <w:rFonts w:cstheme="minorHAnsi"/>
          <w:shd w:val="clear" w:color="auto" w:fill="FFFFFF"/>
        </w:rPr>
        <w:t xml:space="preserve"> and how they should be pursued</w:t>
      </w:r>
      <w:r>
        <w:rPr>
          <w:rFonts w:cstheme="minorHAnsi"/>
          <w:shd w:val="clear" w:color="auto" w:fill="FFFFFF"/>
        </w:rPr>
        <w:t xml:space="preserve">.  A longer </w:t>
      </w:r>
      <w:r w:rsidR="005D2889">
        <w:rPr>
          <w:rFonts w:cstheme="minorHAnsi"/>
          <w:shd w:val="clear" w:color="auto" w:fill="FFFFFF"/>
        </w:rPr>
        <w:t>reference</w:t>
      </w:r>
      <w:r w:rsidR="000B0318">
        <w:rPr>
          <w:rFonts w:cstheme="minorHAnsi"/>
          <w:shd w:val="clear" w:color="auto" w:fill="FFFFFF"/>
        </w:rPr>
        <w:t>d</w:t>
      </w:r>
      <w:r w:rsidR="005D2889">
        <w:rPr>
          <w:rFonts w:cstheme="minorHAnsi"/>
          <w:shd w:val="clear" w:color="auto" w:fill="FFFFFF"/>
        </w:rPr>
        <w:t xml:space="preserve"> v</w:t>
      </w:r>
      <w:r>
        <w:rPr>
          <w:rFonts w:cstheme="minorHAnsi"/>
          <w:shd w:val="clear" w:color="auto" w:fill="FFFFFF"/>
        </w:rPr>
        <w:t xml:space="preserve">ersion </w:t>
      </w:r>
      <w:r w:rsidR="000B0318">
        <w:rPr>
          <w:rFonts w:cstheme="minorHAnsi"/>
          <w:shd w:val="clear" w:color="auto" w:fill="FFFFFF"/>
        </w:rPr>
        <w:t>will be</w:t>
      </w:r>
      <w:r>
        <w:rPr>
          <w:rFonts w:cstheme="minorHAnsi"/>
          <w:shd w:val="clear" w:color="auto" w:fill="FFFFFF"/>
        </w:rPr>
        <w:t xml:space="preserve"> at the jadebeagle.com.</w:t>
      </w:r>
    </w:p>
    <w:p w14:paraId="77E5919A" w14:textId="77777777" w:rsidR="000B0318" w:rsidRDefault="000B0318" w:rsidP="000B0318">
      <w:pPr>
        <w:pStyle w:val="Heading2"/>
        <w:spacing w:before="0" w:line="240" w:lineRule="auto"/>
        <w:rPr>
          <w:shd w:val="clear" w:color="auto" w:fill="FFFFFF"/>
        </w:rPr>
      </w:pPr>
      <w:bookmarkStart w:id="3" w:name="_Toc48224231"/>
    </w:p>
    <w:p w14:paraId="427D74CD" w14:textId="2FAF6C96" w:rsidR="009717CF" w:rsidRDefault="009717CF" w:rsidP="000B0318">
      <w:pPr>
        <w:pStyle w:val="Heading2"/>
        <w:spacing w:before="0" w:line="240" w:lineRule="auto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tab/>
        <w:t>Background</w:t>
      </w:r>
      <w:bookmarkEnd w:id="3"/>
    </w:p>
    <w:p w14:paraId="61F6A4DA" w14:textId="3A9D6F2E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bookmarkStart w:id="4" w:name="_Toc48224232"/>
      <w:r>
        <w:rPr>
          <w:shd w:val="clear" w:color="auto" w:fill="FFFFFF"/>
        </w:rPr>
        <w:t>Covid</w:t>
      </w:r>
      <w:bookmarkEnd w:id="4"/>
    </w:p>
    <w:p w14:paraId="11F297DF" w14:textId="4C418004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understanding of the nature of Covid has not s</w:t>
      </w:r>
      <w:r w:rsidR="000B0318">
        <w:rPr>
          <w:rFonts w:cstheme="minorHAnsi"/>
          <w:shd w:val="clear" w:color="auto" w:fill="FFFFFF"/>
        </w:rPr>
        <w:t>ignificantly</w:t>
      </w:r>
      <w:r>
        <w:rPr>
          <w:rFonts w:cstheme="minorHAnsi"/>
          <w:shd w:val="clear" w:color="auto" w:fill="FFFFFF"/>
        </w:rPr>
        <w:t xml:space="preserve"> changed since May.  </w:t>
      </w:r>
      <w:r w:rsidR="0027118A">
        <w:rPr>
          <w:rFonts w:cstheme="minorHAnsi"/>
          <w:shd w:val="clear" w:color="auto" w:fill="FFFFFF"/>
        </w:rPr>
        <w:t>The</w:t>
      </w:r>
      <w:r>
        <w:rPr>
          <w:rFonts w:cstheme="minorHAnsi"/>
          <w:shd w:val="clear" w:color="auto" w:fill="FFFFFF"/>
        </w:rPr>
        <w:t xml:space="preserve"> key </w:t>
      </w:r>
      <w:r w:rsidR="0027118A">
        <w:rPr>
          <w:rFonts w:cstheme="minorHAnsi"/>
          <w:shd w:val="clear" w:color="auto" w:fill="FFFFFF"/>
        </w:rPr>
        <w:t xml:space="preserve">to public health responses </w:t>
      </w:r>
      <w:r>
        <w:rPr>
          <w:rFonts w:cstheme="minorHAnsi"/>
          <w:shd w:val="clear" w:color="auto" w:fill="FFFFFF"/>
        </w:rPr>
        <w:t>is ‘trac</w:t>
      </w:r>
      <w:r w:rsidR="00B13B05">
        <w:rPr>
          <w:rFonts w:cstheme="minorHAnsi"/>
          <w:shd w:val="clear" w:color="auto" w:fill="FFFFFF"/>
        </w:rPr>
        <w:t>ing</w:t>
      </w:r>
      <w:r>
        <w:rPr>
          <w:rFonts w:cstheme="minorHAnsi"/>
          <w:shd w:val="clear" w:color="auto" w:fill="FFFFFF"/>
        </w:rPr>
        <w:t xml:space="preserve">’ infection chains within the community.  If this can be done, and if those suspected of infection can be isolated, the need for </w:t>
      </w:r>
      <w:r w:rsidR="001B1E13">
        <w:rPr>
          <w:rFonts w:cstheme="minorHAns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>ide</w:t>
      </w:r>
      <w:r w:rsidR="001B1E13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 measures such as lock-downs is reduced.  </w:t>
      </w:r>
    </w:p>
    <w:p w14:paraId="2292704E" w14:textId="77777777" w:rsidR="008225A4" w:rsidRDefault="008225A4" w:rsidP="000B0318">
      <w:pPr>
        <w:pStyle w:val="Heading3"/>
        <w:spacing w:before="0" w:line="240" w:lineRule="auto"/>
        <w:rPr>
          <w:shd w:val="clear" w:color="auto" w:fill="FFFFFF"/>
        </w:rPr>
      </w:pPr>
      <w:bookmarkStart w:id="5" w:name="_Toc48224233"/>
    </w:p>
    <w:p w14:paraId="22B90913" w14:textId="096C80B6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r>
        <w:rPr>
          <w:shd w:val="clear" w:color="auto" w:fill="FFFFFF"/>
        </w:rPr>
        <w:t>Infection cases</w:t>
      </w:r>
      <w:bookmarkEnd w:id="5"/>
    </w:p>
    <w:p w14:paraId="57BAC246" w14:textId="07864D3D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Reported Australian cases increased from 7,081 in mid-May (100 deaths) to 16,000 (196 deaths) at end July.  </w:t>
      </w:r>
      <w:r w:rsidR="00DA7CA5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elatively few new </w:t>
      </w:r>
      <w:r w:rsidR="00F25E72">
        <w:rPr>
          <w:rFonts w:cstheme="minorHAnsi"/>
          <w:shd w:val="clear" w:color="auto" w:fill="FFFFFF"/>
        </w:rPr>
        <w:t xml:space="preserve">daily </w:t>
      </w:r>
      <w:r>
        <w:rPr>
          <w:rFonts w:cstheme="minorHAnsi"/>
          <w:shd w:val="clear" w:color="auto" w:fill="FFFFFF"/>
        </w:rPr>
        <w:t xml:space="preserve">cases were reported </w:t>
      </w:r>
      <w:r w:rsidR="00297A3C">
        <w:rPr>
          <w:rFonts w:cstheme="minorHAnsi"/>
          <w:shd w:val="clear" w:color="auto" w:fill="FFFFFF"/>
        </w:rPr>
        <w:t xml:space="preserve">during much of the period </w:t>
      </w:r>
      <w:r>
        <w:rPr>
          <w:rFonts w:cstheme="minorHAnsi"/>
          <w:shd w:val="clear" w:color="auto" w:fill="FFFFFF"/>
        </w:rPr>
        <w:t xml:space="preserve">– </w:t>
      </w:r>
      <w:r w:rsidR="00DA7CA5">
        <w:rPr>
          <w:rFonts w:cstheme="minorHAnsi"/>
          <w:shd w:val="clear" w:color="auto" w:fill="FFFFFF"/>
        </w:rPr>
        <w:t>the</w:t>
      </w:r>
      <w:r w:rsidR="00297A3C">
        <w:rPr>
          <w:rFonts w:cstheme="minorHAnsi"/>
          <w:shd w:val="clear" w:color="auto" w:fill="FFFFFF"/>
        </w:rPr>
        <w:t xml:space="preserve"> minimum of</w:t>
      </w:r>
      <w:r>
        <w:rPr>
          <w:rFonts w:cstheme="minorHAnsi"/>
          <w:shd w:val="clear" w:color="auto" w:fill="FFFFFF"/>
        </w:rPr>
        <w:t xml:space="preserve"> five </w:t>
      </w:r>
      <w:r w:rsidR="00297A3C">
        <w:rPr>
          <w:rFonts w:cstheme="minorHAnsi"/>
          <w:shd w:val="clear" w:color="auto" w:fill="FFFFFF"/>
        </w:rPr>
        <w:t xml:space="preserve">was reported on </w:t>
      </w:r>
      <w:r>
        <w:rPr>
          <w:rFonts w:cstheme="minorHAnsi"/>
          <w:shd w:val="clear" w:color="auto" w:fill="FFFFFF"/>
        </w:rPr>
        <w:t xml:space="preserve">7 June – </w:t>
      </w:r>
      <w:r w:rsidR="003F5103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contrast to a deteriorating </w:t>
      </w:r>
      <w:r w:rsidR="003F5103">
        <w:rPr>
          <w:rFonts w:cstheme="minorHAnsi"/>
          <w:shd w:val="clear" w:color="auto" w:fill="FFFFFF"/>
        </w:rPr>
        <w:t xml:space="preserve">international </w:t>
      </w:r>
      <w:r>
        <w:rPr>
          <w:rFonts w:cstheme="minorHAnsi"/>
          <w:shd w:val="clear" w:color="auto" w:fill="FFFFFF"/>
        </w:rPr>
        <w:t>situation.</w:t>
      </w:r>
      <w:r w:rsidR="00BD4FB3">
        <w:rPr>
          <w:rFonts w:cstheme="minorHAnsi"/>
          <w:shd w:val="clear" w:color="auto" w:fill="FFFFFF"/>
        </w:rPr>
        <w:t xml:space="preserve">  Towards the end of July, however, Australia cases increased markedly due to a major outbreak in Victoria.</w:t>
      </w:r>
    </w:p>
    <w:p w14:paraId="64E7F2C6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32BBED38" w14:textId="66EB1DED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At end July</w:t>
      </w:r>
      <w:r w:rsidR="00297A3C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reported cases were a </w:t>
      </w:r>
      <w:r w:rsidR="00F25E72">
        <w:rPr>
          <w:rFonts w:cstheme="minorHAnsi"/>
          <w:shd w:val="clear" w:color="auto" w:fill="FFFFFF"/>
        </w:rPr>
        <w:t>minute</w:t>
      </w:r>
      <w:r>
        <w:rPr>
          <w:rFonts w:cstheme="minorHAnsi"/>
          <w:shd w:val="clear" w:color="auto" w:fill="FFFFFF"/>
        </w:rPr>
        <w:t xml:space="preserve"> fraction</w:t>
      </w:r>
      <w:r w:rsidR="00F25E72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 of populations – 0.2% globally, 0.1% in Australia.  </w:t>
      </w:r>
    </w:p>
    <w:p w14:paraId="51ED6A09" w14:textId="77777777" w:rsidR="008225A4" w:rsidRDefault="008225A4" w:rsidP="000B0318">
      <w:pPr>
        <w:pStyle w:val="Heading3"/>
        <w:spacing w:before="0" w:line="240" w:lineRule="auto"/>
        <w:rPr>
          <w:shd w:val="clear" w:color="auto" w:fill="FFFFFF"/>
        </w:rPr>
      </w:pPr>
      <w:bookmarkStart w:id="6" w:name="_Toc48224234"/>
    </w:p>
    <w:p w14:paraId="6E88457F" w14:textId="3159826D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r>
        <w:rPr>
          <w:shd w:val="clear" w:color="auto" w:fill="FFFFFF"/>
        </w:rPr>
        <w:t>Australian performance</w:t>
      </w:r>
      <w:bookmarkEnd w:id="6"/>
    </w:p>
    <w:p w14:paraId="085C777C" w14:textId="168F25FA" w:rsidR="009717CF" w:rsidRDefault="00DA7CA5" w:rsidP="000B03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Australian Government</w:t>
      </w:r>
      <w:r w:rsidR="000B031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still have no stated</w:t>
      </w:r>
      <w:r w:rsidR="00F25E72">
        <w:rPr>
          <w:rFonts w:asciiTheme="minorHAnsi" w:hAnsiTheme="minorHAnsi" w:cstheme="minorHAnsi"/>
          <w:sz w:val="22"/>
          <w:szCs w:val="22"/>
        </w:rPr>
        <w:t xml:space="preserve"> </w:t>
      </w:r>
      <w:r w:rsidR="009717CF" w:rsidRPr="006B7886">
        <w:rPr>
          <w:rFonts w:asciiTheme="minorHAnsi" w:hAnsiTheme="minorHAnsi" w:cstheme="minorHAnsi"/>
          <w:sz w:val="22"/>
          <w:szCs w:val="22"/>
        </w:rPr>
        <w:t xml:space="preserve">objective </w:t>
      </w:r>
      <w:r w:rsidR="009717CF">
        <w:rPr>
          <w:rFonts w:asciiTheme="minorHAnsi" w:hAnsiTheme="minorHAnsi" w:cstheme="minorHAnsi"/>
          <w:sz w:val="22"/>
          <w:szCs w:val="22"/>
        </w:rPr>
        <w:t>for</w:t>
      </w:r>
      <w:r w:rsidR="009717CF" w:rsidRPr="006B7886">
        <w:rPr>
          <w:rFonts w:asciiTheme="minorHAnsi" w:hAnsiTheme="minorHAnsi" w:cstheme="minorHAnsi"/>
          <w:sz w:val="22"/>
          <w:szCs w:val="22"/>
        </w:rPr>
        <w:t xml:space="preserve"> responses to Covid.  </w:t>
      </w:r>
      <w:r>
        <w:rPr>
          <w:rFonts w:asciiTheme="minorHAnsi" w:hAnsiTheme="minorHAnsi" w:cstheme="minorHAnsi"/>
          <w:sz w:val="22"/>
          <w:szCs w:val="22"/>
        </w:rPr>
        <w:t>Health sector m</w:t>
      </w:r>
      <w:r w:rsidR="003F5103">
        <w:rPr>
          <w:rFonts w:asciiTheme="minorHAnsi" w:hAnsiTheme="minorHAnsi" w:cstheme="minorHAnsi"/>
          <w:sz w:val="22"/>
          <w:szCs w:val="22"/>
        </w:rPr>
        <w:t>odelling in late March posited a</w:t>
      </w:r>
      <w:r w:rsidR="00F25E72">
        <w:rPr>
          <w:rFonts w:asciiTheme="minorHAnsi" w:hAnsiTheme="minorHAnsi" w:cstheme="minorHAnsi"/>
          <w:sz w:val="22"/>
          <w:szCs w:val="22"/>
        </w:rPr>
        <w:t xml:space="preserve"> goal</w:t>
      </w:r>
      <w:r w:rsidR="003F5103">
        <w:rPr>
          <w:rFonts w:asciiTheme="minorHAnsi" w:hAnsiTheme="minorHAnsi" w:cstheme="minorHAnsi"/>
          <w:sz w:val="22"/>
          <w:szCs w:val="22"/>
        </w:rPr>
        <w:t xml:space="preserve"> of </w:t>
      </w:r>
      <w:r w:rsidR="009717CF">
        <w:rPr>
          <w:rFonts w:asciiTheme="minorHAnsi" w:hAnsiTheme="minorHAnsi" w:cstheme="minorHAnsi"/>
          <w:sz w:val="22"/>
          <w:szCs w:val="22"/>
        </w:rPr>
        <w:t>‘sector continuity’</w:t>
      </w:r>
      <w:r w:rsidR="003F5103">
        <w:rPr>
          <w:rFonts w:asciiTheme="minorHAnsi" w:hAnsiTheme="minorHAnsi" w:cstheme="minorHAnsi"/>
          <w:sz w:val="22"/>
          <w:szCs w:val="22"/>
        </w:rPr>
        <w:t xml:space="preserve"> and </w:t>
      </w:r>
      <w:r w:rsidR="009717CF">
        <w:rPr>
          <w:rFonts w:asciiTheme="minorHAnsi" w:hAnsiTheme="minorHAnsi" w:cs="Segoe UI"/>
          <w:sz w:val="22"/>
          <w:szCs w:val="22"/>
        </w:rPr>
        <w:t>expectation</w:t>
      </w:r>
      <w:r w:rsidR="003F5103">
        <w:rPr>
          <w:rFonts w:asciiTheme="minorHAnsi" w:hAnsiTheme="minorHAnsi" w:cs="Segoe UI"/>
          <w:sz w:val="22"/>
          <w:szCs w:val="22"/>
        </w:rPr>
        <w:t>s:</w:t>
      </w:r>
      <w:r w:rsidR="009717CF">
        <w:rPr>
          <w:rFonts w:asciiTheme="minorHAnsi" w:hAnsiTheme="minorHAnsi" w:cs="Segoe UI"/>
          <w:sz w:val="22"/>
          <w:szCs w:val="22"/>
        </w:rPr>
        <w:t xml:space="preserve"> </w:t>
      </w:r>
      <w:r w:rsidR="003F5103">
        <w:rPr>
          <w:rFonts w:asciiTheme="minorHAnsi" w:hAnsiTheme="minorHAnsi" w:cs="Segoe UI"/>
          <w:sz w:val="22"/>
          <w:szCs w:val="22"/>
        </w:rPr>
        <w:t xml:space="preserve">infection of </w:t>
      </w:r>
      <w:r w:rsidR="009717CF">
        <w:rPr>
          <w:rFonts w:asciiTheme="minorHAnsi" w:hAnsiTheme="minorHAnsi" w:cs="Segoe UI"/>
          <w:sz w:val="22"/>
          <w:szCs w:val="22"/>
        </w:rPr>
        <w:t>12% of the population</w:t>
      </w:r>
      <w:r w:rsidR="003F5103">
        <w:rPr>
          <w:rFonts w:asciiTheme="minorHAnsi" w:hAnsiTheme="minorHAnsi" w:cs="Segoe UI"/>
          <w:sz w:val="22"/>
          <w:szCs w:val="22"/>
        </w:rPr>
        <w:t xml:space="preserve">; </w:t>
      </w:r>
      <w:r w:rsidR="00297A3C">
        <w:rPr>
          <w:rFonts w:asciiTheme="minorHAnsi" w:hAnsiTheme="minorHAnsi" w:cs="Segoe UI"/>
          <w:sz w:val="22"/>
          <w:szCs w:val="22"/>
        </w:rPr>
        <w:t xml:space="preserve">peak </w:t>
      </w:r>
      <w:r w:rsidR="003F5103">
        <w:rPr>
          <w:rFonts w:asciiTheme="minorHAnsi" w:hAnsiTheme="minorHAnsi" w:cs="Segoe UI"/>
          <w:sz w:val="22"/>
          <w:szCs w:val="22"/>
        </w:rPr>
        <w:t>in</w:t>
      </w:r>
      <w:r w:rsidR="009717CF">
        <w:rPr>
          <w:rFonts w:asciiTheme="minorHAnsi" w:hAnsiTheme="minorHAnsi" w:cs="Segoe UI"/>
          <w:sz w:val="22"/>
          <w:szCs w:val="22"/>
        </w:rPr>
        <w:t xml:space="preserve"> December 2020</w:t>
      </w:r>
      <w:r w:rsidR="003F5103">
        <w:rPr>
          <w:rFonts w:asciiTheme="minorHAnsi" w:hAnsiTheme="minorHAnsi" w:cs="Segoe UI"/>
          <w:sz w:val="22"/>
          <w:szCs w:val="22"/>
        </w:rPr>
        <w:t>; r</w:t>
      </w:r>
      <w:r w:rsidR="009717CF">
        <w:rPr>
          <w:rFonts w:asciiTheme="minorHAnsi" w:hAnsiTheme="minorHAnsi" w:cs="Segoe UI"/>
          <w:sz w:val="22"/>
          <w:szCs w:val="22"/>
        </w:rPr>
        <w:t>estrictions until mid-2021.</w:t>
      </w:r>
    </w:p>
    <w:p w14:paraId="5E608DA3" w14:textId="77777777" w:rsidR="009717CF" w:rsidRDefault="009717CF" w:rsidP="000B03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</w:p>
    <w:p w14:paraId="16D19654" w14:textId="7231CBC6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 the event, </w:t>
      </w:r>
      <w:r w:rsidR="00B13B05">
        <w:rPr>
          <w:rFonts w:cstheme="minorHAnsi"/>
          <w:shd w:val="clear" w:color="auto" w:fill="FFFFFF"/>
        </w:rPr>
        <w:t>case numbers</w:t>
      </w:r>
      <w:r>
        <w:rPr>
          <w:rFonts w:cstheme="minorHAnsi"/>
          <w:shd w:val="clear" w:color="auto" w:fill="FFFFFF"/>
        </w:rPr>
        <w:t xml:space="preserve"> dropped </w:t>
      </w:r>
      <w:r w:rsidR="00B13B05">
        <w:rPr>
          <w:rFonts w:cstheme="minorHAnsi"/>
          <w:shd w:val="clear" w:color="auto" w:fill="FFFFFF"/>
        </w:rPr>
        <w:t xml:space="preserve">much </w:t>
      </w:r>
      <w:r w:rsidR="00B50451">
        <w:rPr>
          <w:rFonts w:cstheme="minorHAnsi"/>
          <w:shd w:val="clear" w:color="auto" w:fill="FFFFFF"/>
        </w:rPr>
        <w:t>faster.  S</w:t>
      </w:r>
      <w:r w:rsidR="003F5103">
        <w:rPr>
          <w:rFonts w:cstheme="minorHAnsi"/>
          <w:shd w:val="clear" w:color="auto" w:fill="FFFFFF"/>
        </w:rPr>
        <w:t>elf-</w:t>
      </w:r>
      <w:r>
        <w:rPr>
          <w:rFonts w:cstheme="minorHAnsi"/>
          <w:shd w:val="clear" w:color="auto" w:fill="FFFFFF"/>
        </w:rPr>
        <w:t xml:space="preserve">congratulation </w:t>
      </w:r>
      <w:r w:rsidR="003F5103">
        <w:rPr>
          <w:rFonts w:cstheme="minorHAnsi"/>
          <w:shd w:val="clear" w:color="auto" w:fill="FFFFFF"/>
        </w:rPr>
        <w:t xml:space="preserve">emerged in May - </w:t>
      </w:r>
      <w:r>
        <w:rPr>
          <w:rFonts w:cstheme="minorHAnsi"/>
          <w:shd w:val="clear" w:color="auto" w:fill="FFFFFF"/>
        </w:rPr>
        <w:t xml:space="preserve">Australia </w:t>
      </w:r>
      <w:r w:rsidR="003F5103">
        <w:rPr>
          <w:rFonts w:cstheme="minorHAnsi"/>
          <w:shd w:val="clear" w:color="auto" w:fill="FFFFFF"/>
        </w:rPr>
        <w:t>joined an ‘</w:t>
      </w:r>
      <w:r>
        <w:rPr>
          <w:rFonts w:cstheme="minorHAnsi"/>
          <w:shd w:val="clear" w:color="auto" w:fill="FFFFFF"/>
        </w:rPr>
        <w:t xml:space="preserve">exclusive’ </w:t>
      </w:r>
      <w:r w:rsidR="003F5103">
        <w:rPr>
          <w:rFonts w:cstheme="minorHAnsi"/>
          <w:shd w:val="clear" w:color="auto" w:fill="FFFFFF"/>
        </w:rPr>
        <w:t xml:space="preserve">club of ‘successful countries’.  </w:t>
      </w:r>
      <w:r>
        <w:rPr>
          <w:rFonts w:cstheme="minorHAnsi"/>
          <w:shd w:val="clear" w:color="auto" w:fill="FFFFFF"/>
        </w:rPr>
        <w:t xml:space="preserve">However, </w:t>
      </w:r>
      <w:r w:rsidR="003F5103">
        <w:rPr>
          <w:rFonts w:cstheme="minorHAnsi"/>
          <w:shd w:val="clear" w:color="auto" w:fill="FFFFFF"/>
        </w:rPr>
        <w:t xml:space="preserve">national smugness was removed by late </w:t>
      </w:r>
      <w:r w:rsidR="00297A3C">
        <w:rPr>
          <w:rFonts w:cstheme="minorHAnsi"/>
          <w:shd w:val="clear" w:color="auto" w:fill="FFFFFF"/>
        </w:rPr>
        <w:t>June</w:t>
      </w:r>
      <w:r w:rsidR="00B5045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outbreaks </w:t>
      </w:r>
      <w:r w:rsidR="00B50451">
        <w:rPr>
          <w:rFonts w:cstheme="minorHAnsi"/>
          <w:shd w:val="clear" w:color="auto" w:fill="FFFFFF"/>
        </w:rPr>
        <w:t>– the experience also of other club members</w:t>
      </w:r>
      <w:r>
        <w:rPr>
          <w:rFonts w:cstheme="minorHAnsi"/>
          <w:shd w:val="clear" w:color="auto" w:fill="FFFFFF"/>
        </w:rPr>
        <w:t xml:space="preserve"> except</w:t>
      </w:r>
      <w:r w:rsidR="00B50451">
        <w:rPr>
          <w:rFonts w:cstheme="minorHAnsi"/>
          <w:shd w:val="clear" w:color="auto" w:fill="FFFFFF"/>
        </w:rPr>
        <w:t>, then,</w:t>
      </w:r>
      <w:r>
        <w:rPr>
          <w:rFonts w:cstheme="minorHAnsi"/>
          <w:shd w:val="clear" w:color="auto" w:fill="FFFFFF"/>
        </w:rPr>
        <w:t xml:space="preserve"> New Zealand.</w:t>
      </w:r>
    </w:p>
    <w:p w14:paraId="3CD754F0" w14:textId="77777777" w:rsidR="008225A4" w:rsidRDefault="008225A4" w:rsidP="000B0318">
      <w:pPr>
        <w:pStyle w:val="Heading3"/>
        <w:spacing w:before="0" w:line="240" w:lineRule="auto"/>
        <w:rPr>
          <w:shd w:val="clear" w:color="auto" w:fill="FFFFFF"/>
        </w:rPr>
      </w:pPr>
      <w:bookmarkStart w:id="7" w:name="_Toc48224235"/>
    </w:p>
    <w:p w14:paraId="0180C898" w14:textId="1C09BE54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r>
        <w:rPr>
          <w:shd w:val="clear" w:color="auto" w:fill="FFFFFF"/>
        </w:rPr>
        <w:t>New Zealand comparator</w:t>
      </w:r>
      <w:bookmarkEnd w:id="7"/>
    </w:p>
    <w:p w14:paraId="32D6163C" w14:textId="326E7F18" w:rsidR="009717CF" w:rsidRPr="003C3370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New Zealand was widely promoted as an example of good management of Covid</w:t>
      </w:r>
      <w:r w:rsidR="00F25E72">
        <w:rPr>
          <w:rFonts w:cstheme="minorHAnsi"/>
          <w:shd w:val="clear" w:color="auto" w:fill="FFFFFF"/>
        </w:rPr>
        <w:t xml:space="preserve"> – introducing restrictions ‘faster and harder’ than other countries</w:t>
      </w:r>
      <w:r>
        <w:rPr>
          <w:rFonts w:cstheme="minorHAnsi"/>
          <w:shd w:val="clear" w:color="auto" w:fill="FFFFFF"/>
        </w:rPr>
        <w:t>.</w:t>
      </w:r>
      <w:r w:rsidR="000B0318">
        <w:rPr>
          <w:rFonts w:cstheme="minorHAnsi"/>
          <w:shd w:val="clear" w:color="auto" w:fill="FFFFFF"/>
        </w:rPr>
        <w:t xml:space="preserve">  </w:t>
      </w:r>
      <w:r>
        <w:rPr>
          <w:rFonts w:cstheme="minorHAnsi"/>
          <w:shd w:val="clear" w:color="auto" w:fill="FFFFFF"/>
        </w:rPr>
        <w:t xml:space="preserve">Australia </w:t>
      </w:r>
      <w:r w:rsidR="00F25E72">
        <w:rPr>
          <w:rFonts w:cstheme="minorHAnsi"/>
          <w:shd w:val="clear" w:color="auto" w:fill="FFFFFF"/>
        </w:rPr>
        <w:t xml:space="preserve">arguably </w:t>
      </w:r>
      <w:r>
        <w:rPr>
          <w:rFonts w:cstheme="minorHAnsi"/>
          <w:shd w:val="clear" w:color="auto" w:fill="FFFFFF"/>
        </w:rPr>
        <w:t xml:space="preserve">achieved similar Covid results as New Zealand but with </w:t>
      </w:r>
      <w:r w:rsidR="005D2889">
        <w:rPr>
          <w:rFonts w:cstheme="minorHAnsi"/>
          <w:shd w:val="clear" w:color="auto" w:fill="FFFFFF"/>
        </w:rPr>
        <w:t>less</w:t>
      </w:r>
      <w:r>
        <w:rPr>
          <w:rFonts w:cstheme="minorHAnsi"/>
          <w:shd w:val="clear" w:color="auto" w:fill="FFFFFF"/>
        </w:rPr>
        <w:t xml:space="preserve"> restrictions.  New Zealand </w:t>
      </w:r>
      <w:r w:rsidR="00F25E72">
        <w:rPr>
          <w:rFonts w:cstheme="minorHAnsi"/>
          <w:shd w:val="clear" w:color="auto" w:fill="FFFFFF"/>
        </w:rPr>
        <w:t>may have</w:t>
      </w:r>
      <w:r w:rsidR="00B5045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over-react</w:t>
      </w:r>
      <w:r w:rsidR="00B50451">
        <w:rPr>
          <w:rFonts w:cstheme="minorHAnsi"/>
          <w:shd w:val="clear" w:color="auto" w:fill="FFFFFF"/>
        </w:rPr>
        <w:t xml:space="preserve">ed due </w:t>
      </w:r>
      <w:r w:rsidR="00397767">
        <w:rPr>
          <w:rFonts w:cstheme="minorHAnsi"/>
          <w:shd w:val="clear" w:color="auto" w:fill="FFFFFF"/>
        </w:rPr>
        <w:t xml:space="preserve">to </w:t>
      </w:r>
      <w:r w:rsidR="00B50451">
        <w:rPr>
          <w:rFonts w:cstheme="minorHAnsi"/>
          <w:shd w:val="clear" w:color="auto" w:fill="FFFFFF"/>
        </w:rPr>
        <w:t>inadequacies in its health system</w:t>
      </w:r>
      <w:r w:rsidR="00397767">
        <w:rPr>
          <w:rFonts w:cstheme="minorHAnsi"/>
          <w:shd w:val="clear" w:color="auto" w:fill="FFFFFF"/>
        </w:rPr>
        <w:t xml:space="preserve"> with, in hind-sight, needless economic damage</w:t>
      </w:r>
      <w:r w:rsidR="00B50451">
        <w:rPr>
          <w:rFonts w:cstheme="minorHAnsi"/>
          <w:shd w:val="clear" w:color="auto" w:fill="FFFFFF"/>
        </w:rPr>
        <w:t>.</w:t>
      </w:r>
      <w:r w:rsidR="00397767">
        <w:rPr>
          <w:rFonts w:cstheme="minorHAnsi"/>
          <w:shd w:val="clear" w:color="auto" w:fill="FFFFFF"/>
        </w:rPr>
        <w:t xml:space="preserve">  The difference in the two countries Covid results may be down to luck.</w:t>
      </w:r>
      <w:r w:rsidRPr="003C3370">
        <w:rPr>
          <w:rFonts w:cstheme="minorHAnsi"/>
          <w:color w:val="232323"/>
          <w:shd w:val="clear" w:color="auto" w:fill="FFFFFF"/>
        </w:rPr>
        <w:t xml:space="preserve"> </w:t>
      </w:r>
    </w:p>
    <w:p w14:paraId="7183556B" w14:textId="77777777" w:rsidR="008225A4" w:rsidRDefault="008225A4" w:rsidP="000B0318">
      <w:pPr>
        <w:pStyle w:val="Heading3"/>
        <w:spacing w:before="0" w:line="240" w:lineRule="auto"/>
        <w:rPr>
          <w:shd w:val="clear" w:color="auto" w:fill="FFFFFF"/>
        </w:rPr>
      </w:pPr>
      <w:bookmarkStart w:id="8" w:name="_Toc48224236"/>
    </w:p>
    <w:p w14:paraId="5A1FC5FA" w14:textId="6CE6E8F1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r>
        <w:rPr>
          <w:shd w:val="clear" w:color="auto" w:fill="FFFFFF"/>
        </w:rPr>
        <w:t>The aged</w:t>
      </w:r>
      <w:bookmarkEnd w:id="8"/>
    </w:p>
    <w:p w14:paraId="67D679A6" w14:textId="540E9076" w:rsidR="009717CF" w:rsidRDefault="00F25E72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While it was known </w:t>
      </w:r>
      <w:r w:rsidR="00397767">
        <w:rPr>
          <w:rFonts w:cstheme="minorHAnsi"/>
          <w:shd w:val="clear" w:color="auto" w:fill="FFFFFF"/>
        </w:rPr>
        <w:t>Covid infections affect the old more than the young</w:t>
      </w:r>
      <w:r>
        <w:rPr>
          <w:rFonts w:cstheme="minorHAnsi"/>
          <w:shd w:val="clear" w:color="auto" w:fill="FFFFFF"/>
        </w:rPr>
        <w:t>, less</w:t>
      </w:r>
      <w:r w:rsidR="009717CF">
        <w:rPr>
          <w:rFonts w:cstheme="minorHAnsi"/>
          <w:shd w:val="clear" w:color="auto" w:fill="FFFFFF"/>
        </w:rPr>
        <w:t xml:space="preserve"> appreciated </w:t>
      </w:r>
      <w:r>
        <w:rPr>
          <w:rFonts w:cstheme="minorHAnsi"/>
          <w:shd w:val="clear" w:color="auto" w:fill="FFFFFF"/>
        </w:rPr>
        <w:t xml:space="preserve">was </w:t>
      </w:r>
      <w:r w:rsidR="00397767">
        <w:rPr>
          <w:rFonts w:cstheme="minorHAnsi"/>
          <w:shd w:val="clear" w:color="auto" w:fill="FFFFFF"/>
        </w:rPr>
        <w:t xml:space="preserve">some of the aged can be at high risk of </w:t>
      </w:r>
      <w:r>
        <w:rPr>
          <w:rFonts w:cstheme="minorHAnsi"/>
          <w:shd w:val="clear" w:color="auto" w:fill="FFFFFF"/>
        </w:rPr>
        <w:t>infection b</w:t>
      </w:r>
      <w:r w:rsidR="00397767">
        <w:rPr>
          <w:rFonts w:cstheme="minorHAnsi"/>
          <w:shd w:val="clear" w:color="auto" w:fill="FFFFFF"/>
        </w:rPr>
        <w:t xml:space="preserve">ecause they are in aged care facilities.  </w:t>
      </w:r>
      <w:r w:rsidR="009717CF">
        <w:rPr>
          <w:rFonts w:cstheme="minorHAnsi"/>
          <w:shd w:val="clear" w:color="auto" w:fill="FFFFFF"/>
        </w:rPr>
        <w:t xml:space="preserve">While </w:t>
      </w:r>
      <w:r w:rsidR="003D696C">
        <w:rPr>
          <w:rFonts w:cstheme="minorHAnsi"/>
          <w:shd w:val="clear" w:color="auto" w:fill="FFFFFF"/>
        </w:rPr>
        <w:t>relevant</w:t>
      </w:r>
      <w:r w:rsidR="009717CF">
        <w:rPr>
          <w:rFonts w:cstheme="minorHAnsi"/>
          <w:shd w:val="clear" w:color="auto" w:fill="FFFFFF"/>
        </w:rPr>
        <w:t xml:space="preserve"> issues are under review, </w:t>
      </w:r>
      <w:r w:rsidR="003D696C">
        <w:rPr>
          <w:rFonts w:cstheme="minorHAnsi"/>
          <w:shd w:val="clear" w:color="auto" w:fill="FFFFFF"/>
        </w:rPr>
        <w:t>important</w:t>
      </w:r>
      <w:r w:rsidR="009717CF">
        <w:rPr>
          <w:rFonts w:cstheme="minorHAnsi"/>
          <w:shd w:val="clear" w:color="auto" w:fill="FFFFFF"/>
        </w:rPr>
        <w:t xml:space="preserve"> aspects appear to include</w:t>
      </w:r>
      <w:r>
        <w:rPr>
          <w:rFonts w:cstheme="minorHAnsi"/>
          <w:shd w:val="clear" w:color="auto" w:fill="FFFFFF"/>
        </w:rPr>
        <w:t>:</w:t>
      </w:r>
      <w:r w:rsidR="009717CF">
        <w:rPr>
          <w:rFonts w:cstheme="minorHAnsi"/>
          <w:shd w:val="clear" w:color="auto" w:fill="FFFFFF"/>
        </w:rPr>
        <w:t xml:space="preserve"> contact with families; staffing levels, skills and equipment</w:t>
      </w:r>
      <w:r>
        <w:rPr>
          <w:rFonts w:cstheme="minorHAnsi"/>
          <w:shd w:val="clear" w:color="auto" w:fill="FFFFFF"/>
        </w:rPr>
        <w:t>;</w:t>
      </w:r>
      <w:r w:rsidR="009717C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in situ treatment/risks of moving the elderly to hospitals</w:t>
      </w:r>
    </w:p>
    <w:p w14:paraId="4DC8E96A" w14:textId="77777777" w:rsidR="000B0318" w:rsidRDefault="000B0318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074EE4B5" w14:textId="1B0EA649" w:rsidR="00397767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May </w:t>
      </w:r>
      <w:r w:rsidR="00397767">
        <w:rPr>
          <w:rFonts w:cstheme="minorHAnsi"/>
          <w:shd w:val="clear" w:color="auto" w:fill="FFFFFF"/>
        </w:rPr>
        <w:t xml:space="preserve">article </w:t>
      </w:r>
      <w:r>
        <w:rPr>
          <w:rFonts w:cstheme="minorHAnsi"/>
          <w:shd w:val="clear" w:color="auto" w:fill="FFFFFF"/>
        </w:rPr>
        <w:t>suggest</w:t>
      </w:r>
      <w:r w:rsidR="00397767">
        <w:rPr>
          <w:rFonts w:cstheme="minorHAnsi"/>
          <w:shd w:val="clear" w:color="auto" w:fill="FFFFFF"/>
        </w:rPr>
        <w:t>ed</w:t>
      </w:r>
      <w:r>
        <w:rPr>
          <w:rFonts w:cstheme="minorHAnsi"/>
          <w:shd w:val="clear" w:color="auto" w:fill="FFFFFF"/>
        </w:rPr>
        <w:t xml:space="preserve"> </w:t>
      </w:r>
      <w:r w:rsidR="00376060">
        <w:rPr>
          <w:rFonts w:cstheme="minorHAnsi"/>
          <w:shd w:val="clear" w:color="auto" w:fill="FFFFFF"/>
        </w:rPr>
        <w:t xml:space="preserve">the zeal of imposing restrictions </w:t>
      </w:r>
      <w:r w:rsidR="00B13B05">
        <w:rPr>
          <w:rFonts w:cstheme="minorHAnsi"/>
          <w:shd w:val="clear" w:color="auto" w:fill="FFFFFF"/>
        </w:rPr>
        <w:t>distracted</w:t>
      </w:r>
      <w:r w:rsidR="00376060">
        <w:rPr>
          <w:rFonts w:cstheme="minorHAnsi"/>
          <w:shd w:val="clear" w:color="auto" w:fill="FFFFFF"/>
        </w:rPr>
        <w:t xml:space="preserve"> attention from </w:t>
      </w:r>
      <w:r w:rsidR="003D696C">
        <w:rPr>
          <w:rFonts w:cstheme="minorHAnsi"/>
          <w:shd w:val="clear" w:color="auto" w:fill="FFFFFF"/>
        </w:rPr>
        <w:t xml:space="preserve">the need for </w:t>
      </w:r>
      <w:r w:rsidR="00376060">
        <w:rPr>
          <w:rFonts w:cstheme="minorHAnsi"/>
          <w:shd w:val="clear" w:color="auto" w:fill="FFFFFF"/>
        </w:rPr>
        <w:t>individual</w:t>
      </w:r>
      <w:r w:rsidR="003D696C">
        <w:rPr>
          <w:rFonts w:cstheme="minorHAnsi"/>
          <w:shd w:val="clear" w:color="auto" w:fill="FFFFFF"/>
        </w:rPr>
        <w:t>s</w:t>
      </w:r>
      <w:r w:rsidR="00376060">
        <w:rPr>
          <w:rFonts w:cstheme="minorHAnsi"/>
          <w:shd w:val="clear" w:color="auto" w:fill="FFFFFF"/>
        </w:rPr>
        <w:t xml:space="preserve"> to avoid infection</w:t>
      </w:r>
      <w:r w:rsidR="00F43EF0">
        <w:rPr>
          <w:rFonts w:cstheme="minorHAnsi"/>
          <w:shd w:val="clear" w:color="auto" w:fill="FFFFFF"/>
        </w:rPr>
        <w:t xml:space="preserve"> </w:t>
      </w:r>
      <w:r w:rsidR="00376060">
        <w:rPr>
          <w:rFonts w:cstheme="minorHAnsi"/>
          <w:shd w:val="clear" w:color="auto" w:fill="FFFFFF"/>
        </w:rPr>
        <w:t>–</w:t>
      </w:r>
      <w:r w:rsidR="00F43EF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‘everyone </w:t>
      </w:r>
      <w:r w:rsidR="000F4E27">
        <w:rPr>
          <w:rFonts w:cstheme="minorHAnsi"/>
          <w:shd w:val="clear" w:color="auto" w:fill="FFFFFF"/>
        </w:rPr>
        <w:t>stays</w:t>
      </w:r>
      <w:r>
        <w:rPr>
          <w:rFonts w:cstheme="minorHAnsi"/>
          <w:shd w:val="clear" w:color="auto" w:fill="FFFFFF"/>
        </w:rPr>
        <w:t xml:space="preserve"> home so I can go out’.  </w:t>
      </w:r>
      <w:r w:rsidR="00F25E72">
        <w:rPr>
          <w:rFonts w:cstheme="minorHAnsi"/>
          <w:shd w:val="clear" w:color="auto" w:fill="FFFFFF"/>
        </w:rPr>
        <w:t>Arguably</w:t>
      </w:r>
      <w:r>
        <w:rPr>
          <w:rFonts w:cstheme="minorHAnsi"/>
          <w:shd w:val="clear" w:color="auto" w:fill="FFFFFF"/>
        </w:rPr>
        <w:t xml:space="preserve"> th</w:t>
      </w:r>
      <w:r w:rsidR="00397767">
        <w:rPr>
          <w:rFonts w:cstheme="minorHAnsi"/>
          <w:shd w:val="clear" w:color="auto" w:fill="FFFFFF"/>
        </w:rPr>
        <w:t>is led to</w:t>
      </w:r>
      <w:r>
        <w:rPr>
          <w:rFonts w:cstheme="minorHAnsi"/>
          <w:shd w:val="clear" w:color="auto" w:fill="FFFFFF"/>
        </w:rPr>
        <w:t xml:space="preserve"> a</w:t>
      </w:r>
      <w:r w:rsidR="00B13B05">
        <w:rPr>
          <w:rFonts w:cstheme="minorHAnsi"/>
          <w:shd w:val="clear" w:color="auto" w:fill="FFFFFF"/>
        </w:rPr>
        <w:t xml:space="preserve"> false </w:t>
      </w:r>
      <w:r>
        <w:rPr>
          <w:rFonts w:cstheme="minorHAnsi"/>
          <w:shd w:val="clear" w:color="auto" w:fill="FFFFFF"/>
        </w:rPr>
        <w:t>expectation</w:t>
      </w:r>
      <w:r w:rsidR="00F25E72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community </w:t>
      </w:r>
      <w:r w:rsidR="00376060">
        <w:rPr>
          <w:rFonts w:cstheme="minorHAnsi"/>
          <w:shd w:val="clear" w:color="auto" w:fill="FFFFFF"/>
        </w:rPr>
        <w:t xml:space="preserve">wide measures </w:t>
      </w:r>
      <w:r w:rsidR="00F25E72">
        <w:rPr>
          <w:rFonts w:cstheme="minorHAnsi"/>
          <w:shd w:val="clear" w:color="auto" w:fill="FFFFFF"/>
        </w:rPr>
        <w:t>c</w:t>
      </w:r>
      <w:r>
        <w:rPr>
          <w:rFonts w:cstheme="minorHAnsi"/>
          <w:shd w:val="clear" w:color="auto" w:fill="FFFFFF"/>
        </w:rPr>
        <w:t xml:space="preserve">ould adequately reduce risk </w:t>
      </w:r>
      <w:r w:rsidR="00397767">
        <w:rPr>
          <w:rFonts w:cstheme="minorHAnsi"/>
          <w:shd w:val="clear" w:color="auto" w:fill="FFFFFF"/>
        </w:rPr>
        <w:t>to the aged and vulnerable</w:t>
      </w:r>
      <w:r>
        <w:rPr>
          <w:rFonts w:cstheme="minorHAnsi"/>
          <w:shd w:val="clear" w:color="auto" w:fill="FFFFFF"/>
        </w:rPr>
        <w:t xml:space="preserve">.  </w:t>
      </w:r>
    </w:p>
    <w:p w14:paraId="1DBDAC99" w14:textId="5670CB0D" w:rsidR="009717CF" w:rsidRDefault="00FF6DE3" w:rsidP="000B0318">
      <w:pPr>
        <w:pStyle w:val="Heading3"/>
        <w:spacing w:before="0" w:line="240" w:lineRule="auto"/>
        <w:rPr>
          <w:shd w:val="clear" w:color="auto" w:fill="FFFFFF"/>
        </w:rPr>
      </w:pPr>
      <w:bookmarkStart w:id="9" w:name="_Toc48224237"/>
      <w:r>
        <w:rPr>
          <w:shd w:val="clear" w:color="auto" w:fill="FFFFFF"/>
        </w:rPr>
        <w:lastRenderedPageBreak/>
        <w:t>D</w:t>
      </w:r>
      <w:r w:rsidR="009717CF">
        <w:rPr>
          <w:shd w:val="clear" w:color="auto" w:fill="FFFFFF"/>
        </w:rPr>
        <w:t>ecision making</w:t>
      </w:r>
      <w:bookmarkEnd w:id="9"/>
    </w:p>
    <w:p w14:paraId="083179EA" w14:textId="3E9CFDEE" w:rsidR="009717CF" w:rsidRDefault="009717CF" w:rsidP="000B0318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Governments </w:t>
      </w:r>
      <w:r w:rsidR="00F25E72">
        <w:rPr>
          <w:shd w:val="clear" w:color="auto" w:fill="FFFFFF"/>
        </w:rPr>
        <w:t>continued to</w:t>
      </w:r>
      <w:r>
        <w:rPr>
          <w:shd w:val="clear" w:color="auto" w:fill="FFFFFF"/>
        </w:rPr>
        <w:t xml:space="preserve"> act without direct Parliamentary supervision.  </w:t>
      </w:r>
      <w:r w:rsidR="00F25E72">
        <w:rPr>
          <w:shd w:val="clear" w:color="auto" w:fill="FFFFFF"/>
        </w:rPr>
        <w:t>S</w:t>
      </w:r>
      <w:r w:rsidR="00B13B05">
        <w:rPr>
          <w:shd w:val="clear" w:color="auto" w:fill="FFFFFF"/>
        </w:rPr>
        <w:t>ome</w:t>
      </w:r>
      <w:r>
        <w:rPr>
          <w:shd w:val="clear" w:color="auto" w:fill="FFFFFF"/>
        </w:rPr>
        <w:t xml:space="preserve"> Parliaments established inquiries into Government responses to Covid</w:t>
      </w:r>
      <w:r w:rsidR="00B13B05">
        <w:rPr>
          <w:shd w:val="clear" w:color="auto" w:fill="FFFFFF"/>
        </w:rPr>
        <w:t>.</w:t>
      </w:r>
    </w:p>
    <w:p w14:paraId="27C65BEB" w14:textId="77777777" w:rsidR="008225A4" w:rsidRDefault="008225A4" w:rsidP="000B0318">
      <w:pPr>
        <w:spacing w:after="0" w:line="240" w:lineRule="auto"/>
        <w:rPr>
          <w:shd w:val="clear" w:color="auto" w:fill="FFFFFF"/>
        </w:rPr>
      </w:pPr>
    </w:p>
    <w:p w14:paraId="6D1EAF24" w14:textId="1084ACFB" w:rsidR="009717CF" w:rsidRDefault="009717CF" w:rsidP="000B0318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1C1DF7">
        <w:rPr>
          <w:shd w:val="clear" w:color="auto" w:fill="FFFFFF"/>
        </w:rPr>
        <w:t>T</w:t>
      </w:r>
      <w:r>
        <w:rPr>
          <w:shd w:val="clear" w:color="auto" w:fill="FFFFFF"/>
        </w:rPr>
        <w:t>able indicat</w:t>
      </w:r>
      <w:r w:rsidR="00F25E72">
        <w:rPr>
          <w:shd w:val="clear" w:color="auto" w:fill="FFFFFF"/>
        </w:rPr>
        <w:t>es</w:t>
      </w:r>
      <w:r>
        <w:rPr>
          <w:shd w:val="clear" w:color="auto" w:fill="FFFFFF"/>
        </w:rPr>
        <w:t xml:space="preserve"> those formally </w:t>
      </w:r>
      <w:r w:rsidR="001C1DF7">
        <w:rPr>
          <w:shd w:val="clear" w:color="auto" w:fill="FFFFFF"/>
        </w:rPr>
        <w:t xml:space="preserve">responsible for </w:t>
      </w:r>
      <w:r w:rsidR="00B13B05">
        <w:rPr>
          <w:shd w:val="clear" w:color="auto" w:fill="FFFFFF"/>
        </w:rPr>
        <w:t>restrictions on the public</w:t>
      </w:r>
      <w:r>
        <w:rPr>
          <w:shd w:val="clear" w:color="auto" w:fill="FFFFFF"/>
        </w:rPr>
        <w:t>.</w:t>
      </w:r>
    </w:p>
    <w:p w14:paraId="4CECD666" w14:textId="77777777" w:rsidR="000B0318" w:rsidRDefault="000B0318" w:rsidP="000B0318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594"/>
        <w:gridCol w:w="4395"/>
        <w:gridCol w:w="1275"/>
      </w:tblGrid>
      <w:tr w:rsidR="009717CF" w14:paraId="1EC4500B" w14:textId="77777777" w:rsidTr="004114E0">
        <w:tc>
          <w:tcPr>
            <w:tcW w:w="1803" w:type="dxa"/>
          </w:tcPr>
          <w:p w14:paraId="0F73A653" w14:textId="77777777" w:rsidR="009717CF" w:rsidRPr="00C402CE" w:rsidRDefault="009717CF" w:rsidP="000B0318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402CE">
              <w:rPr>
                <w:b/>
                <w:bCs/>
                <w:sz w:val="20"/>
                <w:szCs w:val="20"/>
                <w:shd w:val="clear" w:color="auto" w:fill="FFFFFF"/>
              </w:rPr>
              <w:t>Jurisdiction</w:t>
            </w:r>
          </w:p>
        </w:tc>
        <w:tc>
          <w:tcPr>
            <w:tcW w:w="1594" w:type="dxa"/>
          </w:tcPr>
          <w:p w14:paraId="62C07F0A" w14:textId="77777777" w:rsidR="009717CF" w:rsidRPr="00C402CE" w:rsidRDefault="009717CF" w:rsidP="000B0318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</w:t>
            </w:r>
            <w:r w:rsidRPr="00C402CE">
              <w:rPr>
                <w:b/>
                <w:bCs/>
                <w:sz w:val="20"/>
                <w:szCs w:val="20"/>
                <w:shd w:val="clear" w:color="auto" w:fill="FFFFFF"/>
              </w:rPr>
              <w:t>mergency declaration</w:t>
            </w:r>
          </w:p>
        </w:tc>
        <w:tc>
          <w:tcPr>
            <w:tcW w:w="4395" w:type="dxa"/>
          </w:tcPr>
          <w:p w14:paraId="0DD68804" w14:textId="77777777" w:rsidR="009717CF" w:rsidRPr="00C402CE" w:rsidRDefault="009717CF" w:rsidP="000B0318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State b</w:t>
            </w:r>
            <w:r w:rsidRPr="00C402CE">
              <w:rPr>
                <w:b/>
                <w:bCs/>
                <w:sz w:val="20"/>
                <w:szCs w:val="20"/>
                <w:shd w:val="clear" w:color="auto" w:fill="FFFFFF"/>
              </w:rPr>
              <w:t>order closure/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personal </w:t>
            </w:r>
            <w:r w:rsidRPr="00C402CE">
              <w:rPr>
                <w:b/>
                <w:bCs/>
                <w:sz w:val="20"/>
                <w:szCs w:val="20"/>
                <w:shd w:val="clear" w:color="auto" w:fill="FFFFFF"/>
              </w:rPr>
              <w:t>restriction</w:t>
            </w:r>
          </w:p>
        </w:tc>
        <w:tc>
          <w:tcPr>
            <w:tcW w:w="1275" w:type="dxa"/>
          </w:tcPr>
          <w:p w14:paraId="7A2CABB6" w14:textId="77777777" w:rsidR="009717CF" w:rsidRPr="00C402CE" w:rsidRDefault="009717CF" w:rsidP="000B0318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402CE">
              <w:rPr>
                <w:b/>
                <w:bCs/>
                <w:sz w:val="20"/>
                <w:szCs w:val="20"/>
                <w:shd w:val="clear" w:color="auto" w:fill="FFFFFF"/>
              </w:rPr>
              <w:t>Government level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(a)</w:t>
            </w:r>
          </w:p>
        </w:tc>
      </w:tr>
      <w:tr w:rsidR="009717CF" w14:paraId="550D6BCA" w14:textId="77777777" w:rsidTr="004114E0">
        <w:tc>
          <w:tcPr>
            <w:tcW w:w="1803" w:type="dxa"/>
          </w:tcPr>
          <w:p w14:paraId="6C3F7143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Commonwealth</w:t>
            </w:r>
          </w:p>
        </w:tc>
        <w:tc>
          <w:tcPr>
            <w:tcW w:w="1594" w:type="dxa"/>
          </w:tcPr>
          <w:p w14:paraId="58E90B2E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Minister</w:t>
            </w:r>
          </w:p>
        </w:tc>
        <w:tc>
          <w:tcPr>
            <w:tcW w:w="4395" w:type="dxa"/>
          </w:tcPr>
          <w:p w14:paraId="7F5EB6A7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Minister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14:paraId="6F9227CA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9717CF" w14:paraId="5F0C4929" w14:textId="77777777" w:rsidTr="004114E0">
        <w:tc>
          <w:tcPr>
            <w:tcW w:w="1803" w:type="dxa"/>
          </w:tcPr>
          <w:p w14:paraId="7EED0483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NSW</w:t>
            </w:r>
          </w:p>
        </w:tc>
        <w:tc>
          <w:tcPr>
            <w:tcW w:w="1594" w:type="dxa"/>
          </w:tcPr>
          <w:p w14:paraId="65D31783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Minister</w:t>
            </w:r>
          </w:p>
        </w:tc>
        <w:tc>
          <w:tcPr>
            <w:tcW w:w="4395" w:type="dxa"/>
          </w:tcPr>
          <w:p w14:paraId="6E39FB97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Minister</w:t>
            </w:r>
          </w:p>
        </w:tc>
        <w:tc>
          <w:tcPr>
            <w:tcW w:w="1275" w:type="dxa"/>
          </w:tcPr>
          <w:p w14:paraId="4175CB7D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9717CF" w14:paraId="004F8FDE" w14:textId="77777777" w:rsidTr="004114E0">
        <w:tc>
          <w:tcPr>
            <w:tcW w:w="1803" w:type="dxa"/>
          </w:tcPr>
          <w:p w14:paraId="755F800F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Victoria</w:t>
            </w:r>
          </w:p>
        </w:tc>
        <w:tc>
          <w:tcPr>
            <w:tcW w:w="1594" w:type="dxa"/>
          </w:tcPr>
          <w:p w14:paraId="6BC0BB4E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Minister</w:t>
            </w:r>
          </w:p>
        </w:tc>
        <w:tc>
          <w:tcPr>
            <w:tcW w:w="4395" w:type="dxa"/>
          </w:tcPr>
          <w:p w14:paraId="5BDE82EA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Chief Health Officer</w:t>
            </w:r>
            <w:r>
              <w:rPr>
                <w:sz w:val="20"/>
                <w:szCs w:val="20"/>
                <w:shd w:val="clear" w:color="auto" w:fill="FFFFFF"/>
              </w:rPr>
              <w:t>/Public Health Commander (b)</w:t>
            </w:r>
          </w:p>
        </w:tc>
        <w:tc>
          <w:tcPr>
            <w:tcW w:w="1275" w:type="dxa"/>
          </w:tcPr>
          <w:p w14:paraId="02513449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4/</w:t>
            </w:r>
            <w:r w:rsidRPr="00C402CE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9717CF" w14:paraId="6AECF644" w14:textId="77777777" w:rsidTr="004114E0">
        <w:tc>
          <w:tcPr>
            <w:tcW w:w="1803" w:type="dxa"/>
          </w:tcPr>
          <w:p w14:paraId="074EE5BC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Queensland</w:t>
            </w:r>
          </w:p>
        </w:tc>
        <w:tc>
          <w:tcPr>
            <w:tcW w:w="1594" w:type="dxa"/>
          </w:tcPr>
          <w:p w14:paraId="78D01C9A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Minister</w:t>
            </w:r>
          </w:p>
        </w:tc>
        <w:tc>
          <w:tcPr>
            <w:tcW w:w="4395" w:type="dxa"/>
          </w:tcPr>
          <w:p w14:paraId="62E6428E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Chief Health Officer</w:t>
            </w:r>
          </w:p>
        </w:tc>
        <w:tc>
          <w:tcPr>
            <w:tcW w:w="1275" w:type="dxa"/>
          </w:tcPr>
          <w:p w14:paraId="36941B6D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9717CF" w14:paraId="757F9617" w14:textId="77777777" w:rsidTr="004114E0">
        <w:tc>
          <w:tcPr>
            <w:tcW w:w="1803" w:type="dxa"/>
          </w:tcPr>
          <w:p w14:paraId="1FB08E75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Western Australia</w:t>
            </w:r>
          </w:p>
        </w:tc>
        <w:tc>
          <w:tcPr>
            <w:tcW w:w="1594" w:type="dxa"/>
          </w:tcPr>
          <w:p w14:paraId="5355ECCE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Minister</w:t>
            </w:r>
          </w:p>
        </w:tc>
        <w:tc>
          <w:tcPr>
            <w:tcW w:w="4395" w:type="dxa"/>
          </w:tcPr>
          <w:p w14:paraId="226A6D8F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Emerge</w:t>
            </w:r>
            <w:r>
              <w:rPr>
                <w:sz w:val="20"/>
                <w:szCs w:val="20"/>
                <w:shd w:val="clear" w:color="auto" w:fill="FFFFFF"/>
              </w:rPr>
              <w:t>n</w:t>
            </w:r>
            <w:r w:rsidRPr="00C402CE">
              <w:rPr>
                <w:sz w:val="20"/>
                <w:szCs w:val="20"/>
                <w:shd w:val="clear" w:color="auto" w:fill="FFFFFF"/>
              </w:rPr>
              <w:t>cy Service</w:t>
            </w:r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C402CE">
              <w:rPr>
                <w:sz w:val="20"/>
                <w:szCs w:val="20"/>
                <w:shd w:val="clear" w:color="auto" w:fill="FFFFFF"/>
              </w:rPr>
              <w:t>Police Commissioner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67F9CECE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9717CF" w14:paraId="3AA8471B" w14:textId="77777777" w:rsidTr="004114E0">
        <w:tc>
          <w:tcPr>
            <w:tcW w:w="1803" w:type="dxa"/>
          </w:tcPr>
          <w:p w14:paraId="3AADE7B8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South Australia</w:t>
            </w:r>
          </w:p>
        </w:tc>
        <w:tc>
          <w:tcPr>
            <w:tcW w:w="1594" w:type="dxa"/>
          </w:tcPr>
          <w:p w14:paraId="3C9F3EF5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Governor</w:t>
            </w:r>
          </w:p>
        </w:tc>
        <w:tc>
          <w:tcPr>
            <w:tcW w:w="4395" w:type="dxa"/>
          </w:tcPr>
          <w:p w14:paraId="443F10EC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State Coordinator</w:t>
            </w:r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C402CE">
              <w:rPr>
                <w:sz w:val="20"/>
                <w:szCs w:val="20"/>
                <w:shd w:val="clear" w:color="auto" w:fill="FFFFFF"/>
              </w:rPr>
              <w:t>Police Commissioner</w:t>
            </w:r>
            <w:r>
              <w:rPr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1275" w:type="dxa"/>
          </w:tcPr>
          <w:p w14:paraId="4279185C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9717CF" w14:paraId="45535833" w14:textId="77777777" w:rsidTr="004114E0">
        <w:tc>
          <w:tcPr>
            <w:tcW w:w="1803" w:type="dxa"/>
          </w:tcPr>
          <w:p w14:paraId="64BCADCC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Tasmania</w:t>
            </w:r>
          </w:p>
        </w:tc>
        <w:tc>
          <w:tcPr>
            <w:tcW w:w="1594" w:type="dxa"/>
          </w:tcPr>
          <w:p w14:paraId="356466E4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Premier</w:t>
            </w:r>
          </w:p>
        </w:tc>
        <w:tc>
          <w:tcPr>
            <w:tcW w:w="4395" w:type="dxa"/>
          </w:tcPr>
          <w:p w14:paraId="67CC155D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Commissioner of Police</w:t>
            </w:r>
            <w:r>
              <w:rPr>
                <w:sz w:val="20"/>
                <w:szCs w:val="20"/>
                <w:shd w:val="clear" w:color="auto" w:fill="FFFFFF"/>
              </w:rPr>
              <w:t xml:space="preserve">.  </w:t>
            </w:r>
            <w:r w:rsidRPr="00C402CE">
              <w:rPr>
                <w:sz w:val="20"/>
                <w:szCs w:val="20"/>
                <w:shd w:val="clear" w:color="auto" w:fill="FFFFFF"/>
              </w:rPr>
              <w:t>D</w:t>
            </w:r>
            <w:r>
              <w:rPr>
                <w:sz w:val="20"/>
                <w:szCs w:val="20"/>
                <w:shd w:val="clear" w:color="auto" w:fill="FFFFFF"/>
              </w:rPr>
              <w:t>irector Public Health (b)</w:t>
            </w:r>
            <w:r w:rsidRPr="00C402CE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5" w:type="dxa"/>
          </w:tcPr>
          <w:p w14:paraId="1B5C7724" w14:textId="77777777" w:rsidR="009717CF" w:rsidRPr="00C402CE" w:rsidRDefault="009717CF" w:rsidP="000B0318">
            <w:pPr>
              <w:rPr>
                <w:sz w:val="20"/>
                <w:szCs w:val="20"/>
                <w:shd w:val="clear" w:color="auto" w:fill="FFFFFF"/>
              </w:rPr>
            </w:pPr>
            <w:r w:rsidRPr="00C402CE"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>. 4</w:t>
            </w:r>
          </w:p>
        </w:tc>
      </w:tr>
    </w:tbl>
    <w:p w14:paraId="296B783E" w14:textId="77777777" w:rsidR="009717CF" w:rsidRDefault="009717CF" w:rsidP="000B0318">
      <w:pPr>
        <w:spacing w:after="0" w:line="240" w:lineRule="auto"/>
        <w:rPr>
          <w:sz w:val="16"/>
          <w:szCs w:val="16"/>
        </w:rPr>
      </w:pPr>
      <w:r w:rsidRPr="0003759D">
        <w:rPr>
          <w:sz w:val="16"/>
          <w:szCs w:val="16"/>
        </w:rPr>
        <w:t>a.</w:t>
      </w:r>
      <w:r>
        <w:rPr>
          <w:sz w:val="16"/>
          <w:szCs w:val="16"/>
        </w:rPr>
        <w:t xml:space="preserve">  Level of seniority, rather than legislative delegation: Minister = 1, Departmental Secretary = 2, Deputy Secretary = 3, ‘Reports’ to Deputy Secretary = 4, Deputy to 4 = 5.</w:t>
      </w:r>
    </w:p>
    <w:p w14:paraId="1AF0A297" w14:textId="0AC6C528" w:rsidR="009717CF" w:rsidRDefault="009717CF" w:rsidP="000B03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b.  Has not made decision to close State border.</w:t>
      </w:r>
    </w:p>
    <w:p w14:paraId="068636DF" w14:textId="77777777" w:rsidR="00FF6DE3" w:rsidRPr="0003759D" w:rsidRDefault="00FF6DE3" w:rsidP="000B0318">
      <w:pPr>
        <w:spacing w:after="0" w:line="240" w:lineRule="auto"/>
        <w:rPr>
          <w:sz w:val="16"/>
          <w:szCs w:val="16"/>
        </w:rPr>
      </w:pPr>
    </w:p>
    <w:p w14:paraId="0DB2C85B" w14:textId="77777777" w:rsidR="000B0318" w:rsidRDefault="003D696C" w:rsidP="000B0318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T</w:t>
      </w:r>
      <w:r w:rsidR="00B13B05">
        <w:rPr>
          <w:shd w:val="clear" w:color="auto" w:fill="FFFFFF"/>
        </w:rPr>
        <w:t xml:space="preserve">he </w:t>
      </w:r>
      <w:r w:rsidR="009717CF">
        <w:rPr>
          <w:shd w:val="clear" w:color="auto" w:fill="FFFFFF"/>
        </w:rPr>
        <w:t xml:space="preserve">reason for legislative delegation </w:t>
      </w:r>
      <w:r w:rsidR="00B13B05">
        <w:rPr>
          <w:shd w:val="clear" w:color="auto" w:fill="FFFFFF"/>
        </w:rPr>
        <w:t xml:space="preserve">- </w:t>
      </w:r>
      <w:r w:rsidR="009717CF">
        <w:rPr>
          <w:shd w:val="clear" w:color="auto" w:fill="FFFFFF"/>
        </w:rPr>
        <w:t xml:space="preserve">to </w:t>
      </w:r>
      <w:r w:rsidR="00B13B05">
        <w:rPr>
          <w:shd w:val="clear" w:color="auto" w:fill="FFFFFF"/>
        </w:rPr>
        <w:t xml:space="preserve">allow fast </w:t>
      </w:r>
      <w:r w:rsidR="009717CF">
        <w:rPr>
          <w:shd w:val="clear" w:color="auto" w:fill="FFFFFF"/>
        </w:rPr>
        <w:t xml:space="preserve">responses </w:t>
      </w:r>
      <w:r w:rsidR="00B13B05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no longer </w:t>
      </w:r>
      <w:r w:rsidR="00B13B05">
        <w:rPr>
          <w:shd w:val="clear" w:color="auto" w:fill="FFFFFF"/>
        </w:rPr>
        <w:t xml:space="preserve">applies to counter-Covid measures.  </w:t>
      </w:r>
      <w:r w:rsidR="009717CF">
        <w:rPr>
          <w:shd w:val="clear" w:color="auto" w:fill="FFFFFF"/>
        </w:rPr>
        <w:t xml:space="preserve">Covid problems can no longer be called ‘unexpected’.  </w:t>
      </w:r>
      <w:r w:rsidR="00047F54">
        <w:rPr>
          <w:shd w:val="clear" w:color="auto" w:fill="FFFFFF"/>
        </w:rPr>
        <w:t xml:space="preserve">In most cases immediate action has neither been necessary nor undertaken, demonstrated by the frequent practice of a Premier announcing a measure to take effect in several days-time. </w:t>
      </w:r>
    </w:p>
    <w:p w14:paraId="534CC1A4" w14:textId="77777777" w:rsidR="000B0318" w:rsidRDefault="000B0318" w:rsidP="000B0318">
      <w:pPr>
        <w:spacing w:after="0" w:line="240" w:lineRule="auto"/>
        <w:rPr>
          <w:shd w:val="clear" w:color="auto" w:fill="FFFFFF"/>
        </w:rPr>
      </w:pPr>
    </w:p>
    <w:p w14:paraId="46F024C2" w14:textId="4872EC60" w:rsidR="009717CF" w:rsidRDefault="009717CF" w:rsidP="000B0318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Many directions and orders entail severe restrictions on freedom, </w:t>
      </w:r>
      <w:r w:rsidR="00047F54">
        <w:rPr>
          <w:shd w:val="clear" w:color="auto" w:fill="FFFFFF"/>
        </w:rPr>
        <w:t xml:space="preserve">analogous to </w:t>
      </w:r>
      <w:r>
        <w:rPr>
          <w:shd w:val="clear" w:color="auto" w:fill="FFFFFF"/>
        </w:rPr>
        <w:t xml:space="preserve">actions </w:t>
      </w:r>
      <w:r w:rsidR="00FF6DE3">
        <w:rPr>
          <w:shd w:val="clear" w:color="auto" w:fill="FFFFFF"/>
        </w:rPr>
        <w:t>r</w:t>
      </w:r>
      <w:r>
        <w:rPr>
          <w:shd w:val="clear" w:color="auto" w:fill="FFFFFF"/>
        </w:rPr>
        <w:t>equiring explicit Parliamentary authorisation.  The</w:t>
      </w:r>
      <w:r w:rsidR="00B13B05">
        <w:rPr>
          <w:shd w:val="clear" w:color="auto" w:fill="FFFFFF"/>
        </w:rPr>
        <w:t xml:space="preserve">re is no good reason for delegation of </w:t>
      </w:r>
      <w:r w:rsidR="000B0318">
        <w:rPr>
          <w:shd w:val="clear" w:color="auto" w:fill="FFFFFF"/>
        </w:rPr>
        <w:t xml:space="preserve">such </w:t>
      </w:r>
      <w:r w:rsidR="00B13B05">
        <w:rPr>
          <w:shd w:val="clear" w:color="auto" w:fill="FFFFFF"/>
        </w:rPr>
        <w:t>decision</w:t>
      </w:r>
      <w:r w:rsidR="000B0318">
        <w:rPr>
          <w:shd w:val="clear" w:color="auto" w:fill="FFFFFF"/>
        </w:rPr>
        <w:t>s</w:t>
      </w:r>
      <w:r w:rsidR="00B13B05">
        <w:rPr>
          <w:shd w:val="clear" w:color="auto" w:fill="FFFFFF"/>
        </w:rPr>
        <w:t xml:space="preserve"> to Officials. </w:t>
      </w:r>
      <w:r w:rsidR="000B0318">
        <w:rPr>
          <w:shd w:val="clear" w:color="auto" w:fill="FFFFFF"/>
        </w:rPr>
        <w:t xml:space="preserve"> </w:t>
      </w:r>
      <w:r w:rsidR="00B13B05">
        <w:rPr>
          <w:shd w:val="clear" w:color="auto" w:fill="FFFFFF"/>
        </w:rPr>
        <w:t xml:space="preserve">Where there </w:t>
      </w:r>
      <w:r w:rsidR="000B0318">
        <w:rPr>
          <w:shd w:val="clear" w:color="auto" w:fill="FFFFFF"/>
        </w:rPr>
        <w:t>are</w:t>
      </w:r>
      <w:r w:rsidR="00B13B05">
        <w:rPr>
          <w:shd w:val="clear" w:color="auto" w:fill="FFFFFF"/>
        </w:rPr>
        <w:t xml:space="preserve"> such delegations, prior </w:t>
      </w:r>
      <w:r>
        <w:rPr>
          <w:shd w:val="clear" w:color="auto" w:fill="FFFFFF"/>
        </w:rPr>
        <w:t xml:space="preserve">announcements of measures by Premiers </w:t>
      </w:r>
      <w:r w:rsidR="00B13B05">
        <w:rPr>
          <w:shd w:val="clear" w:color="auto" w:fill="FFFFFF"/>
        </w:rPr>
        <w:t>are</w:t>
      </w:r>
      <w:r>
        <w:rPr>
          <w:shd w:val="clear" w:color="auto" w:fill="FFFFFF"/>
        </w:rPr>
        <w:t xml:space="preserve"> problematic.  </w:t>
      </w:r>
      <w:r w:rsidR="00B13B05">
        <w:rPr>
          <w:shd w:val="clear" w:color="auto" w:fill="FFFFFF"/>
        </w:rPr>
        <w:t>In any event</w:t>
      </w:r>
      <w:r w:rsidR="003D696C">
        <w:rPr>
          <w:shd w:val="clear" w:color="auto" w:fill="FFFFFF"/>
        </w:rPr>
        <w:t>,</w:t>
      </w:r>
      <w:r w:rsidR="00B13B05">
        <w:rPr>
          <w:shd w:val="clear" w:color="auto" w:fill="FFFFFF"/>
        </w:rPr>
        <w:t xml:space="preserve"> </w:t>
      </w:r>
      <w:r w:rsidR="000B0318">
        <w:rPr>
          <w:shd w:val="clear" w:color="auto" w:fill="FFFFFF"/>
        </w:rPr>
        <w:t xml:space="preserve">some </w:t>
      </w:r>
      <w:r w:rsidR="00B13B05">
        <w:rPr>
          <w:shd w:val="clear" w:color="auto" w:fill="FFFFFF"/>
        </w:rPr>
        <w:t>delegations</w:t>
      </w:r>
      <w:r w:rsidR="000B0318">
        <w:rPr>
          <w:shd w:val="clear" w:color="auto" w:fill="FFFFFF"/>
        </w:rPr>
        <w:t xml:space="preserve"> </w:t>
      </w:r>
      <w:r w:rsidR="00B13B05">
        <w:rPr>
          <w:shd w:val="clear" w:color="auto" w:fill="FFFFFF"/>
        </w:rPr>
        <w:t>are inappropriate</w:t>
      </w:r>
      <w:r w:rsidR="00225A0C">
        <w:rPr>
          <w:shd w:val="clear" w:color="auto" w:fill="FFFFFF"/>
        </w:rPr>
        <w:t xml:space="preserve">: </w:t>
      </w:r>
      <w:r w:rsidR="00B13B05">
        <w:rPr>
          <w:shd w:val="clear" w:color="auto" w:fill="FFFFFF"/>
        </w:rPr>
        <w:t>to people with law enforcement responsibilities</w:t>
      </w:r>
      <w:r w:rsidR="00225A0C">
        <w:rPr>
          <w:shd w:val="clear" w:color="auto" w:fill="FFFFFF"/>
        </w:rPr>
        <w:t>;</w:t>
      </w:r>
      <w:r w:rsidR="00B13B05">
        <w:rPr>
          <w:shd w:val="clear" w:color="auto" w:fill="FFFFFF"/>
        </w:rPr>
        <w:t xml:space="preserve"> to positions which may lack </w:t>
      </w:r>
      <w:r w:rsidR="00047F54">
        <w:rPr>
          <w:shd w:val="clear" w:color="auto" w:fill="FFFFFF"/>
        </w:rPr>
        <w:t xml:space="preserve">perceived </w:t>
      </w:r>
      <w:r w:rsidR="00B13B05">
        <w:rPr>
          <w:shd w:val="clear" w:color="auto" w:fill="FFFFFF"/>
        </w:rPr>
        <w:t xml:space="preserve">authority </w:t>
      </w:r>
      <w:r w:rsidR="00C51DEF">
        <w:rPr>
          <w:shd w:val="clear" w:color="auto" w:fill="FFFFFF"/>
        </w:rPr>
        <w:t>within the bureaucracy.</w:t>
      </w:r>
    </w:p>
    <w:p w14:paraId="64817135" w14:textId="77777777" w:rsidR="008225A4" w:rsidRDefault="008225A4" w:rsidP="000B0318">
      <w:pPr>
        <w:pStyle w:val="Heading3"/>
        <w:spacing w:before="0" w:line="240" w:lineRule="auto"/>
      </w:pPr>
      <w:bookmarkStart w:id="10" w:name="_Toc48224238"/>
    </w:p>
    <w:p w14:paraId="05BEF1A2" w14:textId="114378E4" w:rsidR="009717CF" w:rsidRDefault="009717CF" w:rsidP="000B0318">
      <w:pPr>
        <w:pStyle w:val="Heading3"/>
        <w:spacing w:before="0" w:line="240" w:lineRule="auto"/>
      </w:pPr>
      <w:r>
        <w:t>National Cabinet</w:t>
      </w:r>
      <w:bookmarkEnd w:id="10"/>
    </w:p>
    <w:p w14:paraId="4D2D8254" w14:textId="5BBB4B20" w:rsidR="009717CF" w:rsidRDefault="00047F54" w:rsidP="000B0318">
      <w:pPr>
        <w:spacing w:after="0" w:line="240" w:lineRule="auto"/>
      </w:pPr>
      <w:r>
        <w:t xml:space="preserve">National Cabinet has </w:t>
      </w:r>
      <w:r w:rsidR="009717CF">
        <w:t>State</w:t>
      </w:r>
      <w:r>
        <w:t>s making</w:t>
      </w:r>
      <w:r w:rsidR="009717CF">
        <w:t xml:space="preserve"> most restrictions on the community.  The Commonwealth is focusing </w:t>
      </w:r>
      <w:r w:rsidR="004114E0">
        <w:t xml:space="preserve">on </w:t>
      </w:r>
      <w:r w:rsidR="009717CF">
        <w:t>mitigating economic damage of restrictions.  It also is providing on-the-ground support for States experiencing difficulties resourcing their restrictions</w:t>
      </w:r>
      <w:r w:rsidR="00C51DEF">
        <w:t>.</w:t>
      </w:r>
      <w:r w:rsidR="009717CF">
        <w:t xml:space="preserve">  On May 8</w:t>
      </w:r>
      <w:r w:rsidR="00E30AE8">
        <w:t>,</w:t>
      </w:r>
      <w:r w:rsidR="009717CF">
        <w:t xml:space="preserve"> National Cabinet </w:t>
      </w:r>
      <w:r>
        <w:t xml:space="preserve">agreed for restrictions to be </w:t>
      </w:r>
      <w:r w:rsidR="009717CF">
        <w:t>gradually remove</w:t>
      </w:r>
      <w:r>
        <w:t>d at different paces i</w:t>
      </w:r>
      <w:r w:rsidR="00C51DEF">
        <w:t>n d</w:t>
      </w:r>
      <w:r w:rsidR="009717CF">
        <w:t>ifferent</w:t>
      </w:r>
      <w:r w:rsidR="00094A4F">
        <w:t xml:space="preserve"> States</w:t>
      </w:r>
      <w:r w:rsidR="009717CF">
        <w:t xml:space="preserve">. </w:t>
      </w:r>
      <w:r>
        <w:t>Nonetheless, d</w:t>
      </w:r>
      <w:r w:rsidR="009717CF">
        <w:t xml:space="preserve">ifferences in opinions of National Cabinet members </w:t>
      </w:r>
      <w:r w:rsidR="000B0318">
        <w:t xml:space="preserve">about restrictions </w:t>
      </w:r>
      <w:r w:rsidR="009717CF">
        <w:t xml:space="preserve">were publicly aired.  </w:t>
      </w:r>
    </w:p>
    <w:p w14:paraId="534FE58D" w14:textId="77777777" w:rsidR="008225A4" w:rsidRDefault="008225A4" w:rsidP="000B0318">
      <w:pPr>
        <w:spacing w:after="0" w:line="240" w:lineRule="auto"/>
      </w:pPr>
    </w:p>
    <w:p w14:paraId="77775EFD" w14:textId="547A5BAD" w:rsidR="009717CF" w:rsidRDefault="009717CF" w:rsidP="000B0318">
      <w:pPr>
        <w:spacing w:after="0" w:line="240" w:lineRule="auto"/>
      </w:pPr>
      <w:r>
        <w:t xml:space="preserve">It may have been thought participation of State Premiers from both major political parties </w:t>
      </w:r>
      <w:r w:rsidR="00C51DEF">
        <w:t xml:space="preserve">in National Cabinet </w:t>
      </w:r>
      <w:r w:rsidR="00E30AE8">
        <w:t>would</w:t>
      </w:r>
      <w:r>
        <w:t xml:space="preserve"> mitigate </w:t>
      </w:r>
      <w:r w:rsidR="00C51DEF">
        <w:t>charges of ‘politicisation’.  H</w:t>
      </w:r>
      <w:r>
        <w:t>owever,</w:t>
      </w:r>
      <w:r w:rsidR="00047F54">
        <w:t xml:space="preserve"> that </w:t>
      </w:r>
      <w:r w:rsidR="000B0318">
        <w:t>is not the case</w:t>
      </w:r>
      <w:r w:rsidR="00047F54">
        <w:t xml:space="preserve">.  </w:t>
      </w:r>
      <w:r w:rsidR="00C51DEF">
        <w:t xml:space="preserve"> Public suspicions </w:t>
      </w:r>
      <w:r w:rsidR="000B0318">
        <w:t>about politic</w:t>
      </w:r>
      <w:r w:rsidR="00397F89">
        <w:t>al motives</w:t>
      </w:r>
      <w:r w:rsidR="000B0318">
        <w:t xml:space="preserve"> </w:t>
      </w:r>
      <w:r w:rsidR="00C51DEF">
        <w:t xml:space="preserve">have been fed by refusal of Governments to seek counsel from Oppositions and failure </w:t>
      </w:r>
      <w:r>
        <w:t>to publish any advice</w:t>
      </w:r>
      <w:r w:rsidR="00C51DEF">
        <w:t xml:space="preserve"> on which they allege their decisions are based. </w:t>
      </w:r>
    </w:p>
    <w:p w14:paraId="42A61149" w14:textId="77777777" w:rsidR="008225A4" w:rsidRDefault="008225A4" w:rsidP="000B0318">
      <w:pPr>
        <w:pStyle w:val="Heading3"/>
        <w:spacing w:before="0" w:line="240" w:lineRule="auto"/>
      </w:pPr>
      <w:bookmarkStart w:id="11" w:name="_Toc48224239"/>
    </w:p>
    <w:p w14:paraId="3984071F" w14:textId="3B262D56" w:rsidR="009717CF" w:rsidRDefault="009717CF" w:rsidP="000B0318">
      <w:pPr>
        <w:pStyle w:val="Heading3"/>
        <w:spacing w:before="0" w:line="240" w:lineRule="auto"/>
      </w:pPr>
      <w:r>
        <w:t>Media campaigns</w:t>
      </w:r>
      <w:bookmarkEnd w:id="11"/>
    </w:p>
    <w:p w14:paraId="493B9318" w14:textId="77777777" w:rsidR="00397F89" w:rsidRDefault="009717CF" w:rsidP="000B0318">
      <w:pPr>
        <w:spacing w:after="0" w:line="240" w:lineRule="auto"/>
      </w:pPr>
      <w:r>
        <w:t>As was the case with the 2019-20 bushfires, media coverage of Covid has been generally hyperbolic and consistently saturating.  Some media extend</w:t>
      </w:r>
      <w:r w:rsidR="00397F89">
        <w:t>ed</w:t>
      </w:r>
      <w:r>
        <w:t xml:space="preserve"> beyond reporting and factual analysis and into </w:t>
      </w:r>
      <w:r w:rsidR="00397F89">
        <w:t xml:space="preserve">appearing to </w:t>
      </w:r>
      <w:r w:rsidR="00655B50">
        <w:t xml:space="preserve">attempt to </w:t>
      </w:r>
      <w:r>
        <w:t>shap</w:t>
      </w:r>
      <w:r w:rsidR="00655B50">
        <w:t>e</w:t>
      </w:r>
      <w:r>
        <w:t xml:space="preserve"> public opinion along ultra-libertarian or crypto-fascist lines.  </w:t>
      </w:r>
    </w:p>
    <w:p w14:paraId="0BE47723" w14:textId="77777777" w:rsidR="00397F89" w:rsidRDefault="00397F89" w:rsidP="000B0318">
      <w:pPr>
        <w:spacing w:after="0" w:line="240" w:lineRule="auto"/>
      </w:pPr>
    </w:p>
    <w:p w14:paraId="3AD3EA45" w14:textId="0D86EAA5" w:rsidR="004114E0" w:rsidRDefault="00225A0C" w:rsidP="000B0318">
      <w:pPr>
        <w:spacing w:after="0" w:line="240" w:lineRule="auto"/>
      </w:pPr>
      <w:r>
        <w:t>R</w:t>
      </w:r>
      <w:r w:rsidR="009717CF">
        <w:t>ival media organisations offered consistent but generally opposing views.  One ran commentary downplay</w:t>
      </w:r>
      <w:r>
        <w:t>ing</w:t>
      </w:r>
      <w:r w:rsidR="009717CF">
        <w:t xml:space="preserve"> direct health threats, doubt</w:t>
      </w:r>
      <w:r>
        <w:t>ing</w:t>
      </w:r>
      <w:r w:rsidR="009717CF">
        <w:t xml:space="preserve"> ‘the science’ of some counter-measures and point</w:t>
      </w:r>
      <w:r>
        <w:t>ing</w:t>
      </w:r>
      <w:r w:rsidR="009717CF">
        <w:t xml:space="preserve"> to economic costs.  The other ran several campaigns for </w:t>
      </w:r>
      <w:r>
        <w:t>harsher restrictions</w:t>
      </w:r>
      <w:r w:rsidR="009717CF">
        <w:t xml:space="preserve"> </w:t>
      </w:r>
      <w:r w:rsidR="00047F54">
        <w:t xml:space="preserve">a </w:t>
      </w:r>
      <w:r w:rsidR="009717CF">
        <w:t xml:space="preserve">characteristic of </w:t>
      </w:r>
      <w:r w:rsidR="00047F54">
        <w:t xml:space="preserve">which was a type of pretence such measures offer a </w:t>
      </w:r>
      <w:r w:rsidR="00655B50">
        <w:t>s</w:t>
      </w:r>
      <w:r w:rsidR="009717CF">
        <w:t>ilver bullet</w:t>
      </w:r>
      <w:r w:rsidR="00655B50">
        <w:t xml:space="preserve">.  </w:t>
      </w:r>
      <w:r w:rsidR="009717CF">
        <w:t xml:space="preserve">  </w:t>
      </w:r>
    </w:p>
    <w:p w14:paraId="4B0043CD" w14:textId="77F1FD93" w:rsidR="009717CF" w:rsidRDefault="009717CF" w:rsidP="000B0318">
      <w:pPr>
        <w:pStyle w:val="Heading2"/>
        <w:spacing w:before="0" w:line="240" w:lineRule="auto"/>
        <w:rPr>
          <w:shd w:val="clear" w:color="auto" w:fill="FFFFFF"/>
        </w:rPr>
      </w:pPr>
      <w:bookmarkStart w:id="12" w:name="_Toc48224240"/>
      <w:bookmarkStart w:id="13" w:name="_Hlk47636190"/>
      <w:r>
        <w:rPr>
          <w:shd w:val="clear" w:color="auto" w:fill="FFFFFF"/>
        </w:rPr>
        <w:lastRenderedPageBreak/>
        <w:t>3.</w:t>
      </w:r>
      <w:r>
        <w:rPr>
          <w:shd w:val="clear" w:color="auto" w:fill="FFFFFF"/>
        </w:rPr>
        <w:tab/>
      </w:r>
      <w:r w:rsidR="00094A4F">
        <w:rPr>
          <w:shd w:val="clear" w:color="auto" w:fill="FFFFFF"/>
        </w:rPr>
        <w:t>U</w:t>
      </w:r>
      <w:r>
        <w:rPr>
          <w:shd w:val="clear" w:color="auto" w:fill="FFFFFF"/>
        </w:rPr>
        <w:t>pdate</w:t>
      </w:r>
      <w:bookmarkEnd w:id="12"/>
      <w:r w:rsidR="00094A4F">
        <w:rPr>
          <w:shd w:val="clear" w:color="auto" w:fill="FFFFFF"/>
        </w:rPr>
        <w:t xml:space="preserve"> of earlier article</w:t>
      </w:r>
    </w:p>
    <w:p w14:paraId="6435FD9E" w14:textId="34D0C046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bookmarkStart w:id="14" w:name="_Toc48224241"/>
      <w:r>
        <w:rPr>
          <w:shd w:val="clear" w:color="auto" w:fill="FFFFFF"/>
        </w:rPr>
        <w:t>Harwin’s case</w:t>
      </w:r>
      <w:bookmarkEnd w:id="14"/>
    </w:p>
    <w:p w14:paraId="433C87DD" w14:textId="6C62B0A0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May article’s illustrations of NSW’s policies included the case of </w:t>
      </w:r>
      <w:r w:rsidR="00F902D4">
        <w:rPr>
          <w:rFonts w:cstheme="minorHAnsi"/>
          <w:shd w:val="clear" w:color="auto" w:fill="FFFFFF"/>
        </w:rPr>
        <w:t xml:space="preserve">the fine issues to </w:t>
      </w:r>
      <w:r>
        <w:rPr>
          <w:rFonts w:cstheme="minorHAnsi"/>
          <w:shd w:val="clear" w:color="auto" w:fill="FFFFFF"/>
        </w:rPr>
        <w:t xml:space="preserve">Cabinet Minister Harwin.  Mr Harwin challenged the fine.  The fine was withdrawn just before the matter was to be heard in court – on 3 July - some </w:t>
      </w:r>
      <w:r w:rsidR="008B4D2C">
        <w:rPr>
          <w:rFonts w:cstheme="minorHAnsi"/>
          <w:shd w:val="clear" w:color="auto" w:fill="FFFFFF"/>
        </w:rPr>
        <w:t>twelve</w:t>
      </w:r>
      <w:r>
        <w:rPr>
          <w:rFonts w:cstheme="minorHAnsi"/>
          <w:shd w:val="clear" w:color="auto" w:fill="FFFFFF"/>
        </w:rPr>
        <w:t xml:space="preserve"> weeks after it was issued.  That day, the Premier announced h</w:t>
      </w:r>
      <w:r w:rsidR="003D696C">
        <w:rPr>
          <w:rFonts w:cstheme="minorHAnsi"/>
          <w:shd w:val="clear" w:color="auto" w:fill="FFFFFF"/>
        </w:rPr>
        <w:t>is reinstatement</w:t>
      </w:r>
      <w:r>
        <w:rPr>
          <w:rFonts w:cstheme="minorHAnsi"/>
          <w:shd w:val="clear" w:color="auto" w:fill="FFFFFF"/>
        </w:rPr>
        <w:t xml:space="preserve"> claiming resignation and reinstatement were ‘appropriate’.</w:t>
      </w:r>
    </w:p>
    <w:p w14:paraId="4A544FC1" w14:textId="77777777" w:rsidR="00F902D4" w:rsidRDefault="00F902D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2C65A94D" w14:textId="2C2E05A5" w:rsidR="009717CF" w:rsidRDefault="00F902D4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 t</w:t>
      </w:r>
      <w:r w:rsidR="009717CF">
        <w:rPr>
          <w:rFonts w:cstheme="minorHAnsi"/>
          <w:shd w:val="clear" w:color="auto" w:fill="FFFFFF"/>
        </w:rPr>
        <w:t xml:space="preserve">he Sydney Morning </w:t>
      </w:r>
      <w:r w:rsidR="00B943C4">
        <w:rPr>
          <w:rFonts w:cstheme="minorHAnsi"/>
          <w:shd w:val="clear" w:color="auto" w:fill="FFFFFF"/>
        </w:rPr>
        <w:t>Herald,</w:t>
      </w:r>
      <w:r w:rsidR="009717CF">
        <w:rPr>
          <w:rFonts w:cstheme="minorHAnsi"/>
          <w:shd w:val="clear" w:color="auto" w:fill="FFFFFF"/>
        </w:rPr>
        <w:t xml:space="preserve"> a criminal barrister </w:t>
      </w:r>
      <w:r w:rsidR="00655B50">
        <w:rPr>
          <w:rFonts w:cstheme="minorHAnsi"/>
          <w:shd w:val="clear" w:color="auto" w:fill="FFFFFF"/>
        </w:rPr>
        <w:t>sa</w:t>
      </w:r>
      <w:r>
        <w:rPr>
          <w:rFonts w:cstheme="minorHAnsi"/>
          <w:shd w:val="clear" w:color="auto" w:fill="FFFFFF"/>
        </w:rPr>
        <w:t>id</w:t>
      </w:r>
      <w:r w:rsidR="00655B50">
        <w:rPr>
          <w:rFonts w:cstheme="minorHAnsi"/>
          <w:shd w:val="clear" w:color="auto" w:fill="FFFFFF"/>
        </w:rPr>
        <w:t xml:space="preserve"> </w:t>
      </w:r>
      <w:r w:rsidR="009717CF">
        <w:rPr>
          <w:rFonts w:cstheme="minorHAnsi"/>
          <w:shd w:val="clear" w:color="auto" w:fill="FFFFFF"/>
        </w:rPr>
        <w:t>it was difficult not to conclude th</w:t>
      </w:r>
      <w:r w:rsidR="00655B50">
        <w:rPr>
          <w:rFonts w:cstheme="minorHAnsi"/>
          <w:shd w:val="clear" w:color="auto" w:fill="FFFFFF"/>
        </w:rPr>
        <w:t xml:space="preserve">e episode </w:t>
      </w:r>
      <w:r w:rsidR="009717CF">
        <w:rPr>
          <w:rFonts w:cstheme="minorHAnsi"/>
          <w:shd w:val="clear" w:color="auto" w:fill="FFFFFF"/>
        </w:rPr>
        <w:t>was ‘mob justice’</w:t>
      </w:r>
      <w:r w:rsidR="00FF6DE3">
        <w:rPr>
          <w:rFonts w:cstheme="minorHAnsi"/>
          <w:shd w:val="clear" w:color="auto" w:fill="FFFFFF"/>
        </w:rPr>
        <w:t xml:space="preserve">. </w:t>
      </w:r>
      <w:r w:rsidR="009717CF">
        <w:rPr>
          <w:rFonts w:cstheme="minorHAnsi"/>
          <w:shd w:val="clear" w:color="auto" w:fill="FFFFFF"/>
        </w:rPr>
        <w:t xml:space="preserve"> </w:t>
      </w:r>
      <w:r w:rsidR="00FF6DE3">
        <w:rPr>
          <w:rFonts w:cstheme="minorHAnsi"/>
          <w:shd w:val="clear" w:color="auto" w:fill="FFFFFF"/>
        </w:rPr>
        <w:t>Po</w:t>
      </w:r>
      <w:r w:rsidR="009717CF">
        <w:rPr>
          <w:rFonts w:cstheme="minorHAnsi"/>
          <w:shd w:val="clear" w:color="auto" w:fill="FFFFFF"/>
        </w:rPr>
        <w:t xml:space="preserve">tential inferences </w:t>
      </w:r>
      <w:r w:rsidR="00FF6DE3">
        <w:rPr>
          <w:rFonts w:cstheme="minorHAnsi"/>
          <w:shd w:val="clear" w:color="auto" w:fill="FFFFFF"/>
        </w:rPr>
        <w:t>extend beyond</w:t>
      </w:r>
      <w:r w:rsidR="009717CF">
        <w:rPr>
          <w:rFonts w:cstheme="minorHAnsi"/>
          <w:shd w:val="clear" w:color="auto" w:fill="FFFFFF"/>
        </w:rPr>
        <w:t xml:space="preserve"> quelling media attacks </w:t>
      </w:r>
      <w:r w:rsidR="003D696C">
        <w:rPr>
          <w:rFonts w:cstheme="minorHAnsi"/>
          <w:shd w:val="clear" w:color="auto" w:fill="FFFFFF"/>
        </w:rPr>
        <w:t>an</w:t>
      </w:r>
      <w:r w:rsidR="00655B50">
        <w:rPr>
          <w:rFonts w:cstheme="minorHAnsi"/>
          <w:shd w:val="clear" w:color="auto" w:fill="FFFFFF"/>
        </w:rPr>
        <w:t xml:space="preserve">d warrant </w:t>
      </w:r>
      <w:r w:rsidR="009717CF">
        <w:rPr>
          <w:rFonts w:cstheme="minorHAnsi"/>
          <w:shd w:val="clear" w:color="auto" w:fill="FFFFFF"/>
        </w:rPr>
        <w:t xml:space="preserve">judicial investigation.  </w:t>
      </w:r>
      <w:r w:rsidR="00397F89">
        <w:rPr>
          <w:rFonts w:cstheme="minorHAnsi"/>
          <w:shd w:val="clear" w:color="auto" w:fill="FFFFFF"/>
        </w:rPr>
        <w:t>Re</w:t>
      </w:r>
      <w:r w:rsidR="003D696C">
        <w:rPr>
          <w:rFonts w:cstheme="minorHAnsi"/>
          <w:shd w:val="clear" w:color="auto" w:fill="FFFFFF"/>
        </w:rPr>
        <w:t xml:space="preserve">ports </w:t>
      </w:r>
      <w:r w:rsidR="009717CF">
        <w:rPr>
          <w:rFonts w:cstheme="minorHAnsi"/>
          <w:shd w:val="clear" w:color="auto" w:fill="FFFFFF"/>
        </w:rPr>
        <w:t xml:space="preserve">the police did not know the </w:t>
      </w:r>
      <w:r w:rsidR="00397F89">
        <w:rPr>
          <w:rFonts w:cstheme="minorHAnsi"/>
          <w:shd w:val="clear" w:color="auto" w:fill="FFFFFF"/>
        </w:rPr>
        <w:t xml:space="preserve">relevant </w:t>
      </w:r>
      <w:r w:rsidR="009717CF">
        <w:rPr>
          <w:rFonts w:cstheme="minorHAnsi"/>
          <w:shd w:val="clear" w:color="auto" w:fill="FFFFFF"/>
        </w:rPr>
        <w:t xml:space="preserve">laws </w:t>
      </w:r>
      <w:r w:rsidR="00397F89">
        <w:rPr>
          <w:rFonts w:cstheme="minorHAnsi"/>
          <w:shd w:val="clear" w:color="auto" w:fill="FFFFFF"/>
        </w:rPr>
        <w:t>should also be investigated</w:t>
      </w:r>
      <w:r w:rsidR="008E5B89">
        <w:rPr>
          <w:rFonts w:cstheme="minorHAnsi"/>
          <w:shd w:val="clear" w:color="auto" w:fill="FFFFFF"/>
        </w:rPr>
        <w:t>.</w:t>
      </w:r>
      <w:r w:rsidR="009717CF">
        <w:rPr>
          <w:rFonts w:cstheme="minorHAnsi"/>
          <w:shd w:val="clear" w:color="auto" w:fill="FFFFFF"/>
        </w:rPr>
        <w:t xml:space="preserve"> </w:t>
      </w:r>
    </w:p>
    <w:p w14:paraId="0EC72DFA" w14:textId="7FE117DD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</w:t>
      </w:r>
    </w:p>
    <w:p w14:paraId="0A3B7CA2" w14:textId="35A8298E" w:rsidR="009717CF" w:rsidRDefault="00F902D4" w:rsidP="000B0318">
      <w:pPr>
        <w:pStyle w:val="Heading3"/>
        <w:spacing w:before="0" w:line="240" w:lineRule="auto"/>
        <w:rPr>
          <w:shd w:val="clear" w:color="auto" w:fill="FFFFFF"/>
        </w:rPr>
      </w:pPr>
      <w:bookmarkStart w:id="15" w:name="_Toc48224242"/>
      <w:r>
        <w:rPr>
          <w:shd w:val="clear" w:color="auto" w:fill="FFFFFF"/>
        </w:rPr>
        <w:t>R</w:t>
      </w:r>
      <w:r w:rsidR="009717CF">
        <w:rPr>
          <w:shd w:val="clear" w:color="auto" w:fill="FFFFFF"/>
        </w:rPr>
        <w:t>uby Princess inquiry</w:t>
      </w:r>
      <w:bookmarkEnd w:id="15"/>
      <w:r w:rsidR="00397F89">
        <w:rPr>
          <w:shd w:val="clear" w:color="auto" w:fill="FFFFFF"/>
        </w:rPr>
        <w:t xml:space="preserve"> and black lives matter</w:t>
      </w:r>
    </w:p>
    <w:p w14:paraId="69B6EF46" w14:textId="1D80DD12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 mid-April NSW established a Special Commission of Inquiry into the Ruby Princess </w:t>
      </w:r>
      <w:r w:rsidR="00FF6DE3">
        <w:rPr>
          <w:rFonts w:cstheme="minorHAnsi"/>
          <w:shd w:val="clear" w:color="auto" w:fill="FFFFFF"/>
        </w:rPr>
        <w:t>outbreak</w:t>
      </w:r>
      <w:r>
        <w:rPr>
          <w:rFonts w:cstheme="minorHAnsi"/>
          <w:shd w:val="clear" w:color="auto" w:fill="FFFFFF"/>
        </w:rPr>
        <w:t xml:space="preserve">. </w:t>
      </w:r>
    </w:p>
    <w:p w14:paraId="2A064A0A" w14:textId="1D1E382C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Commission is yet to report.  It is possible failure</w:t>
      </w:r>
      <w:r w:rsidR="00FF6DE3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 to communicate and assign responsibilities among and within </w:t>
      </w:r>
      <w:r w:rsidR="00025BE8">
        <w:rPr>
          <w:rFonts w:cstheme="minorHAnsi"/>
          <w:shd w:val="clear" w:color="auto" w:fill="FFFFFF"/>
        </w:rPr>
        <w:t xml:space="preserve">State and Commonwealth </w:t>
      </w:r>
      <w:r>
        <w:rPr>
          <w:rFonts w:cstheme="minorHAnsi"/>
          <w:shd w:val="clear" w:color="auto" w:fill="FFFFFF"/>
        </w:rPr>
        <w:t>agencies contribut</w:t>
      </w:r>
      <w:r w:rsidR="00FF6DE3">
        <w:rPr>
          <w:rFonts w:cstheme="minorHAnsi"/>
          <w:shd w:val="clear" w:color="auto" w:fill="FFFFFF"/>
        </w:rPr>
        <w:t>ed to the debacle</w:t>
      </w:r>
      <w:r>
        <w:rPr>
          <w:rFonts w:cstheme="minorHAnsi"/>
          <w:shd w:val="clear" w:color="auto" w:fill="FFFFFF"/>
        </w:rPr>
        <w:t xml:space="preserve">.  </w:t>
      </w:r>
    </w:p>
    <w:p w14:paraId="4E5333E7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68FB0FB0" w14:textId="7D46AC31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Commission</w:t>
      </w:r>
      <w:r w:rsidR="00025BE8">
        <w:rPr>
          <w:rFonts w:cstheme="minorHAnsi"/>
          <w:shd w:val="clear" w:color="auto" w:fill="FFFFFF"/>
        </w:rPr>
        <w:t xml:space="preserve">’s questioning </w:t>
      </w:r>
      <w:r>
        <w:rPr>
          <w:rFonts w:cstheme="minorHAnsi"/>
          <w:shd w:val="clear" w:color="auto" w:fill="FFFFFF"/>
        </w:rPr>
        <w:t>had a salutary effect in NSW</w:t>
      </w:r>
      <w:r w:rsidR="00FF6DE3">
        <w:rPr>
          <w:rFonts w:cstheme="minorHAnsi"/>
          <w:shd w:val="clear" w:color="auto" w:fill="FFFFFF"/>
        </w:rPr>
        <w:t xml:space="preserve">.  </w:t>
      </w:r>
      <w:r w:rsidR="009609A2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 xml:space="preserve">fficials </w:t>
      </w:r>
      <w:r w:rsidR="00B01ECE">
        <w:rPr>
          <w:rFonts w:cstheme="minorHAnsi"/>
          <w:shd w:val="clear" w:color="auto" w:fill="FFFFFF"/>
        </w:rPr>
        <w:t>later</w:t>
      </w:r>
      <w:r>
        <w:rPr>
          <w:rFonts w:cstheme="minorHAnsi"/>
          <w:shd w:val="clear" w:color="auto" w:fill="FFFFFF"/>
        </w:rPr>
        <w:t xml:space="preserve"> appear</w:t>
      </w:r>
      <w:r w:rsidR="00B01ECE">
        <w:rPr>
          <w:rFonts w:cstheme="minorHAnsi"/>
          <w:shd w:val="clear" w:color="auto" w:fill="FFFFFF"/>
        </w:rPr>
        <w:t>ed</w:t>
      </w:r>
      <w:r>
        <w:rPr>
          <w:rFonts w:cstheme="minorHAnsi"/>
          <w:shd w:val="clear" w:color="auto" w:fill="FFFFFF"/>
        </w:rPr>
        <w:t xml:space="preserve"> to be more taciturn and focussed than </w:t>
      </w:r>
      <w:r w:rsidR="00750C6E">
        <w:rPr>
          <w:rFonts w:cstheme="minorHAnsi"/>
          <w:shd w:val="clear" w:color="auto" w:fill="FFFFFF"/>
        </w:rPr>
        <w:t xml:space="preserve">colleagues in </w:t>
      </w:r>
      <w:r>
        <w:rPr>
          <w:rFonts w:cstheme="minorHAnsi"/>
          <w:shd w:val="clear" w:color="auto" w:fill="FFFFFF"/>
        </w:rPr>
        <w:t>some other States.  Treatment of proposals for demonstrations – mass rallies – in CBDs is evidence of such an effect.</w:t>
      </w:r>
      <w:r w:rsidR="00397F89">
        <w:rPr>
          <w:rFonts w:cstheme="minorHAnsi"/>
          <w:shd w:val="clear" w:color="auto" w:fill="FFFFFF"/>
        </w:rPr>
        <w:t xml:space="preserve">  </w:t>
      </w:r>
    </w:p>
    <w:p w14:paraId="1B48C89E" w14:textId="77777777" w:rsidR="00397F89" w:rsidRDefault="00397F89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6F041F14" w14:textId="30440BAB" w:rsidR="009717CF" w:rsidRDefault="009717CF" w:rsidP="000B0318">
      <w:pPr>
        <w:spacing w:after="0" w:line="240" w:lineRule="auto"/>
      </w:pPr>
      <w:r>
        <w:t xml:space="preserve">‘Black lives matters’ protests – mass demonstrations - were scheduled to take place in the CBDs of Sydney, Melbourne and Brisbane </w:t>
      </w:r>
      <w:r w:rsidR="00397F89">
        <w:t>at</w:t>
      </w:r>
      <w:r>
        <w:t xml:space="preserve"> </w:t>
      </w:r>
      <w:r w:rsidR="00FF6DE3">
        <w:t xml:space="preserve">various </w:t>
      </w:r>
      <w:r w:rsidR="00397F89">
        <w:t>times</w:t>
      </w:r>
      <w:r>
        <w:t xml:space="preserve">.  </w:t>
      </w:r>
    </w:p>
    <w:p w14:paraId="0C293F66" w14:textId="77777777" w:rsidR="009717CF" w:rsidRDefault="009717CF" w:rsidP="000B0318">
      <w:pPr>
        <w:spacing w:after="0" w:line="240" w:lineRule="auto"/>
      </w:pPr>
    </w:p>
    <w:p w14:paraId="2571ECB8" w14:textId="2F8A11B0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t xml:space="preserve">The attitude of NSW to these – and other - demonstrations was more formal and rigorous than other States.  Decisions were made at a far more senior level, reinforced through all available legal means </w:t>
      </w:r>
      <w:r w:rsidR="00FF6DE3">
        <w:t xml:space="preserve">including injunctions </w:t>
      </w:r>
      <w:r>
        <w:t xml:space="preserve">and - apart from </w:t>
      </w:r>
      <w:r w:rsidR="00094A4F">
        <w:t xml:space="preserve">initial confusion created by </w:t>
      </w:r>
      <w:r>
        <w:t>the Premier</w:t>
      </w:r>
      <w:r w:rsidR="008B4D2C">
        <w:t xml:space="preserve"> - </w:t>
      </w:r>
      <w:r>
        <w:t xml:space="preserve">‘messages’ </w:t>
      </w:r>
      <w:r w:rsidR="00FF6DE3">
        <w:t xml:space="preserve">to potential protestors </w:t>
      </w:r>
      <w:r w:rsidR="00B01ECE">
        <w:t>were</w:t>
      </w:r>
      <w:r>
        <w:t xml:space="preserve"> unified and consistent.</w:t>
      </w:r>
    </w:p>
    <w:p w14:paraId="1E931F52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0D25436A" w14:textId="17F86BB7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bookmarkStart w:id="16" w:name="_Toc48224244"/>
      <w:r>
        <w:rPr>
          <w:shd w:val="clear" w:color="auto" w:fill="FFFFFF"/>
        </w:rPr>
        <w:t>Closure of NSW border with Victoria - initiation</w:t>
      </w:r>
      <w:bookmarkEnd w:id="16"/>
    </w:p>
    <w:p w14:paraId="6997FCF1" w14:textId="5F88CE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On 6 July, the </w:t>
      </w:r>
      <w:r w:rsidR="00094A4F">
        <w:rPr>
          <w:rFonts w:cstheme="minorHAnsi"/>
          <w:shd w:val="clear" w:color="auto" w:fill="FFFFFF"/>
        </w:rPr>
        <w:t xml:space="preserve">NSW </w:t>
      </w:r>
      <w:r>
        <w:rPr>
          <w:rFonts w:cstheme="minorHAnsi"/>
          <w:shd w:val="clear" w:color="auto" w:fill="FFFFFF"/>
        </w:rPr>
        <w:t>Premier announced the NSW border with Victoria would be closed – contrary to criticisms of previous closures in other States.  The given reason: a spike in cases in Melbourne.</w:t>
      </w:r>
      <w:r w:rsidR="00BD4FB3">
        <w:rPr>
          <w:rFonts w:cstheme="minorHAnsi"/>
          <w:shd w:val="clear" w:color="auto" w:fill="FFFFFF"/>
        </w:rPr>
        <w:t xml:space="preserve">  </w:t>
      </w:r>
      <w:r w:rsidR="00397F89">
        <w:rPr>
          <w:rFonts w:cstheme="minorHAnsi"/>
          <w:shd w:val="clear" w:color="auto" w:fill="FFFFFF"/>
        </w:rPr>
        <w:t>Later that day, t</w:t>
      </w:r>
      <w:r w:rsidR="00BD4FB3">
        <w:rPr>
          <w:rFonts w:cstheme="minorHAnsi"/>
          <w:shd w:val="clear" w:color="auto" w:fill="FFFFFF"/>
        </w:rPr>
        <w:t>he Victorian Premier said he supported the closure and said all Melbourne would be locked-down, for at least six weeks.</w:t>
      </w:r>
      <w:r>
        <w:rPr>
          <w:rFonts w:cstheme="minorHAnsi"/>
          <w:shd w:val="clear" w:color="auto" w:fill="FFFFFF"/>
        </w:rPr>
        <w:t xml:space="preserve">  </w:t>
      </w:r>
    </w:p>
    <w:p w14:paraId="06CF95AD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7D55761A" w14:textId="1AEFEC05" w:rsidR="009717CF" w:rsidRDefault="00FF6DE3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 the days leading to this</w:t>
      </w:r>
      <w:r w:rsidR="00BD4FB3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="00BD4FB3">
        <w:rPr>
          <w:rFonts w:cstheme="minorHAnsi"/>
          <w:shd w:val="clear" w:color="auto" w:fill="FFFFFF"/>
        </w:rPr>
        <w:t xml:space="preserve">the </w:t>
      </w:r>
      <w:r w:rsidR="009717CF">
        <w:rPr>
          <w:rFonts w:cstheme="minorHAnsi"/>
          <w:shd w:val="clear" w:color="auto" w:fill="FFFFFF"/>
        </w:rPr>
        <w:t xml:space="preserve">Victorian Premier announced a judicial inquiry into breaches of hotel quarantine </w:t>
      </w:r>
      <w:r w:rsidR="00025BE8">
        <w:rPr>
          <w:rFonts w:cstheme="minorHAnsi"/>
          <w:shd w:val="clear" w:color="auto" w:fill="FFFFFF"/>
        </w:rPr>
        <w:t xml:space="preserve">thought to have initiated the </w:t>
      </w:r>
      <w:r>
        <w:rPr>
          <w:rFonts w:cstheme="minorHAnsi"/>
          <w:shd w:val="clear" w:color="auto" w:fill="FFFFFF"/>
        </w:rPr>
        <w:t xml:space="preserve">Melbourne </w:t>
      </w:r>
      <w:r w:rsidR="00025BE8">
        <w:rPr>
          <w:rFonts w:cstheme="minorHAnsi"/>
          <w:shd w:val="clear" w:color="auto" w:fill="FFFFFF"/>
        </w:rPr>
        <w:t xml:space="preserve">outbreak, </w:t>
      </w:r>
      <w:r>
        <w:rPr>
          <w:rFonts w:cstheme="minorHAnsi"/>
          <w:shd w:val="clear" w:color="auto" w:fill="FFFFFF"/>
        </w:rPr>
        <w:t>and locked-down several suburbs.</w:t>
      </w:r>
      <w:r w:rsidR="00025BE8">
        <w:rPr>
          <w:rFonts w:cstheme="minorHAnsi"/>
          <w:shd w:val="clear" w:color="auto" w:fill="FFFFFF"/>
        </w:rPr>
        <w:t xml:space="preserve">  </w:t>
      </w:r>
      <w:r w:rsidR="009717CF">
        <w:rPr>
          <w:rFonts w:cstheme="minorHAnsi"/>
          <w:shd w:val="clear" w:color="auto" w:fill="FFFFFF"/>
        </w:rPr>
        <w:t xml:space="preserve"> NSW introduced severe penalties for </w:t>
      </w:r>
      <w:r>
        <w:rPr>
          <w:rFonts w:cstheme="minorHAnsi"/>
          <w:shd w:val="clear" w:color="auto" w:fill="FFFFFF"/>
        </w:rPr>
        <w:t>people</w:t>
      </w:r>
      <w:r w:rsidR="009717CF">
        <w:rPr>
          <w:rFonts w:cstheme="minorHAnsi"/>
          <w:shd w:val="clear" w:color="auto" w:fill="FFFFFF"/>
        </w:rPr>
        <w:t xml:space="preserve"> who travelled from </w:t>
      </w:r>
      <w:r>
        <w:rPr>
          <w:rFonts w:cstheme="minorHAnsi"/>
          <w:shd w:val="clear" w:color="auto" w:fill="FFFFFF"/>
        </w:rPr>
        <w:t xml:space="preserve">those </w:t>
      </w:r>
      <w:r w:rsidR="009717CF">
        <w:rPr>
          <w:rFonts w:cstheme="minorHAnsi"/>
          <w:shd w:val="clear" w:color="auto" w:fill="FFFFFF"/>
        </w:rPr>
        <w:t xml:space="preserve">suburbs to NSW.  </w:t>
      </w:r>
    </w:p>
    <w:p w14:paraId="194F502F" w14:textId="77777777" w:rsidR="003D696C" w:rsidRDefault="003D696C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2000879E" w14:textId="11F8379E" w:rsidR="009717CF" w:rsidRDefault="00397F89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Reflecting</w:t>
      </w:r>
      <w:r w:rsidR="009717C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that, and </w:t>
      </w:r>
      <w:r w:rsidR="009717CF">
        <w:rPr>
          <w:rFonts w:cstheme="minorHAnsi"/>
          <w:shd w:val="clear" w:color="auto" w:fill="FFFFFF"/>
        </w:rPr>
        <w:t xml:space="preserve">her previous opposition to border closures, charges of </w:t>
      </w:r>
      <w:r w:rsidR="00025BE8">
        <w:rPr>
          <w:rFonts w:cstheme="minorHAnsi"/>
          <w:shd w:val="clear" w:color="auto" w:fill="FFFFFF"/>
        </w:rPr>
        <w:t xml:space="preserve">panic and </w:t>
      </w:r>
      <w:r w:rsidR="009717CF">
        <w:rPr>
          <w:rFonts w:cstheme="minorHAnsi"/>
          <w:shd w:val="clear" w:color="auto" w:fill="FFFFFF"/>
        </w:rPr>
        <w:t>hypocrisy were levelled against the NSW Premier</w:t>
      </w:r>
      <w:r w:rsidR="00094A4F">
        <w:rPr>
          <w:rFonts w:cstheme="minorHAnsi"/>
          <w:shd w:val="clear" w:color="auto" w:fill="FFFFFF"/>
        </w:rPr>
        <w:t xml:space="preserve"> for the closure</w:t>
      </w:r>
      <w:r w:rsidR="009717CF">
        <w:rPr>
          <w:rFonts w:cstheme="minorHAnsi"/>
          <w:shd w:val="clear" w:color="auto" w:fill="FFFFFF"/>
        </w:rPr>
        <w:t xml:space="preserve">.  </w:t>
      </w:r>
      <w:r w:rsidR="00CD69BF">
        <w:rPr>
          <w:rFonts w:cstheme="minorHAnsi"/>
          <w:shd w:val="clear" w:color="auto" w:fill="FFFFFF"/>
        </w:rPr>
        <w:t>However, t</w:t>
      </w:r>
      <w:r w:rsidR="009717CF">
        <w:rPr>
          <w:rFonts w:cstheme="minorHAnsi"/>
          <w:shd w:val="clear" w:color="auto" w:fill="FFFFFF"/>
        </w:rPr>
        <w:t xml:space="preserve">he decision was </w:t>
      </w:r>
      <w:r w:rsidR="003D696C">
        <w:rPr>
          <w:rFonts w:cstheme="minorHAnsi"/>
          <w:shd w:val="clear" w:color="auto" w:fill="FFFFFF"/>
        </w:rPr>
        <w:t xml:space="preserve">sympathetically </w:t>
      </w:r>
      <w:r w:rsidR="009717CF">
        <w:rPr>
          <w:rFonts w:cstheme="minorHAnsi"/>
          <w:shd w:val="clear" w:color="auto" w:fill="FFFFFF"/>
        </w:rPr>
        <w:t xml:space="preserve">portrayed in a Sydney Morning Herald as being under consideration </w:t>
      </w:r>
      <w:r w:rsidR="00BD4FB3">
        <w:rPr>
          <w:rFonts w:cstheme="minorHAnsi"/>
          <w:shd w:val="clear" w:color="auto" w:fill="FFFFFF"/>
        </w:rPr>
        <w:t>for some time</w:t>
      </w:r>
      <w:r w:rsidR="009717CF">
        <w:rPr>
          <w:rFonts w:cstheme="minorHAnsi"/>
          <w:shd w:val="clear" w:color="auto" w:fill="FFFFFF"/>
        </w:rPr>
        <w:t>.</w:t>
      </w:r>
    </w:p>
    <w:p w14:paraId="2B92BFEA" w14:textId="77777777" w:rsidR="00BD4FB3" w:rsidRDefault="00BD4FB3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2094E2BE" w14:textId="5AC97E50" w:rsidR="009717CF" w:rsidRDefault="00BD4FB3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</w:t>
      </w:r>
      <w:r w:rsidR="009717CF">
        <w:rPr>
          <w:rFonts w:cstheme="minorHAnsi"/>
          <w:shd w:val="clear" w:color="auto" w:fill="FFFFFF"/>
        </w:rPr>
        <w:t xml:space="preserve">he closure affected over fifty border crossing points, most prominently at Albury-Wodonga.  </w:t>
      </w:r>
      <w:r w:rsidR="00025BE8">
        <w:rPr>
          <w:rFonts w:cstheme="minorHAnsi"/>
          <w:shd w:val="clear" w:color="auto" w:fill="FFFFFF"/>
        </w:rPr>
        <w:t>D</w:t>
      </w:r>
      <w:r w:rsidR="009717CF">
        <w:rPr>
          <w:rFonts w:cstheme="minorHAnsi"/>
          <w:shd w:val="clear" w:color="auto" w:fill="FFFFFF"/>
        </w:rPr>
        <w:t>isruption led to suggestions of an Albury ‘bubble’</w:t>
      </w:r>
      <w:r w:rsidR="00397F89">
        <w:rPr>
          <w:rFonts w:cstheme="minorHAnsi"/>
          <w:shd w:val="clear" w:color="auto" w:fill="FFFFFF"/>
        </w:rPr>
        <w:t xml:space="preserve"> with a border control point either north of Albury or south of Wodonga.  H</w:t>
      </w:r>
      <w:r w:rsidR="009717CF">
        <w:rPr>
          <w:rFonts w:cstheme="minorHAnsi"/>
          <w:shd w:val="clear" w:color="auto" w:fill="FFFFFF"/>
        </w:rPr>
        <w:t xml:space="preserve">owever, </w:t>
      </w:r>
      <w:r w:rsidR="003D696C">
        <w:rPr>
          <w:rFonts w:cstheme="minorHAnsi"/>
          <w:shd w:val="clear" w:color="auto" w:fill="FFFFFF"/>
        </w:rPr>
        <w:t>this did not eventuate</w:t>
      </w:r>
      <w:r w:rsidR="009717CF">
        <w:rPr>
          <w:rFonts w:cstheme="minorHAnsi"/>
          <w:shd w:val="clear" w:color="auto" w:fill="FFFFFF"/>
        </w:rPr>
        <w:t>.</w:t>
      </w:r>
      <w:r w:rsidR="009717CF" w:rsidRPr="0051709D">
        <w:rPr>
          <w:rStyle w:val="EndnoteReference"/>
          <w:rFonts w:cstheme="minorHAnsi"/>
          <w:shd w:val="clear" w:color="auto" w:fill="FFFFFF"/>
        </w:rPr>
        <w:t xml:space="preserve"> </w:t>
      </w:r>
    </w:p>
    <w:p w14:paraId="1CE6AB35" w14:textId="77777777" w:rsidR="004114E0" w:rsidRDefault="004114E0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7C86CBEE" w14:textId="2127AE8D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closure did not eliminate risks of NSW importing Covid</w:t>
      </w:r>
      <w:r w:rsidR="003D696C">
        <w:rPr>
          <w:rFonts w:cstheme="minorHAnsi"/>
          <w:shd w:val="clear" w:color="auto" w:fill="FFFFFF"/>
        </w:rPr>
        <w:t xml:space="preserve"> - </w:t>
      </w:r>
      <w:r>
        <w:rPr>
          <w:rFonts w:cstheme="minorHAnsi"/>
          <w:shd w:val="clear" w:color="auto" w:fill="FFFFFF"/>
        </w:rPr>
        <w:t xml:space="preserve">illustrated by an outbreak </w:t>
      </w:r>
      <w:r w:rsidR="003D696C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>t the CrossRoads Hotel, Casula</w:t>
      </w:r>
      <w:r w:rsidR="003D696C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traced to an employee of a freight company who </w:t>
      </w:r>
      <w:r w:rsidR="00106BCD">
        <w:rPr>
          <w:rFonts w:cstheme="minorHAnsi"/>
          <w:shd w:val="clear" w:color="auto" w:fill="FFFFFF"/>
        </w:rPr>
        <w:t>would have been exempt from the border rules.</w:t>
      </w:r>
      <w:r>
        <w:rPr>
          <w:rFonts w:cstheme="minorHAnsi"/>
          <w:shd w:val="clear" w:color="auto" w:fill="FFFFFF"/>
        </w:rPr>
        <w:t xml:space="preserve"> </w:t>
      </w:r>
      <w:r w:rsidR="00FE2BD3">
        <w:rPr>
          <w:rFonts w:cstheme="minorHAnsi"/>
          <w:shd w:val="clear" w:color="auto" w:fill="FFFFFF"/>
        </w:rPr>
        <w:t xml:space="preserve"> </w:t>
      </w:r>
      <w:r w:rsidR="00106BCD">
        <w:rPr>
          <w:rFonts w:cstheme="minorHAnsi"/>
          <w:shd w:val="clear" w:color="auto" w:fill="FFFFFF"/>
        </w:rPr>
        <w:t xml:space="preserve">From there it </w:t>
      </w:r>
      <w:r>
        <w:rPr>
          <w:rFonts w:cstheme="minorHAnsi"/>
          <w:shd w:val="clear" w:color="auto" w:fill="FFFFFF"/>
        </w:rPr>
        <w:t>spread more widely and at end</w:t>
      </w:r>
      <w:r w:rsidR="00094A4F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July NSW health </w:t>
      </w:r>
      <w:r w:rsidR="009609A2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 xml:space="preserve">fficials </w:t>
      </w:r>
      <w:r w:rsidR="00FE2BD3">
        <w:rPr>
          <w:rFonts w:cstheme="minorHAnsi"/>
          <w:shd w:val="clear" w:color="auto" w:fill="FFFFFF"/>
        </w:rPr>
        <w:t>said</w:t>
      </w:r>
      <w:r>
        <w:rPr>
          <w:rFonts w:cstheme="minorHAnsi"/>
          <w:shd w:val="clear" w:color="auto" w:fill="FFFFFF"/>
        </w:rPr>
        <w:t xml:space="preserve"> all then ex-quarantine infections in NSW </w:t>
      </w:r>
      <w:r w:rsidR="00FE2BD3">
        <w:rPr>
          <w:rFonts w:cstheme="minorHAnsi"/>
          <w:shd w:val="clear" w:color="auto" w:fill="FFFFFF"/>
        </w:rPr>
        <w:t>may have originated in Victoria</w:t>
      </w:r>
      <w:r>
        <w:rPr>
          <w:rFonts w:cstheme="minorHAnsi"/>
          <w:shd w:val="clear" w:color="auto" w:fill="FFFFFF"/>
        </w:rPr>
        <w:t>.</w:t>
      </w:r>
    </w:p>
    <w:p w14:paraId="750941D0" w14:textId="33A2FFCC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bookmarkStart w:id="17" w:name="_Toc48224246"/>
      <w:r>
        <w:rPr>
          <w:shd w:val="clear" w:color="auto" w:fill="FFFFFF"/>
        </w:rPr>
        <w:lastRenderedPageBreak/>
        <w:t>Some developments in Victoria</w:t>
      </w:r>
      <w:bookmarkEnd w:id="17"/>
    </w:p>
    <w:p w14:paraId="7F2EC2FE" w14:textId="57DBEED7" w:rsidR="009717CF" w:rsidRDefault="00515E21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Victoria</w:t>
      </w:r>
      <w:r w:rsidR="009717CF">
        <w:rPr>
          <w:rFonts w:cstheme="minorHAnsi"/>
          <w:shd w:val="clear" w:color="auto" w:fill="FFFFFF"/>
        </w:rPr>
        <w:t xml:space="preserve"> Premier said th</w:t>
      </w:r>
      <w:r>
        <w:rPr>
          <w:rFonts w:cstheme="minorHAnsi"/>
          <w:shd w:val="clear" w:color="auto" w:fill="FFFFFF"/>
        </w:rPr>
        <w:t xml:space="preserve">e rapid rise in cases – </w:t>
      </w:r>
      <w:r w:rsidR="00B943C4">
        <w:rPr>
          <w:rFonts w:cstheme="minorHAnsi"/>
          <w:shd w:val="clear" w:color="auto" w:fill="FFFFFF"/>
        </w:rPr>
        <w:t>e.g.</w:t>
      </w:r>
      <w:r w:rsidR="00094A4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627 on 31 July - </w:t>
      </w:r>
      <w:r w:rsidR="009717CF">
        <w:rPr>
          <w:rFonts w:cstheme="minorHAnsi"/>
          <w:shd w:val="clear" w:color="auto" w:fill="FFFFFF"/>
        </w:rPr>
        <w:t xml:space="preserve">was due to people not following </w:t>
      </w:r>
      <w:r w:rsidR="00094A4F">
        <w:rPr>
          <w:rFonts w:cstheme="minorHAnsi"/>
          <w:shd w:val="clear" w:color="auto" w:fill="FFFFFF"/>
        </w:rPr>
        <w:t>orders</w:t>
      </w:r>
      <w:r>
        <w:rPr>
          <w:rFonts w:cstheme="minorHAnsi"/>
          <w:shd w:val="clear" w:color="auto" w:fill="FFFFFF"/>
        </w:rPr>
        <w:t>.  A later</w:t>
      </w:r>
      <w:r w:rsidR="009717CF">
        <w:rPr>
          <w:rFonts w:cstheme="minorHAnsi"/>
          <w:shd w:val="clear" w:color="auto" w:fill="FFFFFF"/>
        </w:rPr>
        <w:t xml:space="preserve"> suggested </w:t>
      </w:r>
      <w:r w:rsidR="00106BCD">
        <w:rPr>
          <w:rFonts w:cstheme="minorHAnsi"/>
          <w:shd w:val="clear" w:color="auto" w:fill="FFFFFF"/>
        </w:rPr>
        <w:t xml:space="preserve">reason </w:t>
      </w:r>
      <w:r w:rsidR="00FE2BD3">
        <w:rPr>
          <w:rFonts w:cstheme="minorHAnsi"/>
          <w:shd w:val="clear" w:color="auto" w:fill="FFFFFF"/>
        </w:rPr>
        <w:t>was</w:t>
      </w:r>
      <w:r>
        <w:rPr>
          <w:rFonts w:cstheme="minorHAnsi"/>
          <w:shd w:val="clear" w:color="auto" w:fill="FFFFFF"/>
        </w:rPr>
        <w:t>:</w:t>
      </w:r>
      <w:r w:rsidR="00106BCD">
        <w:rPr>
          <w:rFonts w:cstheme="minorHAnsi"/>
          <w:shd w:val="clear" w:color="auto" w:fill="FFFFFF"/>
        </w:rPr>
        <w:t xml:space="preserve"> </w:t>
      </w:r>
      <w:r w:rsidR="00094A4F">
        <w:rPr>
          <w:rFonts w:cstheme="minorHAnsi"/>
          <w:shd w:val="clear" w:color="auto" w:fill="FFFFFF"/>
        </w:rPr>
        <w:t xml:space="preserve">infected </w:t>
      </w:r>
      <w:r w:rsidR="009717CF">
        <w:rPr>
          <w:rFonts w:cstheme="minorHAnsi"/>
          <w:shd w:val="clear" w:color="auto" w:fill="FFFFFF"/>
        </w:rPr>
        <w:t xml:space="preserve">people working because of </w:t>
      </w:r>
      <w:r w:rsidR="00FE2BD3">
        <w:rPr>
          <w:rFonts w:cstheme="minorHAnsi"/>
          <w:shd w:val="clear" w:color="auto" w:fill="FFFFFF"/>
        </w:rPr>
        <w:t xml:space="preserve">job </w:t>
      </w:r>
      <w:r w:rsidR="009717CF">
        <w:rPr>
          <w:rFonts w:cstheme="minorHAnsi"/>
          <w:shd w:val="clear" w:color="auto" w:fill="FFFFFF"/>
        </w:rPr>
        <w:t>insecur</w:t>
      </w:r>
      <w:r w:rsidR="00FE2BD3">
        <w:rPr>
          <w:rFonts w:cstheme="minorHAnsi"/>
          <w:shd w:val="clear" w:color="auto" w:fill="FFFFFF"/>
        </w:rPr>
        <w:t>ity</w:t>
      </w:r>
      <w:r w:rsidR="009717CF">
        <w:rPr>
          <w:rFonts w:cstheme="minorHAnsi"/>
          <w:shd w:val="clear" w:color="auto" w:fill="FFFFFF"/>
        </w:rPr>
        <w:t>.</w:t>
      </w:r>
    </w:p>
    <w:p w14:paraId="7A1FA199" w14:textId="393E11D2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It appeared some media turned against </w:t>
      </w:r>
      <w:r w:rsidR="00FE2BD3">
        <w:rPr>
          <w:rFonts w:cstheme="minorHAnsi"/>
          <w:shd w:val="clear" w:color="auto" w:fill="FFFFFF"/>
        </w:rPr>
        <w:t xml:space="preserve">the </w:t>
      </w:r>
      <w:r>
        <w:rPr>
          <w:rFonts w:cstheme="minorHAnsi"/>
          <w:shd w:val="clear" w:color="auto" w:fill="FFFFFF"/>
        </w:rPr>
        <w:t>Victorian Premier</w:t>
      </w:r>
      <w:r w:rsidR="00FE2BD3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in contrast to their treatment of </w:t>
      </w:r>
      <w:r w:rsidR="00FE2BD3">
        <w:rPr>
          <w:rFonts w:cstheme="minorHAnsi"/>
          <w:shd w:val="clear" w:color="auto" w:fill="FFFFFF"/>
        </w:rPr>
        <w:t xml:space="preserve">the </w:t>
      </w:r>
      <w:r>
        <w:rPr>
          <w:rFonts w:cstheme="minorHAnsi"/>
          <w:shd w:val="clear" w:color="auto" w:fill="FFFFFF"/>
        </w:rPr>
        <w:t xml:space="preserve">NSW Premier for the Ruby Princess </w:t>
      </w:r>
      <w:r w:rsidR="00FE2BD3">
        <w:rPr>
          <w:rFonts w:cstheme="minorHAnsi"/>
          <w:shd w:val="clear" w:color="auto" w:fill="FFFFFF"/>
        </w:rPr>
        <w:t>and</w:t>
      </w:r>
      <w:r>
        <w:rPr>
          <w:rFonts w:cstheme="minorHAnsi"/>
          <w:shd w:val="clear" w:color="auto" w:fill="FFFFFF"/>
        </w:rPr>
        <w:t xml:space="preserve"> Harwin debacles. Reasons for differen</w:t>
      </w:r>
      <w:r w:rsidR="00094A4F">
        <w:rPr>
          <w:rFonts w:cstheme="minorHAnsi"/>
          <w:shd w:val="clear" w:color="auto" w:fill="FFFFFF"/>
        </w:rPr>
        <w:t>t treatment</w:t>
      </w:r>
      <w:r>
        <w:rPr>
          <w:rFonts w:cstheme="minorHAnsi"/>
          <w:shd w:val="clear" w:color="auto" w:fill="FFFFFF"/>
        </w:rPr>
        <w:t xml:space="preserve"> might include media party political biases or dislike of </w:t>
      </w:r>
      <w:r w:rsidR="00515E21">
        <w:rPr>
          <w:rFonts w:cstheme="minorHAnsi"/>
          <w:shd w:val="clear" w:color="auto" w:fill="FFFFFF"/>
        </w:rPr>
        <w:t xml:space="preserve">what could be seen as arrogance in </w:t>
      </w:r>
      <w:r>
        <w:rPr>
          <w:rFonts w:cstheme="minorHAnsi"/>
          <w:shd w:val="clear" w:color="auto" w:fill="FFFFFF"/>
        </w:rPr>
        <w:t xml:space="preserve">Victoria.  </w:t>
      </w:r>
    </w:p>
    <w:p w14:paraId="2A8774AD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3F561D2B" w14:textId="0FA8ECEB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Given the Victorian Government’s public displays of confidence in itself, recurrence of Covid must have been shock to Victorians.  </w:t>
      </w:r>
      <w:r w:rsidR="00106BCD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>eports talked of anger in the community</w:t>
      </w:r>
      <w:r w:rsidR="00515E21">
        <w:rPr>
          <w:rFonts w:cstheme="minorHAnsi"/>
          <w:shd w:val="clear" w:color="auto" w:fill="FFFFFF"/>
        </w:rPr>
        <w:t xml:space="preserve">. </w:t>
      </w:r>
      <w:r w:rsidR="00FE2BD3">
        <w:rPr>
          <w:rFonts w:cstheme="minorHAnsi"/>
          <w:shd w:val="clear" w:color="auto" w:fill="FFFFFF"/>
        </w:rPr>
        <w:t xml:space="preserve"> </w:t>
      </w:r>
      <w:r w:rsidR="00106BCD">
        <w:rPr>
          <w:rFonts w:cstheme="minorHAnsi"/>
          <w:shd w:val="clear" w:color="auto" w:fill="FFFFFF"/>
        </w:rPr>
        <w:t>T</w:t>
      </w:r>
      <w:r>
        <w:rPr>
          <w:rFonts w:cstheme="minorHAnsi"/>
          <w:shd w:val="clear" w:color="auto" w:fill="FFFFFF"/>
        </w:rPr>
        <w:t xml:space="preserve">he signal of real trouble came from </w:t>
      </w:r>
      <w:r w:rsidR="00106BCD">
        <w:rPr>
          <w:rFonts w:cstheme="minorHAnsi"/>
          <w:shd w:val="clear" w:color="auto" w:fill="FFFFFF"/>
        </w:rPr>
        <w:t xml:space="preserve">reports that </w:t>
      </w:r>
      <w:r>
        <w:rPr>
          <w:rFonts w:cstheme="minorHAnsi"/>
          <w:shd w:val="clear" w:color="auto" w:fill="FFFFFF"/>
        </w:rPr>
        <w:t xml:space="preserve">130 out of 500 - 26% - infected people </w:t>
      </w:r>
      <w:r w:rsidR="00106BCD">
        <w:rPr>
          <w:rFonts w:cstheme="minorHAnsi"/>
          <w:shd w:val="clear" w:color="auto" w:fill="FFFFFF"/>
        </w:rPr>
        <w:t xml:space="preserve">had not complied with isolation rules.  </w:t>
      </w:r>
      <w:r>
        <w:rPr>
          <w:rFonts w:cstheme="minorHAnsi"/>
          <w:shd w:val="clear" w:color="auto" w:fill="FFFFFF"/>
        </w:rPr>
        <w:t>That problem could only be patched-over by more stringent measures such as compulsory wearing of masks, curfews</w:t>
      </w:r>
      <w:r w:rsidR="00397F89">
        <w:rPr>
          <w:rFonts w:cstheme="minorHAnsi"/>
          <w:shd w:val="clear" w:color="auto" w:fill="FFFFFF"/>
        </w:rPr>
        <w:t>, and tighter lock-downs</w:t>
      </w:r>
      <w:r>
        <w:rPr>
          <w:rFonts w:cstheme="minorHAnsi"/>
          <w:shd w:val="clear" w:color="auto" w:fill="FFFFFF"/>
        </w:rPr>
        <w:t xml:space="preserve"> – all of which eventuated.</w:t>
      </w:r>
    </w:p>
    <w:p w14:paraId="65A9E0E5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49389390" w14:textId="0DCBF55B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Some of </w:t>
      </w:r>
      <w:r w:rsidR="00094A4F">
        <w:rPr>
          <w:rFonts w:cstheme="minorHAnsi"/>
          <w:shd w:val="clear" w:color="auto" w:fill="FFFFFF"/>
        </w:rPr>
        <w:t>Victoria’s</w:t>
      </w:r>
      <w:r>
        <w:rPr>
          <w:rFonts w:cstheme="minorHAnsi"/>
          <w:shd w:val="clear" w:color="auto" w:fill="FFFFFF"/>
        </w:rPr>
        <w:t xml:space="preserve"> apparent arrogance could be seen, in hindsight, as bravado.</w:t>
      </w:r>
      <w:r w:rsidR="008427B5">
        <w:rPr>
          <w:rFonts w:cstheme="minorHAnsi"/>
          <w:shd w:val="clear" w:color="auto" w:fill="FFFFFF"/>
        </w:rPr>
        <w:t xml:space="preserve">  </w:t>
      </w:r>
      <w:r>
        <w:rPr>
          <w:rFonts w:cstheme="minorHAnsi"/>
          <w:shd w:val="clear" w:color="auto" w:fill="FFFFFF"/>
        </w:rPr>
        <w:t>In this light, the NSW border closure may not have been a reactive panic</w:t>
      </w:r>
      <w:r w:rsidR="00B22831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 Rather it may reflect loss of faith </w:t>
      </w:r>
      <w:r w:rsidR="00515E21">
        <w:rPr>
          <w:rFonts w:cstheme="minorHAnsi"/>
          <w:shd w:val="clear" w:color="auto" w:fill="FFFFFF"/>
        </w:rPr>
        <w:t xml:space="preserve">in </w:t>
      </w:r>
      <w:r>
        <w:rPr>
          <w:rFonts w:cstheme="minorHAnsi"/>
          <w:shd w:val="clear" w:color="auto" w:fill="FFFFFF"/>
        </w:rPr>
        <w:t xml:space="preserve">Victoria’s ability to manage the outbreak by other than extraordinary means.  That the Victorian Premier supported the closure suggests he had come to the same view.  </w:t>
      </w:r>
    </w:p>
    <w:p w14:paraId="1A81E44A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041FB0B8" w14:textId="4D11F615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bookmarkStart w:id="18" w:name="_Toc48224247"/>
      <w:r>
        <w:rPr>
          <w:shd w:val="clear" w:color="auto" w:fill="FFFFFF"/>
        </w:rPr>
        <w:t>Queensland reaction</w:t>
      </w:r>
      <w:bookmarkEnd w:id="18"/>
    </w:p>
    <w:p w14:paraId="32670D1D" w14:textId="7BF0F9B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week before NSW announced closure of its border with Victoria, Queensland’s Premier announced an intention to ‘open’ </w:t>
      </w:r>
      <w:r w:rsidR="00397F89">
        <w:rPr>
          <w:rFonts w:cstheme="minorHAnsi"/>
          <w:shd w:val="clear" w:color="auto" w:fill="FFFFFF"/>
        </w:rPr>
        <w:t>that</w:t>
      </w:r>
      <w:r>
        <w:rPr>
          <w:rFonts w:cstheme="minorHAnsi"/>
          <w:shd w:val="clear" w:color="auto" w:fill="FFFFFF"/>
        </w:rPr>
        <w:t xml:space="preserve"> State’s borders except to people from Victoria.</w:t>
      </w:r>
      <w:r w:rsidR="00FD454B">
        <w:rPr>
          <w:rFonts w:cstheme="minorHAnsi"/>
          <w:shd w:val="clear" w:color="auto" w:fill="FFFFFF"/>
        </w:rPr>
        <w:t xml:space="preserve">  </w:t>
      </w:r>
      <w:r>
        <w:rPr>
          <w:rFonts w:cstheme="minorHAnsi"/>
          <w:shd w:val="clear" w:color="auto" w:fill="FFFFFF"/>
        </w:rPr>
        <w:t xml:space="preserve">That was quickly modified.  Queensland responded to the infection at the NSW CrossRoads Hotel </w:t>
      </w:r>
      <w:r w:rsidR="00FD454B">
        <w:rPr>
          <w:rFonts w:cstheme="minorHAnsi"/>
          <w:shd w:val="clear" w:color="auto" w:fill="FFFFFF"/>
        </w:rPr>
        <w:t xml:space="preserve">by </w:t>
      </w:r>
      <w:r>
        <w:rPr>
          <w:rFonts w:cstheme="minorHAnsi"/>
          <w:shd w:val="clear" w:color="auto" w:fill="FFFFFF"/>
        </w:rPr>
        <w:t>re-clos</w:t>
      </w:r>
      <w:r w:rsidR="00FD454B">
        <w:rPr>
          <w:rFonts w:cstheme="minorHAnsi"/>
          <w:shd w:val="clear" w:color="auto" w:fill="FFFFFF"/>
        </w:rPr>
        <w:t>ing</w:t>
      </w:r>
      <w:r>
        <w:rPr>
          <w:rFonts w:cstheme="minorHAnsi"/>
          <w:shd w:val="clear" w:color="auto" w:fill="FFFFFF"/>
        </w:rPr>
        <w:t xml:space="preserve"> its border to residents of the Liverpool and Campbelltown local government areas in NSW</w:t>
      </w:r>
      <w:r w:rsidR="00094A4F">
        <w:rPr>
          <w:rFonts w:cstheme="minorHAnsi"/>
          <w:shd w:val="clear" w:color="auto" w:fill="FFFFFF"/>
        </w:rPr>
        <w:t>.  However, this</w:t>
      </w:r>
      <w:r w:rsidR="00515E21">
        <w:rPr>
          <w:rFonts w:cstheme="minorHAnsi"/>
          <w:shd w:val="clear" w:color="auto" w:fill="FFFFFF"/>
        </w:rPr>
        <w:t xml:space="preserve"> overlooked the likelihood of</w:t>
      </w:r>
      <w:r>
        <w:rPr>
          <w:rFonts w:cstheme="minorHAnsi"/>
          <w:shd w:val="clear" w:color="auto" w:fill="FFFFFF"/>
        </w:rPr>
        <w:t xml:space="preserve"> </w:t>
      </w:r>
      <w:r w:rsidR="00FE2BD3">
        <w:rPr>
          <w:rFonts w:cstheme="minorHAnsi"/>
          <w:shd w:val="clear" w:color="auto" w:fill="FFFFFF"/>
        </w:rPr>
        <w:t xml:space="preserve">more </w:t>
      </w:r>
      <w:r>
        <w:rPr>
          <w:rFonts w:cstheme="minorHAnsi"/>
          <w:shd w:val="clear" w:color="auto" w:fill="FFFFFF"/>
        </w:rPr>
        <w:t xml:space="preserve">significant risk </w:t>
      </w:r>
      <w:r w:rsidR="00397F89">
        <w:rPr>
          <w:rFonts w:cstheme="minorHAnsi"/>
          <w:shd w:val="clear" w:color="auto" w:fill="FFFFFF"/>
        </w:rPr>
        <w:t>in</w:t>
      </w:r>
      <w:r w:rsidR="00515E21">
        <w:rPr>
          <w:rFonts w:cstheme="minorHAnsi"/>
          <w:shd w:val="clear" w:color="auto" w:fill="FFFFFF"/>
        </w:rPr>
        <w:t xml:space="preserve"> other areas – a risk</w:t>
      </w:r>
      <w:r w:rsidR="00FE2BD3">
        <w:rPr>
          <w:rFonts w:cstheme="minorHAnsi"/>
          <w:shd w:val="clear" w:color="auto" w:fill="FFFFFF"/>
        </w:rPr>
        <w:t xml:space="preserve"> which soon eventuated</w:t>
      </w:r>
      <w:r>
        <w:rPr>
          <w:rFonts w:cstheme="minorHAnsi"/>
          <w:shd w:val="clear" w:color="auto" w:fill="FFFFFF"/>
        </w:rPr>
        <w:t>.</w:t>
      </w:r>
    </w:p>
    <w:p w14:paraId="366EE8C1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7E88C9FE" w14:textId="4B8FBCDA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While clusters linked to the </w:t>
      </w:r>
      <w:r w:rsidR="00FE2BD3">
        <w:rPr>
          <w:rFonts w:cstheme="minorHAnsi"/>
          <w:shd w:val="clear" w:color="auto" w:fill="FFFFFF"/>
        </w:rPr>
        <w:t xml:space="preserve">outbreak </w:t>
      </w:r>
      <w:r>
        <w:rPr>
          <w:rFonts w:cstheme="minorHAnsi"/>
          <w:shd w:val="clear" w:color="auto" w:fill="FFFFFF"/>
        </w:rPr>
        <w:t xml:space="preserve">emerged in </w:t>
      </w:r>
      <w:r w:rsidR="00397F89">
        <w:rPr>
          <w:rFonts w:cstheme="minorHAnsi"/>
          <w:shd w:val="clear" w:color="auto" w:fill="FFFFFF"/>
        </w:rPr>
        <w:t xml:space="preserve">several places in </w:t>
      </w:r>
      <w:r>
        <w:rPr>
          <w:rFonts w:cstheme="minorHAnsi"/>
          <w:shd w:val="clear" w:color="auto" w:fill="FFFFFF"/>
        </w:rPr>
        <w:t xml:space="preserve">Sydney, NSW authorities appeared able to trace nearly all affected people.  Nonetheless, Queensland </w:t>
      </w:r>
      <w:r w:rsidR="00FE2BD3">
        <w:rPr>
          <w:rFonts w:cstheme="minorHAnsi"/>
          <w:shd w:val="clear" w:color="auto" w:fill="FFFFFF"/>
        </w:rPr>
        <w:t xml:space="preserve">progressively </w:t>
      </w:r>
      <w:r>
        <w:rPr>
          <w:rFonts w:cstheme="minorHAnsi"/>
          <w:shd w:val="clear" w:color="auto" w:fill="FFFFFF"/>
        </w:rPr>
        <w:t xml:space="preserve">closed its border to: areas in Sydney; all Sydney; all NSW </w:t>
      </w:r>
      <w:r w:rsidR="00FE2BD3">
        <w:rPr>
          <w:rFonts w:cstheme="minorHAnsi"/>
          <w:shd w:val="clear" w:color="auto" w:fill="FFFFFF"/>
        </w:rPr>
        <w:t>and the ACT</w:t>
      </w:r>
      <w:r>
        <w:rPr>
          <w:rFonts w:cstheme="minorHAnsi"/>
          <w:shd w:val="clear" w:color="auto" w:fill="FFFFFF"/>
        </w:rPr>
        <w:t xml:space="preserve">.  </w:t>
      </w:r>
      <w:r w:rsidR="006839CB">
        <w:rPr>
          <w:rFonts w:cstheme="minorHAnsi"/>
          <w:shd w:val="clear" w:color="auto" w:fill="FFFFFF"/>
        </w:rPr>
        <w:t xml:space="preserve">This was said to reflect </w:t>
      </w:r>
      <w:r>
        <w:rPr>
          <w:rFonts w:cstheme="minorHAnsi"/>
          <w:shd w:val="clear" w:color="auto" w:fill="FFFFFF"/>
        </w:rPr>
        <w:t xml:space="preserve">‘concern’ people from </w:t>
      </w:r>
      <w:r w:rsidR="00094A4F">
        <w:rPr>
          <w:rFonts w:cstheme="minorHAnsi"/>
          <w:shd w:val="clear" w:color="auto" w:fill="FFFFFF"/>
        </w:rPr>
        <w:t>‘</w:t>
      </w:r>
      <w:r>
        <w:rPr>
          <w:rFonts w:cstheme="minorHAnsi"/>
          <w:shd w:val="clear" w:color="auto" w:fill="FFFFFF"/>
        </w:rPr>
        <w:t>hotspots</w:t>
      </w:r>
      <w:r w:rsidR="00094A4F">
        <w:rPr>
          <w:rFonts w:cstheme="minorHAnsi"/>
          <w:shd w:val="clear" w:color="auto" w:fill="FFFFFF"/>
        </w:rPr>
        <w:t>’</w:t>
      </w:r>
      <w:r>
        <w:rPr>
          <w:rFonts w:cstheme="minorHAnsi"/>
          <w:shd w:val="clear" w:color="auto" w:fill="FFFFFF"/>
        </w:rPr>
        <w:t xml:space="preserve"> would travel to Queensland via other areas – triggered by two residents returning from Melbourne.  Less prominent </w:t>
      </w:r>
      <w:r w:rsidR="00094A4F">
        <w:rPr>
          <w:rFonts w:cstheme="minorHAnsi"/>
          <w:shd w:val="clear" w:color="auto" w:fill="FFFFFF"/>
        </w:rPr>
        <w:t>on</w:t>
      </w:r>
      <w:r>
        <w:rPr>
          <w:rFonts w:cstheme="minorHAnsi"/>
          <w:shd w:val="clear" w:color="auto" w:fill="FFFFFF"/>
        </w:rPr>
        <w:t xml:space="preserve"> </w:t>
      </w:r>
      <w:r w:rsidR="006839CB">
        <w:rPr>
          <w:rFonts w:cstheme="minorHAnsi"/>
          <w:shd w:val="clear" w:color="auto" w:fill="FFFFFF"/>
        </w:rPr>
        <w:t>the list of Queensland</w:t>
      </w:r>
      <w:r w:rsidR="00FE2BD3">
        <w:rPr>
          <w:rFonts w:cstheme="minorHAnsi"/>
          <w:shd w:val="clear" w:color="auto" w:fill="FFFFFF"/>
        </w:rPr>
        <w:t xml:space="preserve"> </w:t>
      </w:r>
      <w:r w:rsidR="00B22831">
        <w:rPr>
          <w:rFonts w:cstheme="minorHAnsi"/>
          <w:shd w:val="clear" w:color="auto" w:fill="FFFFFF"/>
        </w:rPr>
        <w:t>concerns</w:t>
      </w:r>
      <w:r>
        <w:rPr>
          <w:rFonts w:cstheme="minorHAnsi"/>
          <w:shd w:val="clear" w:color="auto" w:fill="FFFFFF"/>
        </w:rPr>
        <w:t xml:space="preserve"> w</w:t>
      </w:r>
      <w:r w:rsidR="00FE2BD3">
        <w:rPr>
          <w:rFonts w:cstheme="minorHAnsi"/>
          <w:shd w:val="clear" w:color="auto" w:fill="FFFFFF"/>
        </w:rPr>
        <w:t>ere</w:t>
      </w:r>
      <w:r>
        <w:rPr>
          <w:rFonts w:cstheme="minorHAnsi"/>
          <w:shd w:val="clear" w:color="auto" w:fill="FFFFFF"/>
        </w:rPr>
        <w:t xml:space="preserve"> 210 people who </w:t>
      </w:r>
      <w:r w:rsidR="006839CB">
        <w:rPr>
          <w:rFonts w:cstheme="minorHAnsi"/>
          <w:shd w:val="clear" w:color="auto" w:fill="FFFFFF"/>
        </w:rPr>
        <w:t xml:space="preserve">had </w:t>
      </w:r>
      <w:r w:rsidR="00FE2BD3">
        <w:rPr>
          <w:rFonts w:cstheme="minorHAnsi"/>
          <w:shd w:val="clear" w:color="auto" w:fill="FFFFFF"/>
        </w:rPr>
        <w:t xml:space="preserve">locally </w:t>
      </w:r>
      <w:r>
        <w:rPr>
          <w:rFonts w:cstheme="minorHAnsi"/>
          <w:shd w:val="clear" w:color="auto" w:fill="FFFFFF"/>
        </w:rPr>
        <w:t>breached requirements to self-isolate</w:t>
      </w:r>
      <w:r w:rsidR="00B22831">
        <w:rPr>
          <w:rFonts w:cstheme="minorHAnsi"/>
          <w:shd w:val="clear" w:color="auto" w:fill="FFFFFF"/>
        </w:rPr>
        <w:t xml:space="preserve"> since April</w:t>
      </w:r>
      <w:r>
        <w:rPr>
          <w:rFonts w:cstheme="minorHAnsi"/>
          <w:shd w:val="clear" w:color="auto" w:fill="FFFFFF"/>
        </w:rPr>
        <w:t>.</w:t>
      </w:r>
    </w:p>
    <w:p w14:paraId="3EC5AB08" w14:textId="77777777" w:rsidR="003018BE" w:rsidRDefault="003018BE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46E100C1" w14:textId="451A5141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Following the reports of the proposed </w:t>
      </w:r>
      <w:r w:rsidR="006839CB">
        <w:rPr>
          <w:rFonts w:cstheme="minorHAnsi"/>
          <w:shd w:val="clear" w:color="auto" w:fill="FFFFFF"/>
        </w:rPr>
        <w:t xml:space="preserve">Albury </w:t>
      </w:r>
      <w:r>
        <w:rPr>
          <w:rFonts w:cstheme="minorHAnsi"/>
          <w:shd w:val="clear" w:color="auto" w:fill="FFFFFF"/>
        </w:rPr>
        <w:t xml:space="preserve">‘bubble’, Queensland made a similar proposal </w:t>
      </w:r>
      <w:r w:rsidR="003018BE">
        <w:rPr>
          <w:rFonts w:cstheme="minorHAnsi"/>
          <w:shd w:val="clear" w:color="auto" w:fill="FFFFFF"/>
        </w:rPr>
        <w:t>for</w:t>
      </w:r>
      <w:r>
        <w:rPr>
          <w:rFonts w:cstheme="minorHAnsi"/>
          <w:shd w:val="clear" w:color="auto" w:fill="FFFFFF"/>
        </w:rPr>
        <w:t xml:space="preserve"> the Gold Coast-Tweed area.  Reports did not have </w:t>
      </w:r>
      <w:r w:rsidR="00B22831">
        <w:rPr>
          <w:rFonts w:cstheme="minorHAnsi"/>
          <w:shd w:val="clear" w:color="auto" w:fill="FFFFFF"/>
        </w:rPr>
        <w:t>a more</w:t>
      </w:r>
      <w:r>
        <w:rPr>
          <w:rFonts w:cstheme="minorHAnsi"/>
          <w:shd w:val="clear" w:color="auto" w:fill="FFFFFF"/>
        </w:rPr>
        <w:t xml:space="preserve"> obvious proposal – to move the control point to somewhere in Queensland. Nor did reports indicate </w:t>
      </w:r>
      <w:r w:rsidR="00B22831">
        <w:rPr>
          <w:rFonts w:cstheme="minorHAnsi"/>
          <w:shd w:val="clear" w:color="auto" w:fill="FFFFFF"/>
        </w:rPr>
        <w:t>the</w:t>
      </w:r>
      <w:r>
        <w:rPr>
          <w:rFonts w:cstheme="minorHAnsi"/>
          <w:shd w:val="clear" w:color="auto" w:fill="FFFFFF"/>
        </w:rPr>
        <w:t xml:space="preserve"> idea </w:t>
      </w:r>
      <w:r w:rsidR="00B22831">
        <w:rPr>
          <w:rFonts w:cstheme="minorHAnsi"/>
          <w:shd w:val="clear" w:color="auto" w:fill="FFFFFF"/>
        </w:rPr>
        <w:t>understood legal or practical issues</w:t>
      </w:r>
      <w:r w:rsidR="003018BE">
        <w:rPr>
          <w:rFonts w:cstheme="minorHAnsi"/>
          <w:shd w:val="clear" w:color="auto" w:fill="FFFFFF"/>
        </w:rPr>
        <w:t xml:space="preserve">.  </w:t>
      </w:r>
    </w:p>
    <w:p w14:paraId="40E6CD72" w14:textId="77777777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 w14:paraId="71646661" w14:textId="7C167644" w:rsidR="009717CF" w:rsidRDefault="009717CF" w:rsidP="000B0318">
      <w:pPr>
        <w:pStyle w:val="Heading3"/>
        <w:spacing w:before="0" w:line="240" w:lineRule="auto"/>
        <w:rPr>
          <w:shd w:val="clear" w:color="auto" w:fill="FFFFFF"/>
        </w:rPr>
      </w:pPr>
      <w:bookmarkStart w:id="19" w:name="_Toc48224248"/>
      <w:r>
        <w:rPr>
          <w:shd w:val="clear" w:color="auto" w:fill="FFFFFF"/>
        </w:rPr>
        <w:t>Border closures – more general</w:t>
      </w:r>
      <w:bookmarkEnd w:id="19"/>
    </w:p>
    <w:p w14:paraId="389D8C33" w14:textId="7FE940EA" w:rsidR="0000610B" w:rsidRPr="00B52086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 w:rsidRPr="00B52086">
        <w:rPr>
          <w:rFonts w:cstheme="minorHAnsi"/>
          <w:shd w:val="clear" w:color="auto" w:fill="FFFFFF"/>
        </w:rPr>
        <w:t xml:space="preserve">Debate about State border closures </w:t>
      </w:r>
      <w:r w:rsidR="00397F89">
        <w:rPr>
          <w:rFonts w:cstheme="minorHAnsi"/>
          <w:shd w:val="clear" w:color="auto" w:fill="FFFFFF"/>
        </w:rPr>
        <w:t>fermented.  M</w:t>
      </w:r>
      <w:r w:rsidRPr="00B52086">
        <w:rPr>
          <w:rFonts w:cstheme="minorHAnsi"/>
          <w:shd w:val="clear" w:color="auto" w:fill="FFFFFF"/>
        </w:rPr>
        <w:t xml:space="preserve">ost </w:t>
      </w:r>
      <w:r w:rsidR="00C3579F">
        <w:rPr>
          <w:rFonts w:cstheme="minorHAnsi"/>
          <w:shd w:val="clear" w:color="auto" w:fill="FFFFFF"/>
        </w:rPr>
        <w:t xml:space="preserve">debaters </w:t>
      </w:r>
      <w:r w:rsidRPr="00B52086">
        <w:rPr>
          <w:rFonts w:cstheme="minorHAnsi"/>
          <w:shd w:val="clear" w:color="auto" w:fill="FFFFFF"/>
        </w:rPr>
        <w:t xml:space="preserve">assumed </w:t>
      </w:r>
      <w:r w:rsidR="00C3579F">
        <w:rPr>
          <w:rFonts w:cstheme="minorHAnsi"/>
          <w:shd w:val="clear" w:color="auto" w:fill="FFFFFF"/>
        </w:rPr>
        <w:t>issues are limited to</w:t>
      </w:r>
      <w:r w:rsidRPr="00B5208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‘</w:t>
      </w:r>
      <w:r w:rsidRPr="00B52086">
        <w:rPr>
          <w:rFonts w:cstheme="minorHAnsi"/>
          <w:shd w:val="clear" w:color="auto" w:fill="FFFFFF"/>
        </w:rPr>
        <w:t>necessity</w:t>
      </w:r>
      <w:r>
        <w:rPr>
          <w:rFonts w:cstheme="minorHAnsi"/>
          <w:shd w:val="clear" w:color="auto" w:fill="FFFFFF"/>
        </w:rPr>
        <w:t>’</w:t>
      </w:r>
      <w:r w:rsidRPr="00B52086">
        <w:rPr>
          <w:rFonts w:cstheme="minorHAnsi"/>
          <w:shd w:val="clear" w:color="auto" w:fill="FFFFFF"/>
        </w:rPr>
        <w:t xml:space="preserve"> </w:t>
      </w:r>
      <w:r w:rsidR="00C3579F">
        <w:rPr>
          <w:rFonts w:cstheme="minorHAnsi"/>
          <w:shd w:val="clear" w:color="auto" w:fill="FFFFFF"/>
        </w:rPr>
        <w:t>and popularity</w:t>
      </w:r>
      <w:r w:rsidRPr="00B52086">
        <w:rPr>
          <w:rFonts w:cstheme="minorHAnsi"/>
          <w:shd w:val="clear" w:color="auto" w:fill="FFFFFF"/>
        </w:rPr>
        <w:t xml:space="preserve"> – implying local</w:t>
      </w:r>
      <w:r w:rsidR="00C3579F">
        <w:rPr>
          <w:rFonts w:cstheme="minorHAnsi"/>
          <w:shd w:val="clear" w:color="auto" w:fill="FFFFFF"/>
        </w:rPr>
        <w:t>ism</w:t>
      </w:r>
      <w:r w:rsidRPr="00B52086">
        <w:rPr>
          <w:rFonts w:cstheme="minorHAnsi"/>
          <w:shd w:val="clear" w:color="auto" w:fill="FFFFFF"/>
        </w:rPr>
        <w:t xml:space="preserve"> </w:t>
      </w:r>
      <w:r w:rsidR="00C3579F">
        <w:rPr>
          <w:rFonts w:cstheme="minorHAnsi"/>
          <w:shd w:val="clear" w:color="auto" w:fill="FFFFFF"/>
        </w:rPr>
        <w:t>trumps</w:t>
      </w:r>
      <w:r w:rsidRPr="00B52086">
        <w:rPr>
          <w:rFonts w:cstheme="minorHAnsi"/>
          <w:shd w:val="clear" w:color="auto" w:fill="FFFFFF"/>
        </w:rPr>
        <w:t xml:space="preserve"> legality and good public policy.  </w:t>
      </w:r>
      <w:r w:rsidR="006839CB">
        <w:rPr>
          <w:rFonts w:cstheme="minorHAnsi"/>
          <w:shd w:val="clear" w:color="auto" w:fill="FFFFFF"/>
        </w:rPr>
        <w:t xml:space="preserve">However, the most </w:t>
      </w:r>
      <w:r w:rsidR="0000610B">
        <w:rPr>
          <w:rFonts w:cstheme="minorHAnsi"/>
          <w:shd w:val="clear" w:color="auto" w:fill="FFFFFF"/>
        </w:rPr>
        <w:t xml:space="preserve">fundamental </w:t>
      </w:r>
      <w:r w:rsidR="006839CB">
        <w:rPr>
          <w:rFonts w:cstheme="minorHAnsi"/>
          <w:shd w:val="clear" w:color="auto" w:fill="FFFFFF"/>
        </w:rPr>
        <w:t xml:space="preserve">policy </w:t>
      </w:r>
      <w:r w:rsidR="0000610B">
        <w:rPr>
          <w:rFonts w:cstheme="minorHAnsi"/>
          <w:shd w:val="clear" w:color="auto" w:fill="FFFFFF"/>
        </w:rPr>
        <w:t xml:space="preserve">matter </w:t>
      </w:r>
      <w:r w:rsidR="00C3579F">
        <w:rPr>
          <w:rFonts w:cstheme="minorHAnsi"/>
          <w:shd w:val="clear" w:color="auto" w:fill="FFFFFF"/>
        </w:rPr>
        <w:t>has been ignored</w:t>
      </w:r>
      <w:r w:rsidR="0000610B">
        <w:rPr>
          <w:rFonts w:cstheme="minorHAnsi"/>
          <w:shd w:val="clear" w:color="auto" w:fill="FFFFFF"/>
        </w:rPr>
        <w:t xml:space="preserve">: duality of border closures and isolation.  A border closure implies the target people should be isolated, wherever they may be. </w:t>
      </w:r>
    </w:p>
    <w:p w14:paraId="2270F46F" w14:textId="77777777" w:rsidR="009717CF" w:rsidRPr="00B52086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05A1434B" w14:textId="7087DE9E" w:rsidR="009717CF" w:rsidRPr="00B52086" w:rsidRDefault="0060366D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Border closures </w:t>
      </w:r>
      <w:r w:rsidR="0000610B">
        <w:rPr>
          <w:rFonts w:cstheme="minorHAnsi"/>
          <w:shd w:val="clear" w:color="auto" w:fill="FFFFFF"/>
        </w:rPr>
        <w:t>raise</w:t>
      </w:r>
      <w:r>
        <w:rPr>
          <w:rFonts w:cstheme="minorHAnsi"/>
          <w:shd w:val="clear" w:color="auto" w:fill="FFFFFF"/>
        </w:rPr>
        <w:t xml:space="preserve"> </w:t>
      </w:r>
      <w:r w:rsidR="00B259F6">
        <w:rPr>
          <w:rFonts w:cstheme="minorHAnsi"/>
          <w:shd w:val="clear" w:color="auto" w:fill="FFFFFF"/>
        </w:rPr>
        <w:t xml:space="preserve">grave </w:t>
      </w:r>
      <w:r>
        <w:rPr>
          <w:rFonts w:cstheme="minorHAnsi"/>
          <w:shd w:val="clear" w:color="auto" w:fill="FFFFFF"/>
        </w:rPr>
        <w:t>matters</w:t>
      </w:r>
      <w:r w:rsidR="00C3579F">
        <w:rPr>
          <w:rFonts w:cstheme="minorHAnsi"/>
          <w:shd w:val="clear" w:color="auto" w:fill="FFFFFF"/>
        </w:rPr>
        <w:t>, even if legal</w:t>
      </w:r>
      <w:r>
        <w:rPr>
          <w:rFonts w:cstheme="minorHAnsi"/>
          <w:shd w:val="clear" w:color="auto" w:fill="FFFFFF"/>
        </w:rPr>
        <w:t>.   When made</w:t>
      </w:r>
      <w:r w:rsidR="004D0D95">
        <w:rPr>
          <w:rFonts w:cstheme="minorHAnsi"/>
          <w:shd w:val="clear" w:color="auto" w:fill="FFFFFF"/>
        </w:rPr>
        <w:t xml:space="preserve"> against </w:t>
      </w:r>
      <w:r>
        <w:rPr>
          <w:rFonts w:cstheme="minorHAnsi"/>
          <w:shd w:val="clear" w:color="auto" w:fill="FFFFFF"/>
        </w:rPr>
        <w:t>people</w:t>
      </w:r>
      <w:r w:rsidR="004D0D95">
        <w:rPr>
          <w:rFonts w:cstheme="minorHAnsi"/>
          <w:shd w:val="clear" w:color="auto" w:fill="FFFFFF"/>
        </w:rPr>
        <w:t xml:space="preserve"> not subject to isolation orders</w:t>
      </w:r>
      <w:r w:rsidR="009717CF" w:rsidRPr="00B52086">
        <w:rPr>
          <w:rFonts w:cstheme="minorHAnsi"/>
          <w:shd w:val="clear" w:color="auto" w:fill="FFFFFF"/>
        </w:rPr>
        <w:t xml:space="preserve"> </w:t>
      </w:r>
      <w:r w:rsidR="0000610B">
        <w:rPr>
          <w:rFonts w:cstheme="minorHAnsi"/>
          <w:shd w:val="clear" w:color="auto" w:fill="FFFFFF"/>
        </w:rPr>
        <w:t xml:space="preserve">they </w:t>
      </w:r>
      <w:r w:rsidR="009717CF" w:rsidRPr="00B52086">
        <w:rPr>
          <w:rFonts w:cstheme="minorHAnsi"/>
          <w:shd w:val="clear" w:color="auto" w:fill="FFFFFF"/>
        </w:rPr>
        <w:t>are an expression of ‘no confidence’ by one Government in another</w:t>
      </w:r>
      <w:r>
        <w:rPr>
          <w:rFonts w:cstheme="minorHAnsi"/>
          <w:shd w:val="clear" w:color="auto" w:fill="FFFFFF"/>
        </w:rPr>
        <w:t>.</w:t>
      </w:r>
      <w:r w:rsidR="006257DB">
        <w:rPr>
          <w:rFonts w:cstheme="minorHAnsi"/>
          <w:shd w:val="clear" w:color="auto" w:fill="FFFFFF"/>
        </w:rPr>
        <w:t xml:space="preserve">  </w:t>
      </w:r>
      <w:r w:rsidR="009717CF" w:rsidRPr="00B52086">
        <w:rPr>
          <w:rFonts w:cstheme="minorHAnsi"/>
          <w:shd w:val="clear" w:color="auto" w:fill="FFFFFF"/>
        </w:rPr>
        <w:t xml:space="preserve">If there are significant public health failures in a State, </w:t>
      </w:r>
      <w:r w:rsidR="006257DB">
        <w:rPr>
          <w:rFonts w:cstheme="minorHAnsi"/>
          <w:shd w:val="clear" w:color="auto" w:fill="FFFFFF"/>
        </w:rPr>
        <w:t>th</w:t>
      </w:r>
      <w:r w:rsidR="00094A4F">
        <w:rPr>
          <w:rFonts w:cstheme="minorHAnsi"/>
          <w:shd w:val="clear" w:color="auto" w:fill="FFFFFF"/>
        </w:rPr>
        <w:t>ey</w:t>
      </w:r>
      <w:r w:rsidR="006257DB">
        <w:rPr>
          <w:rFonts w:cstheme="minorHAnsi"/>
          <w:shd w:val="clear" w:color="auto" w:fill="FFFFFF"/>
        </w:rPr>
        <w:t xml:space="preserve"> can</w:t>
      </w:r>
      <w:r w:rsidR="009717CF" w:rsidRPr="00B52086">
        <w:rPr>
          <w:rFonts w:cstheme="minorHAnsi"/>
          <w:shd w:val="clear" w:color="auto" w:fill="FFFFFF"/>
        </w:rPr>
        <w:t xml:space="preserve"> usefully signal the need for a lock</w:t>
      </w:r>
      <w:r w:rsidR="009717CF">
        <w:rPr>
          <w:rFonts w:cstheme="minorHAnsi"/>
          <w:shd w:val="clear" w:color="auto" w:fill="FFFFFF"/>
        </w:rPr>
        <w:t>-</w:t>
      </w:r>
      <w:r w:rsidR="009717CF" w:rsidRPr="00B52086">
        <w:rPr>
          <w:rFonts w:cstheme="minorHAnsi"/>
          <w:shd w:val="clear" w:color="auto" w:fill="FFFFFF"/>
        </w:rPr>
        <w:t xml:space="preserve">down in </w:t>
      </w:r>
      <w:r w:rsidR="009717CF">
        <w:rPr>
          <w:rFonts w:cstheme="minorHAnsi"/>
          <w:shd w:val="clear" w:color="auto" w:fill="FFFFFF"/>
        </w:rPr>
        <w:t>a</w:t>
      </w:r>
      <w:r w:rsidR="009717CF" w:rsidRPr="00B52086">
        <w:rPr>
          <w:rFonts w:cstheme="minorHAnsi"/>
          <w:shd w:val="clear" w:color="auto" w:fill="FFFFFF"/>
        </w:rPr>
        <w:t xml:space="preserve"> target State</w:t>
      </w:r>
      <w:r>
        <w:rPr>
          <w:rFonts w:cstheme="minorHAnsi"/>
          <w:shd w:val="clear" w:color="auto" w:fill="FFFFFF"/>
        </w:rPr>
        <w:t>, leading to lower</w:t>
      </w:r>
      <w:r w:rsidR="009717CF" w:rsidRPr="00B52086">
        <w:rPr>
          <w:rFonts w:cstheme="minorHAnsi"/>
          <w:shd w:val="clear" w:color="auto" w:fill="FFFFFF"/>
        </w:rPr>
        <w:t xml:space="preserve"> economic activity and work </w:t>
      </w:r>
      <w:r>
        <w:rPr>
          <w:rFonts w:cstheme="minorHAnsi"/>
          <w:shd w:val="clear" w:color="auto" w:fill="FFFFFF"/>
        </w:rPr>
        <w:t>there</w:t>
      </w:r>
      <w:r w:rsidR="009717CF" w:rsidRPr="00B52086">
        <w:rPr>
          <w:rFonts w:cstheme="minorHAnsi"/>
          <w:shd w:val="clear" w:color="auto" w:fill="FFFFFF"/>
        </w:rPr>
        <w:t xml:space="preserve">.  There is a compelling case for greater and immediate </w:t>
      </w:r>
      <w:r w:rsidR="00C3579F">
        <w:rPr>
          <w:rFonts w:cstheme="minorHAnsi"/>
          <w:shd w:val="clear" w:color="auto" w:fill="FFFFFF"/>
        </w:rPr>
        <w:t>financial</w:t>
      </w:r>
      <w:r w:rsidR="009717CF" w:rsidRPr="00B52086">
        <w:rPr>
          <w:rFonts w:cstheme="minorHAnsi"/>
          <w:shd w:val="clear" w:color="auto" w:fill="FFFFFF"/>
        </w:rPr>
        <w:t xml:space="preserve"> assistance to </w:t>
      </w:r>
      <w:r w:rsidR="00D03561">
        <w:rPr>
          <w:rFonts w:cstheme="minorHAnsi"/>
          <w:shd w:val="clear" w:color="auto" w:fill="FFFFFF"/>
        </w:rPr>
        <w:t xml:space="preserve">people and </w:t>
      </w:r>
      <w:r w:rsidR="009717CF" w:rsidRPr="00B52086">
        <w:rPr>
          <w:rFonts w:cstheme="minorHAnsi"/>
          <w:shd w:val="clear" w:color="auto" w:fill="FFFFFF"/>
        </w:rPr>
        <w:t xml:space="preserve">communities targeted by border closures.  </w:t>
      </w:r>
    </w:p>
    <w:p w14:paraId="169F463A" w14:textId="77777777" w:rsidR="009717CF" w:rsidRPr="00B52086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11795FD7" w14:textId="101042A1" w:rsidR="009717CF" w:rsidRDefault="009717CF" w:rsidP="000B0318">
      <w:pPr>
        <w:spacing w:after="0" w:line="240" w:lineRule="auto"/>
        <w:rPr>
          <w:rFonts w:cstheme="minorHAnsi"/>
          <w:shd w:val="clear" w:color="auto" w:fill="FFFFFF"/>
        </w:rPr>
      </w:pPr>
      <w:r w:rsidRPr="00B52086">
        <w:rPr>
          <w:rFonts w:cstheme="minorHAnsi"/>
          <w:shd w:val="clear" w:color="auto" w:fill="FFFFFF"/>
        </w:rPr>
        <w:t xml:space="preserve">Constitution s.61 gives </w:t>
      </w:r>
      <w:r>
        <w:rPr>
          <w:rFonts w:cstheme="minorHAnsi"/>
          <w:shd w:val="clear" w:color="auto" w:fill="FFFFFF"/>
        </w:rPr>
        <w:t xml:space="preserve">only </w:t>
      </w:r>
      <w:r w:rsidRPr="00B52086">
        <w:rPr>
          <w:rFonts w:cstheme="minorHAnsi"/>
          <w:shd w:val="clear" w:color="auto" w:fill="FFFFFF"/>
        </w:rPr>
        <w:t xml:space="preserve">the Commonwealth the power </w:t>
      </w:r>
      <w:r w:rsidR="008438A6">
        <w:rPr>
          <w:rFonts w:cstheme="minorHAnsi"/>
          <w:shd w:val="clear" w:color="auto" w:fill="FFFFFF"/>
        </w:rPr>
        <w:t xml:space="preserve">for </w:t>
      </w:r>
      <w:r w:rsidRPr="00B52086">
        <w:rPr>
          <w:rFonts w:cstheme="minorHAnsi"/>
          <w:shd w:val="clear" w:color="auto" w:fill="FFFFFF"/>
        </w:rPr>
        <w:t xml:space="preserve">preservation of the system of government </w:t>
      </w:r>
      <w:r>
        <w:rPr>
          <w:rFonts w:cstheme="minorHAnsi"/>
          <w:shd w:val="clear" w:color="auto" w:fill="FFFFFF"/>
        </w:rPr>
        <w:t xml:space="preserve">- </w:t>
      </w:r>
      <w:r w:rsidRPr="00B52086">
        <w:rPr>
          <w:rFonts w:cstheme="minorHAnsi"/>
          <w:shd w:val="clear" w:color="auto" w:fill="FFFFFF"/>
        </w:rPr>
        <w:t xml:space="preserve">which an illegal border closure </w:t>
      </w:r>
      <w:r>
        <w:rPr>
          <w:rFonts w:cstheme="minorHAnsi"/>
          <w:shd w:val="clear" w:color="auto" w:fill="FFFFFF"/>
        </w:rPr>
        <w:t xml:space="preserve">would </w:t>
      </w:r>
      <w:r w:rsidRPr="00B52086">
        <w:rPr>
          <w:rFonts w:cstheme="minorHAnsi"/>
          <w:shd w:val="clear" w:color="auto" w:fill="FFFFFF"/>
        </w:rPr>
        <w:t>threaten.</w:t>
      </w:r>
      <w:r w:rsidR="00C3579F">
        <w:rPr>
          <w:rFonts w:cstheme="minorHAnsi"/>
          <w:shd w:val="clear" w:color="auto" w:fill="FFFFFF"/>
        </w:rPr>
        <w:t xml:space="preserve">  </w:t>
      </w:r>
      <w:r w:rsidR="0060366D">
        <w:rPr>
          <w:rFonts w:cstheme="minorHAnsi"/>
          <w:shd w:val="clear" w:color="auto" w:fill="FFFFFF"/>
        </w:rPr>
        <w:t>The</w:t>
      </w:r>
      <w:r w:rsidR="006839CB">
        <w:rPr>
          <w:rFonts w:cstheme="minorHAnsi"/>
          <w:shd w:val="clear" w:color="auto" w:fill="FFFFFF"/>
        </w:rPr>
        <w:t xml:space="preserve"> Government</w:t>
      </w:r>
      <w:r w:rsidR="0060366D">
        <w:rPr>
          <w:rFonts w:cstheme="minorHAnsi"/>
          <w:shd w:val="clear" w:color="auto" w:fill="FFFFFF"/>
        </w:rPr>
        <w:t xml:space="preserve">, however, has urged the cessation of the only current </w:t>
      </w:r>
      <w:r w:rsidR="00C3579F">
        <w:rPr>
          <w:rFonts w:cstheme="minorHAnsi"/>
          <w:shd w:val="clear" w:color="auto" w:fill="FFFFFF"/>
        </w:rPr>
        <w:t xml:space="preserve">test of the legality of </w:t>
      </w:r>
      <w:r w:rsidR="0060366D">
        <w:rPr>
          <w:rFonts w:cstheme="minorHAnsi"/>
          <w:shd w:val="clear" w:color="auto" w:fill="FFFFFF"/>
        </w:rPr>
        <w:t>a border closure.</w:t>
      </w:r>
      <w:r>
        <w:rPr>
          <w:rFonts w:cstheme="minorHAnsi"/>
          <w:shd w:val="clear" w:color="auto" w:fill="FFFFFF"/>
        </w:rPr>
        <w:t xml:space="preserve"> </w:t>
      </w:r>
    </w:p>
    <w:p w14:paraId="677167A5" w14:textId="0D502653" w:rsidR="009844ED" w:rsidRDefault="004E0D2D" w:rsidP="000B0318">
      <w:pPr>
        <w:pStyle w:val="Heading2"/>
        <w:spacing w:before="0" w:line="240" w:lineRule="auto"/>
        <w:rPr>
          <w:shd w:val="clear" w:color="auto" w:fill="FFFFFF"/>
        </w:rPr>
      </w:pPr>
      <w:bookmarkStart w:id="20" w:name="_Toc48224249"/>
      <w:bookmarkEnd w:id="13"/>
      <w:r>
        <w:rPr>
          <w:shd w:val="clear" w:color="auto" w:fill="FFFFFF"/>
        </w:rPr>
        <w:lastRenderedPageBreak/>
        <w:t>4.</w:t>
      </w:r>
      <w:r>
        <w:rPr>
          <w:shd w:val="clear" w:color="auto" w:fill="FFFFFF"/>
        </w:rPr>
        <w:tab/>
        <w:t>Conclusion</w:t>
      </w:r>
      <w:bookmarkEnd w:id="20"/>
    </w:p>
    <w:p w14:paraId="118C1FEF" w14:textId="2B9641EA" w:rsidR="00267EAE" w:rsidRDefault="008A15CB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 the absence of vaccine </w:t>
      </w:r>
      <w:r w:rsidR="000E40B1">
        <w:rPr>
          <w:rFonts w:cstheme="minorHAnsi"/>
          <w:shd w:val="clear" w:color="auto" w:fill="FFFFFF"/>
        </w:rPr>
        <w:t>or</w:t>
      </w:r>
      <w:r>
        <w:rPr>
          <w:rFonts w:cstheme="minorHAnsi"/>
          <w:shd w:val="clear" w:color="auto" w:fill="FFFFFF"/>
        </w:rPr>
        <w:t xml:space="preserve"> </w:t>
      </w:r>
      <w:r w:rsidR="000E40B1">
        <w:rPr>
          <w:rFonts w:cstheme="minorHAnsi"/>
          <w:shd w:val="clear" w:color="auto" w:fill="FFFFFF"/>
        </w:rPr>
        <w:t>antidote</w:t>
      </w:r>
      <w:r w:rsidR="00314B9B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="00314B9B">
        <w:rPr>
          <w:rFonts w:cstheme="minorHAnsi"/>
          <w:shd w:val="clear" w:color="auto" w:fill="FFFFFF"/>
        </w:rPr>
        <w:t>anti-</w:t>
      </w:r>
      <w:r w:rsidR="00881912">
        <w:rPr>
          <w:rFonts w:cstheme="minorHAnsi"/>
          <w:shd w:val="clear" w:color="auto" w:fill="FFFFFF"/>
        </w:rPr>
        <w:t xml:space="preserve">Covid </w:t>
      </w:r>
      <w:r w:rsidR="00314B9B">
        <w:rPr>
          <w:rFonts w:cstheme="minorHAnsi"/>
          <w:shd w:val="clear" w:color="auto" w:fill="FFFFFF"/>
        </w:rPr>
        <w:t xml:space="preserve">measures </w:t>
      </w:r>
      <w:r w:rsidR="006839CB">
        <w:rPr>
          <w:rFonts w:cstheme="minorHAnsi"/>
          <w:shd w:val="clear" w:color="auto" w:fill="FFFFFF"/>
        </w:rPr>
        <w:t xml:space="preserve">turn on the reliability of </w:t>
      </w:r>
      <w:r>
        <w:rPr>
          <w:rFonts w:cstheme="minorHAnsi"/>
          <w:shd w:val="clear" w:color="auto" w:fill="FFFFFF"/>
        </w:rPr>
        <w:t>test</w:t>
      </w:r>
      <w:r w:rsidR="000E40B1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 trace</w:t>
      </w:r>
      <w:r w:rsidR="000E40B1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 isolat</w:t>
      </w:r>
      <w:r w:rsidR="006839CB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 xml:space="preserve">.  </w:t>
      </w:r>
      <w:r w:rsidR="00267EAE">
        <w:rPr>
          <w:rFonts w:cstheme="minorHAnsi"/>
          <w:shd w:val="clear" w:color="auto" w:fill="FFFFFF"/>
        </w:rPr>
        <w:t>Unless</w:t>
      </w:r>
      <w:r>
        <w:rPr>
          <w:rFonts w:cstheme="minorHAnsi"/>
          <w:shd w:val="clear" w:color="auto" w:fill="FFFFFF"/>
        </w:rPr>
        <w:t xml:space="preserve"> </w:t>
      </w:r>
      <w:r w:rsidR="0060366D">
        <w:rPr>
          <w:rFonts w:cstheme="minorHAnsi"/>
          <w:shd w:val="clear" w:color="auto" w:fill="FFFFFF"/>
        </w:rPr>
        <w:t>th</w:t>
      </w:r>
      <w:r w:rsidR="006839CB">
        <w:rPr>
          <w:rFonts w:cstheme="minorHAnsi"/>
          <w:shd w:val="clear" w:color="auto" w:fill="FFFFFF"/>
        </w:rPr>
        <w:t>is is reliable</w:t>
      </w:r>
      <w:r>
        <w:rPr>
          <w:rFonts w:cstheme="minorHAnsi"/>
          <w:shd w:val="clear" w:color="auto" w:fill="FFFFFF"/>
        </w:rPr>
        <w:t xml:space="preserve">, it </w:t>
      </w:r>
      <w:r w:rsidR="00267EAE">
        <w:rPr>
          <w:rFonts w:cstheme="minorHAnsi"/>
          <w:shd w:val="clear" w:color="auto" w:fill="FFFFFF"/>
        </w:rPr>
        <w:t>can be</w:t>
      </w:r>
      <w:r>
        <w:rPr>
          <w:rFonts w:cstheme="minorHAnsi"/>
          <w:shd w:val="clear" w:color="auto" w:fill="FFFFFF"/>
        </w:rPr>
        <w:t xml:space="preserve"> necessary to isolate </w:t>
      </w:r>
      <w:r w:rsidR="00267EAE">
        <w:rPr>
          <w:rFonts w:cstheme="minorHAnsi"/>
          <w:shd w:val="clear" w:color="auto" w:fill="FFFFFF"/>
        </w:rPr>
        <w:t xml:space="preserve">all </w:t>
      </w:r>
      <w:r>
        <w:rPr>
          <w:rFonts w:cstheme="minorHAnsi"/>
          <w:shd w:val="clear" w:color="auto" w:fill="FFFFFF"/>
        </w:rPr>
        <w:t>those suspected of infection</w:t>
      </w:r>
      <w:r w:rsidR="00267EAE">
        <w:rPr>
          <w:rFonts w:cstheme="minorHAnsi"/>
          <w:shd w:val="clear" w:color="auto" w:fill="FFFFFF"/>
        </w:rPr>
        <w:t xml:space="preserve"> </w:t>
      </w:r>
      <w:r w:rsidR="00314B9B">
        <w:rPr>
          <w:rFonts w:cstheme="minorHAnsi"/>
          <w:shd w:val="clear" w:color="auto" w:fill="FFFFFF"/>
        </w:rPr>
        <w:t xml:space="preserve">- </w:t>
      </w:r>
      <w:r w:rsidR="00267EAE">
        <w:rPr>
          <w:rFonts w:cstheme="minorHAnsi"/>
          <w:shd w:val="clear" w:color="auto" w:fill="FFFFFF"/>
        </w:rPr>
        <w:t xml:space="preserve">which </w:t>
      </w:r>
      <w:r w:rsidR="006839CB">
        <w:rPr>
          <w:rFonts w:cstheme="minorHAnsi"/>
          <w:shd w:val="clear" w:color="auto" w:fill="FFFFFF"/>
        </w:rPr>
        <w:t xml:space="preserve">may be </w:t>
      </w:r>
      <w:r w:rsidR="0060366D">
        <w:rPr>
          <w:rFonts w:cstheme="minorHAnsi"/>
          <w:shd w:val="clear" w:color="auto" w:fill="FFFFFF"/>
        </w:rPr>
        <w:t xml:space="preserve">everybody in a </w:t>
      </w:r>
      <w:r w:rsidR="006839CB">
        <w:rPr>
          <w:rFonts w:cstheme="minorHAnsi"/>
          <w:shd w:val="clear" w:color="auto" w:fill="FFFFFF"/>
        </w:rPr>
        <w:t xml:space="preserve">large </w:t>
      </w:r>
      <w:r w:rsidR="0060366D">
        <w:rPr>
          <w:rFonts w:cstheme="minorHAnsi"/>
          <w:shd w:val="clear" w:color="auto" w:fill="FFFFFF"/>
        </w:rPr>
        <w:t>geographic area.</w:t>
      </w:r>
      <w:r w:rsidR="00267EAE">
        <w:rPr>
          <w:rFonts w:cstheme="minorHAnsi"/>
          <w:shd w:val="clear" w:color="auto" w:fill="FFFFFF"/>
        </w:rPr>
        <w:t xml:space="preserve"> The key to limiting the number of people </w:t>
      </w:r>
      <w:r w:rsidR="00314B9B">
        <w:rPr>
          <w:rFonts w:cstheme="minorHAnsi"/>
          <w:shd w:val="clear" w:color="auto" w:fill="FFFFFF"/>
        </w:rPr>
        <w:t xml:space="preserve">needlessly </w:t>
      </w:r>
      <w:r w:rsidR="00267EAE">
        <w:rPr>
          <w:rFonts w:cstheme="minorHAnsi"/>
          <w:shd w:val="clear" w:color="auto" w:fill="FFFFFF"/>
        </w:rPr>
        <w:t>isolated – a proxy for economic</w:t>
      </w:r>
      <w:r w:rsidR="00C3579F">
        <w:rPr>
          <w:rFonts w:cstheme="minorHAnsi"/>
          <w:shd w:val="clear" w:color="auto" w:fill="FFFFFF"/>
        </w:rPr>
        <w:t>,</w:t>
      </w:r>
      <w:r w:rsidR="00CC5800">
        <w:rPr>
          <w:rFonts w:cstheme="minorHAnsi"/>
          <w:shd w:val="clear" w:color="auto" w:fill="FFFFFF"/>
        </w:rPr>
        <w:t xml:space="preserve"> social </w:t>
      </w:r>
      <w:r w:rsidR="00C3579F">
        <w:rPr>
          <w:rFonts w:cstheme="minorHAnsi"/>
          <w:shd w:val="clear" w:color="auto" w:fill="FFFFFF"/>
        </w:rPr>
        <w:t xml:space="preserve">and institutional </w:t>
      </w:r>
      <w:r w:rsidR="00267EAE">
        <w:rPr>
          <w:rFonts w:cstheme="minorHAnsi"/>
          <w:shd w:val="clear" w:color="auto" w:fill="FFFFFF"/>
        </w:rPr>
        <w:t>damage – is to ensure the greatest reliability of detection, via testing and tracing, and of isolation.</w:t>
      </w:r>
    </w:p>
    <w:p w14:paraId="130186B1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4C916A19" w14:textId="3510C264" w:rsidR="00633F37" w:rsidRDefault="008438A6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  <w:r w:rsidR="00267EAE">
        <w:rPr>
          <w:rFonts w:cstheme="minorHAnsi"/>
          <w:shd w:val="clear" w:color="auto" w:fill="FFFFFF"/>
        </w:rPr>
        <w:t>fter six months Australia does not have a national strategy for dealing with Covid</w:t>
      </w:r>
      <w:r w:rsidR="0060366D">
        <w:rPr>
          <w:rFonts w:cstheme="minorHAnsi"/>
          <w:shd w:val="clear" w:color="auto" w:fill="FFFFFF"/>
        </w:rPr>
        <w:t xml:space="preserve">.  </w:t>
      </w:r>
      <w:r w:rsidR="00B259F6">
        <w:rPr>
          <w:rFonts w:cstheme="minorHAnsi"/>
          <w:shd w:val="clear" w:color="auto" w:fill="FFFFFF"/>
        </w:rPr>
        <w:t xml:space="preserve">Most astonishing is no Government or expert has </w:t>
      </w:r>
      <w:r w:rsidR="00C3579F">
        <w:rPr>
          <w:rFonts w:cstheme="minorHAnsi"/>
          <w:shd w:val="clear" w:color="auto" w:fill="FFFFFF"/>
        </w:rPr>
        <w:t>considered</w:t>
      </w:r>
      <w:r w:rsidR="00B259F6">
        <w:rPr>
          <w:rFonts w:cstheme="minorHAnsi"/>
          <w:shd w:val="clear" w:color="auto" w:fill="FFFFFF"/>
        </w:rPr>
        <w:t xml:space="preserve"> the </w:t>
      </w:r>
      <w:r w:rsidR="00515E21">
        <w:rPr>
          <w:rFonts w:cstheme="minorHAnsi"/>
          <w:shd w:val="clear" w:color="auto" w:fill="FFFFFF"/>
        </w:rPr>
        <w:t xml:space="preserve">necessity for any national strategy to be built on </w:t>
      </w:r>
      <w:r w:rsidR="00B259F6">
        <w:rPr>
          <w:rFonts w:cstheme="minorHAnsi"/>
          <w:shd w:val="clear" w:color="auto" w:fill="FFFFFF"/>
        </w:rPr>
        <w:t>duality of border closures and isolation.  The result</w:t>
      </w:r>
      <w:r w:rsidR="00E912C6">
        <w:rPr>
          <w:rFonts w:cstheme="minorHAnsi"/>
          <w:shd w:val="clear" w:color="auto" w:fill="FFFFFF"/>
        </w:rPr>
        <w:t>:</w:t>
      </w:r>
      <w:r w:rsidR="00515E21">
        <w:rPr>
          <w:rFonts w:cstheme="minorHAnsi"/>
          <w:shd w:val="clear" w:color="auto" w:fill="FFFFFF"/>
        </w:rPr>
        <w:t xml:space="preserve"> ongoing</w:t>
      </w:r>
      <w:r w:rsidR="0060366D">
        <w:rPr>
          <w:rFonts w:cstheme="minorHAnsi"/>
          <w:shd w:val="clear" w:color="auto" w:fill="FFFFFF"/>
        </w:rPr>
        <w:t xml:space="preserve"> </w:t>
      </w:r>
      <w:r w:rsidR="000F4E27">
        <w:rPr>
          <w:rFonts w:cstheme="minorHAnsi"/>
          <w:shd w:val="clear" w:color="auto" w:fill="FFFFFF"/>
        </w:rPr>
        <w:t>shamble</w:t>
      </w:r>
      <w:r w:rsidR="00D03561">
        <w:rPr>
          <w:rFonts w:cstheme="minorHAnsi"/>
          <w:shd w:val="clear" w:color="auto" w:fill="FFFFFF"/>
        </w:rPr>
        <w:t>s</w:t>
      </w:r>
      <w:r w:rsidR="00515E21">
        <w:rPr>
          <w:rFonts w:cstheme="minorHAnsi"/>
          <w:shd w:val="clear" w:color="auto" w:fill="FFFFFF"/>
        </w:rPr>
        <w:t xml:space="preserve">.  </w:t>
      </w:r>
    </w:p>
    <w:p w14:paraId="52E0995E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0E51604A" w14:textId="6263928C" w:rsidR="00515E21" w:rsidRDefault="00314B9B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</w:t>
      </w:r>
      <w:r w:rsidR="00FD05E6">
        <w:rPr>
          <w:rFonts w:cstheme="minorHAnsi"/>
          <w:shd w:val="clear" w:color="auto" w:fill="FFFFFF"/>
        </w:rPr>
        <w:t xml:space="preserve"> many indications of incoherence</w:t>
      </w:r>
      <w:r w:rsidR="00E912C6">
        <w:rPr>
          <w:rFonts w:cstheme="minorHAnsi"/>
          <w:shd w:val="clear" w:color="auto" w:fill="FFFFFF"/>
        </w:rPr>
        <w:t xml:space="preserve"> include</w:t>
      </w:r>
      <w:r w:rsidR="00FD05E6">
        <w:rPr>
          <w:rFonts w:cstheme="minorHAnsi"/>
          <w:shd w:val="clear" w:color="auto" w:fill="FFFFFF"/>
        </w:rPr>
        <w:t xml:space="preserve">: </w:t>
      </w:r>
      <w:r>
        <w:rPr>
          <w:rFonts w:cstheme="minorHAnsi"/>
          <w:shd w:val="clear" w:color="auto" w:fill="FFFFFF"/>
        </w:rPr>
        <w:t>border closures to people who are not isolated</w:t>
      </w:r>
      <w:r w:rsidR="00FD05E6">
        <w:rPr>
          <w:rFonts w:cstheme="minorHAnsi"/>
          <w:shd w:val="clear" w:color="auto" w:fill="FFFFFF"/>
        </w:rPr>
        <w:t xml:space="preserve">; </w:t>
      </w:r>
      <w:r w:rsidR="003E5377">
        <w:rPr>
          <w:rFonts w:cstheme="minorHAnsi"/>
          <w:shd w:val="clear" w:color="auto" w:fill="FFFFFF"/>
        </w:rPr>
        <w:t>vastly different decision-making processes</w:t>
      </w:r>
      <w:r w:rsidR="00FD05E6">
        <w:rPr>
          <w:rFonts w:cstheme="minorHAnsi"/>
          <w:shd w:val="clear" w:color="auto" w:fill="FFFFFF"/>
        </w:rPr>
        <w:t>;</w:t>
      </w:r>
      <w:r w:rsidR="003E5377">
        <w:rPr>
          <w:rFonts w:cstheme="minorHAnsi"/>
          <w:shd w:val="clear" w:color="auto" w:fill="FFFFFF"/>
        </w:rPr>
        <w:t xml:space="preserve"> military deployments</w:t>
      </w:r>
      <w:r w:rsidR="00E139FA">
        <w:rPr>
          <w:rFonts w:cstheme="minorHAnsi"/>
          <w:shd w:val="clear" w:color="auto" w:fill="FFFFFF"/>
        </w:rPr>
        <w:t xml:space="preserve"> to cover resource failures</w:t>
      </w:r>
      <w:r w:rsidR="00FD05E6">
        <w:rPr>
          <w:rFonts w:cstheme="minorHAnsi"/>
          <w:shd w:val="clear" w:color="auto" w:fill="FFFFFF"/>
        </w:rPr>
        <w:t xml:space="preserve">; </w:t>
      </w:r>
      <w:r w:rsidR="00737ED4">
        <w:rPr>
          <w:rFonts w:cstheme="minorHAnsi"/>
          <w:shd w:val="clear" w:color="auto" w:fill="FFFFFF"/>
        </w:rPr>
        <w:t xml:space="preserve">disincentives for </w:t>
      </w:r>
      <w:r>
        <w:rPr>
          <w:rFonts w:cstheme="minorHAnsi"/>
          <w:shd w:val="clear" w:color="auto" w:fill="FFFFFF"/>
        </w:rPr>
        <w:t>testing and isolation</w:t>
      </w:r>
      <w:r w:rsidR="00FD05E6">
        <w:rPr>
          <w:rFonts w:cstheme="minorHAnsi"/>
          <w:shd w:val="clear" w:color="auto" w:fill="FFFFFF"/>
        </w:rPr>
        <w:t xml:space="preserve">. Other </w:t>
      </w:r>
      <w:r w:rsidR="006839CB">
        <w:rPr>
          <w:rFonts w:cstheme="minorHAnsi"/>
          <w:shd w:val="clear" w:color="auto" w:fill="FFFFFF"/>
        </w:rPr>
        <w:t xml:space="preserve">severe </w:t>
      </w:r>
      <w:r w:rsidR="00FD05E6">
        <w:rPr>
          <w:rFonts w:cstheme="minorHAnsi"/>
          <w:shd w:val="clear" w:color="auto" w:fill="FFFFFF"/>
        </w:rPr>
        <w:t xml:space="preserve">problems include: </w:t>
      </w:r>
      <w:r w:rsidR="00E63AB3">
        <w:rPr>
          <w:rFonts w:cstheme="minorHAnsi"/>
          <w:shd w:val="clear" w:color="auto" w:fill="FFFFFF"/>
        </w:rPr>
        <w:t>lack</w:t>
      </w:r>
      <w:r w:rsidR="00FD05E6">
        <w:rPr>
          <w:rFonts w:cstheme="minorHAnsi"/>
          <w:shd w:val="clear" w:color="auto" w:fill="FFFFFF"/>
        </w:rPr>
        <w:t xml:space="preserve"> of </w:t>
      </w:r>
      <w:r w:rsidR="00E63AB3">
        <w:rPr>
          <w:rFonts w:cstheme="minorHAnsi"/>
          <w:shd w:val="clear" w:color="auto" w:fill="FFFFFF"/>
        </w:rPr>
        <w:t>Parliamentary</w:t>
      </w:r>
      <w:r w:rsidR="00B66D29">
        <w:rPr>
          <w:rFonts w:cstheme="minorHAnsi"/>
          <w:shd w:val="clear" w:color="auto" w:fill="FFFFFF"/>
        </w:rPr>
        <w:t xml:space="preserve"> </w:t>
      </w:r>
      <w:r w:rsidR="008438A6">
        <w:rPr>
          <w:rFonts w:cstheme="minorHAnsi"/>
          <w:shd w:val="clear" w:color="auto" w:fill="FFFFFF"/>
        </w:rPr>
        <w:t xml:space="preserve">authority </w:t>
      </w:r>
      <w:r w:rsidR="00B66D29">
        <w:rPr>
          <w:rFonts w:cstheme="minorHAnsi"/>
          <w:shd w:val="clear" w:color="auto" w:fill="FFFFFF"/>
        </w:rPr>
        <w:t xml:space="preserve">or appropriate </w:t>
      </w:r>
      <w:r w:rsidR="00E63AB3">
        <w:rPr>
          <w:rFonts w:cstheme="minorHAnsi"/>
          <w:shd w:val="clear" w:color="auto" w:fill="FFFFFF"/>
        </w:rPr>
        <w:t>support</w:t>
      </w:r>
      <w:r w:rsidR="00FD05E6">
        <w:rPr>
          <w:rFonts w:cstheme="minorHAnsi"/>
          <w:shd w:val="clear" w:color="auto" w:fill="FFFFFF"/>
        </w:rPr>
        <w:t xml:space="preserve"> for decisions; </w:t>
      </w:r>
      <w:r w:rsidR="00515E21">
        <w:rPr>
          <w:rFonts w:cstheme="minorHAnsi"/>
          <w:shd w:val="clear" w:color="auto" w:fill="FFFFFF"/>
        </w:rPr>
        <w:t xml:space="preserve">inexplicable </w:t>
      </w:r>
      <w:r w:rsidR="008438A6">
        <w:rPr>
          <w:rFonts w:cstheme="minorHAnsi"/>
          <w:shd w:val="clear" w:color="auto" w:fill="FFFFFF"/>
        </w:rPr>
        <w:t xml:space="preserve">and possibly illegal </w:t>
      </w:r>
      <w:r w:rsidR="00515E21">
        <w:rPr>
          <w:rFonts w:cstheme="minorHAnsi"/>
          <w:shd w:val="clear" w:color="auto" w:fill="FFFFFF"/>
        </w:rPr>
        <w:t>restrictions</w:t>
      </w:r>
      <w:r w:rsidR="00FD05E6">
        <w:rPr>
          <w:rFonts w:cstheme="minorHAnsi"/>
          <w:shd w:val="clear" w:color="auto" w:fill="FFFFFF"/>
        </w:rPr>
        <w:t>; an</w:t>
      </w:r>
      <w:r w:rsidR="003E5377">
        <w:rPr>
          <w:rFonts w:cstheme="minorHAnsi"/>
          <w:shd w:val="clear" w:color="auto" w:fill="FFFFFF"/>
        </w:rPr>
        <w:t xml:space="preserve">tagonism </w:t>
      </w:r>
      <w:r w:rsidR="00E63AB3">
        <w:rPr>
          <w:rFonts w:cstheme="minorHAnsi"/>
          <w:shd w:val="clear" w:color="auto" w:fill="FFFFFF"/>
        </w:rPr>
        <w:t>among</w:t>
      </w:r>
      <w:r w:rsidR="003E5377">
        <w:rPr>
          <w:rFonts w:cstheme="minorHAnsi"/>
          <w:shd w:val="clear" w:color="auto" w:fill="FFFFFF"/>
        </w:rPr>
        <w:t xml:space="preserve"> </w:t>
      </w:r>
      <w:r w:rsidR="00E63AB3">
        <w:rPr>
          <w:rFonts w:cstheme="minorHAnsi"/>
          <w:shd w:val="clear" w:color="auto" w:fill="FFFFFF"/>
        </w:rPr>
        <w:t xml:space="preserve">Governments </w:t>
      </w:r>
      <w:r w:rsidR="003E5377">
        <w:rPr>
          <w:rFonts w:cstheme="minorHAnsi"/>
          <w:shd w:val="clear" w:color="auto" w:fill="FFFFFF"/>
        </w:rPr>
        <w:t xml:space="preserve">played out </w:t>
      </w:r>
      <w:r w:rsidR="00C76E69">
        <w:rPr>
          <w:rFonts w:cstheme="minorHAnsi"/>
          <w:shd w:val="clear" w:color="auto" w:fill="FFFFFF"/>
        </w:rPr>
        <w:t xml:space="preserve">via </w:t>
      </w:r>
      <w:r w:rsidR="003E5377">
        <w:rPr>
          <w:rFonts w:cstheme="minorHAnsi"/>
          <w:shd w:val="clear" w:color="auto" w:fill="FFFFFF"/>
        </w:rPr>
        <w:t>the mass media</w:t>
      </w:r>
      <w:r w:rsidR="00FD05E6">
        <w:rPr>
          <w:rFonts w:cstheme="minorHAnsi"/>
          <w:shd w:val="clear" w:color="auto" w:fill="FFFFFF"/>
        </w:rPr>
        <w:t>;</w:t>
      </w:r>
      <w:r w:rsidR="00C76E69">
        <w:rPr>
          <w:rFonts w:cstheme="minorHAnsi"/>
          <w:shd w:val="clear" w:color="auto" w:fill="FFFFFF"/>
        </w:rPr>
        <w:t xml:space="preserve"> </w:t>
      </w:r>
      <w:r w:rsidR="000E40B1">
        <w:rPr>
          <w:rFonts w:cstheme="minorHAnsi"/>
          <w:shd w:val="clear" w:color="auto" w:fill="FFFFFF"/>
        </w:rPr>
        <w:t xml:space="preserve">personalities </w:t>
      </w:r>
      <w:r w:rsidR="00331A32">
        <w:rPr>
          <w:rFonts w:cstheme="minorHAnsi"/>
          <w:shd w:val="clear" w:color="auto" w:fill="FFFFFF"/>
        </w:rPr>
        <w:t>running ‘silver bullet’ campaigns</w:t>
      </w:r>
      <w:r w:rsidR="003E5377">
        <w:rPr>
          <w:rFonts w:cstheme="minorHAnsi"/>
          <w:shd w:val="clear" w:color="auto" w:fill="FFFFFF"/>
        </w:rPr>
        <w:t>.</w:t>
      </w:r>
      <w:r w:rsidR="008438A6">
        <w:rPr>
          <w:rFonts w:cstheme="minorHAnsi"/>
          <w:shd w:val="clear" w:color="auto" w:fill="FFFFFF"/>
        </w:rPr>
        <w:t xml:space="preserve">  </w:t>
      </w:r>
      <w:r w:rsidR="00515E21">
        <w:rPr>
          <w:rFonts w:cstheme="minorHAnsi"/>
          <w:shd w:val="clear" w:color="auto" w:fill="FFFFFF"/>
        </w:rPr>
        <w:t xml:space="preserve">All of which makes the Treasurer’s comment </w:t>
      </w:r>
      <w:r w:rsidR="00E912C6">
        <w:rPr>
          <w:rFonts w:cstheme="minorHAnsi"/>
          <w:shd w:val="clear" w:color="auto" w:fill="FFFFFF"/>
        </w:rPr>
        <w:t xml:space="preserve">that </w:t>
      </w:r>
      <w:r w:rsidR="00515E21">
        <w:rPr>
          <w:rFonts w:cstheme="minorHAnsi"/>
          <w:shd w:val="clear" w:color="auto" w:fill="FFFFFF"/>
        </w:rPr>
        <w:t xml:space="preserve">8 April </w:t>
      </w:r>
      <w:r w:rsidR="00E912C6">
        <w:rPr>
          <w:rFonts w:cstheme="minorHAnsi"/>
          <w:shd w:val="clear" w:color="auto" w:fill="FFFFFF"/>
        </w:rPr>
        <w:t>was</w:t>
      </w:r>
      <w:r w:rsidR="00515E21">
        <w:rPr>
          <w:rFonts w:cstheme="minorHAnsi"/>
          <w:shd w:val="clear" w:color="auto" w:fill="FFFFFF"/>
        </w:rPr>
        <w:t xml:space="preserve"> the ‘ultimate Team Australia moment’ unfortunately true.</w:t>
      </w:r>
    </w:p>
    <w:p w14:paraId="7E0A8C58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62DC1065" w14:textId="30D1ECBF" w:rsidR="000E40B1" w:rsidRDefault="00E912C6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Covid health results are said to </w:t>
      </w:r>
      <w:r w:rsidR="00331A32">
        <w:rPr>
          <w:rFonts w:cstheme="minorHAnsi"/>
          <w:shd w:val="clear" w:color="auto" w:fill="FFFFFF"/>
        </w:rPr>
        <w:t xml:space="preserve">depend on responses of the public </w:t>
      </w:r>
      <w:r w:rsidR="008438A6">
        <w:rPr>
          <w:rFonts w:cstheme="minorHAnsi"/>
          <w:shd w:val="clear" w:color="auto" w:fill="FFFFFF"/>
        </w:rPr>
        <w:t xml:space="preserve">e.g. </w:t>
      </w:r>
      <w:r w:rsidR="00331A32">
        <w:rPr>
          <w:rFonts w:cstheme="minorHAnsi"/>
          <w:shd w:val="clear" w:color="auto" w:fill="FFFFFF"/>
        </w:rPr>
        <w:t xml:space="preserve">willingness to participate in testing and isolation.  </w:t>
      </w:r>
      <w:r w:rsidR="003E5377">
        <w:rPr>
          <w:rFonts w:cstheme="minorHAnsi"/>
          <w:shd w:val="clear" w:color="auto" w:fill="FFFFFF"/>
        </w:rPr>
        <w:t xml:space="preserve">While some experts expect </w:t>
      </w:r>
      <w:r w:rsidR="008438A6">
        <w:rPr>
          <w:rFonts w:cstheme="minorHAnsi"/>
          <w:shd w:val="clear" w:color="auto" w:fill="FFFFFF"/>
        </w:rPr>
        <w:t>such</w:t>
      </w:r>
      <w:r w:rsidR="00331A32">
        <w:rPr>
          <w:rFonts w:cstheme="minorHAnsi"/>
          <w:shd w:val="clear" w:color="auto" w:fill="FFFFFF"/>
        </w:rPr>
        <w:t xml:space="preserve"> responses to weaken over time, the </w:t>
      </w:r>
      <w:r>
        <w:rPr>
          <w:rFonts w:cstheme="minorHAnsi"/>
          <w:shd w:val="clear" w:color="auto" w:fill="FFFFFF"/>
        </w:rPr>
        <w:t>national mess</w:t>
      </w:r>
      <w:r w:rsidR="00331A32">
        <w:rPr>
          <w:rFonts w:cstheme="minorHAnsi"/>
          <w:shd w:val="clear" w:color="auto" w:fill="FFFFFF"/>
        </w:rPr>
        <w:t xml:space="preserve"> </w:t>
      </w:r>
      <w:r w:rsidR="008438A6">
        <w:rPr>
          <w:rFonts w:cstheme="minorHAnsi"/>
          <w:shd w:val="clear" w:color="auto" w:fill="FFFFFF"/>
        </w:rPr>
        <w:t xml:space="preserve">is likely </w:t>
      </w:r>
      <w:r w:rsidR="00331A32">
        <w:rPr>
          <w:rFonts w:cstheme="minorHAnsi"/>
          <w:shd w:val="clear" w:color="auto" w:fill="FFFFFF"/>
        </w:rPr>
        <w:t xml:space="preserve">to accelerate </w:t>
      </w:r>
      <w:r w:rsidR="00926AC6">
        <w:rPr>
          <w:rFonts w:cstheme="minorHAnsi"/>
          <w:shd w:val="clear" w:color="auto" w:fill="FFFFFF"/>
        </w:rPr>
        <w:t>any</w:t>
      </w:r>
      <w:r w:rsidR="008438A6">
        <w:rPr>
          <w:rFonts w:cstheme="minorHAnsi"/>
          <w:shd w:val="clear" w:color="auto" w:fill="FFFFFF"/>
        </w:rPr>
        <w:t xml:space="preserve"> decay</w:t>
      </w:r>
      <w:r w:rsidR="00331A32">
        <w:rPr>
          <w:rFonts w:cstheme="minorHAnsi"/>
          <w:shd w:val="clear" w:color="auto" w:fill="FFFFFF"/>
        </w:rPr>
        <w:t>.</w:t>
      </w:r>
      <w:r w:rsidR="00E63AB3">
        <w:rPr>
          <w:rFonts w:cstheme="minorHAnsi"/>
          <w:shd w:val="clear" w:color="auto" w:fill="FFFFFF"/>
        </w:rPr>
        <w:t xml:space="preserve"> </w:t>
      </w:r>
      <w:r w:rsidR="00ED2CD2">
        <w:rPr>
          <w:rFonts w:cstheme="minorHAnsi"/>
          <w:shd w:val="clear" w:color="auto" w:fill="FFFFFF"/>
        </w:rPr>
        <w:t xml:space="preserve"> Given the pandemic may last for years, th</w:t>
      </w:r>
      <w:r w:rsidR="008438A6">
        <w:rPr>
          <w:rFonts w:cstheme="minorHAnsi"/>
          <w:shd w:val="clear" w:color="auto" w:fill="FFFFFF"/>
        </w:rPr>
        <w:t>at may have very serious consequences</w:t>
      </w:r>
      <w:r w:rsidR="00ED2CD2">
        <w:rPr>
          <w:rFonts w:cstheme="minorHAnsi"/>
          <w:shd w:val="clear" w:color="auto" w:fill="FFFFFF"/>
        </w:rPr>
        <w:t>.</w:t>
      </w:r>
      <w:r w:rsidR="00E63AB3">
        <w:rPr>
          <w:rFonts w:cstheme="minorHAnsi"/>
          <w:shd w:val="clear" w:color="auto" w:fill="FFFFFF"/>
        </w:rPr>
        <w:t xml:space="preserve"> </w:t>
      </w:r>
    </w:p>
    <w:p w14:paraId="5CC979A1" w14:textId="77777777" w:rsidR="00C3579F" w:rsidRDefault="00C3579F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637DD352" w14:textId="0A70B50E" w:rsidR="00737ED4" w:rsidRDefault="00E63AB3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start to </w:t>
      </w:r>
      <w:r w:rsidR="00361F38">
        <w:rPr>
          <w:rFonts w:cstheme="minorHAnsi"/>
          <w:shd w:val="clear" w:color="auto" w:fill="FFFFFF"/>
        </w:rPr>
        <w:t>resolving th</w:t>
      </w:r>
      <w:r w:rsidR="008438A6">
        <w:rPr>
          <w:rFonts w:cstheme="minorHAnsi"/>
          <w:shd w:val="clear" w:color="auto" w:fill="FFFFFF"/>
        </w:rPr>
        <w:t>e</w:t>
      </w:r>
      <w:r w:rsidR="00361F38">
        <w:rPr>
          <w:rFonts w:cstheme="minorHAnsi"/>
          <w:shd w:val="clear" w:color="auto" w:fill="FFFFFF"/>
        </w:rPr>
        <w:t xml:space="preserve"> mess </w:t>
      </w:r>
      <w:r>
        <w:rPr>
          <w:rFonts w:cstheme="minorHAnsi"/>
          <w:shd w:val="clear" w:color="auto" w:fill="FFFFFF"/>
        </w:rPr>
        <w:t xml:space="preserve">would be to focus on the </w:t>
      </w:r>
      <w:r w:rsidR="00E912C6">
        <w:rPr>
          <w:rFonts w:cstheme="minorHAnsi"/>
          <w:shd w:val="clear" w:color="auto" w:fill="FFFFFF"/>
        </w:rPr>
        <w:t>duality of border closures and isolation</w:t>
      </w:r>
      <w:r w:rsidR="00737ED4">
        <w:rPr>
          <w:rFonts w:cstheme="minorHAnsi"/>
          <w:shd w:val="clear" w:color="auto" w:fill="FFFFFF"/>
        </w:rPr>
        <w:t>.  A</w:t>
      </w:r>
      <w:r w:rsidR="00E912C6">
        <w:rPr>
          <w:rFonts w:cstheme="minorHAnsi"/>
          <w:shd w:val="clear" w:color="auto" w:fill="FFFFFF"/>
        </w:rPr>
        <w:t xml:space="preserve"> decision </w:t>
      </w:r>
      <w:r w:rsidR="0068239A">
        <w:rPr>
          <w:rFonts w:cstheme="minorHAnsi"/>
          <w:shd w:val="clear" w:color="auto" w:fill="FFFFFF"/>
        </w:rPr>
        <w:t>by</w:t>
      </w:r>
      <w:r w:rsidR="00E912C6">
        <w:rPr>
          <w:rFonts w:cstheme="minorHAnsi"/>
          <w:shd w:val="clear" w:color="auto" w:fill="FFFFFF"/>
        </w:rPr>
        <w:t xml:space="preserve"> any State on </w:t>
      </w:r>
      <w:r w:rsidR="0068239A">
        <w:rPr>
          <w:rFonts w:cstheme="minorHAnsi"/>
          <w:shd w:val="clear" w:color="auto" w:fill="FFFFFF"/>
        </w:rPr>
        <w:t xml:space="preserve">its </w:t>
      </w:r>
      <w:r w:rsidR="00737ED4">
        <w:rPr>
          <w:rFonts w:cstheme="minorHAnsi"/>
          <w:shd w:val="clear" w:color="auto" w:fill="FFFFFF"/>
        </w:rPr>
        <w:t>borders</w:t>
      </w:r>
      <w:r w:rsidR="00E912C6">
        <w:rPr>
          <w:rFonts w:cstheme="minorHAnsi"/>
          <w:shd w:val="clear" w:color="auto" w:fill="FFFFFF"/>
        </w:rPr>
        <w:t xml:space="preserve"> needs </w:t>
      </w:r>
      <w:r w:rsidR="00C3579F">
        <w:rPr>
          <w:rFonts w:cstheme="minorHAnsi"/>
          <w:shd w:val="clear" w:color="auto" w:fill="FFFFFF"/>
        </w:rPr>
        <w:t>c</w:t>
      </w:r>
      <w:r w:rsidR="00E912C6">
        <w:rPr>
          <w:rFonts w:cstheme="minorHAnsi"/>
          <w:shd w:val="clear" w:color="auto" w:fill="FFFFFF"/>
        </w:rPr>
        <w:t xml:space="preserve">orresponding decisions of other States on </w:t>
      </w:r>
      <w:r w:rsidR="00737ED4">
        <w:rPr>
          <w:rFonts w:cstheme="minorHAnsi"/>
          <w:shd w:val="clear" w:color="auto" w:fill="FFFFFF"/>
        </w:rPr>
        <w:t>isolation</w:t>
      </w:r>
      <w:r w:rsidR="00C3579F">
        <w:rPr>
          <w:rFonts w:cstheme="minorHAnsi"/>
          <w:shd w:val="clear" w:color="auto" w:fill="FFFFFF"/>
        </w:rPr>
        <w:t xml:space="preserve"> – and vice versa – quickly </w:t>
      </w:r>
      <w:r w:rsidR="00737ED4">
        <w:rPr>
          <w:rFonts w:cstheme="minorHAnsi"/>
          <w:shd w:val="clear" w:color="auto" w:fill="FFFFFF"/>
        </w:rPr>
        <w:t xml:space="preserve">followed by </w:t>
      </w:r>
      <w:r w:rsidR="00C3579F">
        <w:rPr>
          <w:rFonts w:cstheme="minorHAnsi"/>
          <w:shd w:val="clear" w:color="auto" w:fill="FFFFFF"/>
        </w:rPr>
        <w:t xml:space="preserve">significant </w:t>
      </w:r>
      <w:r w:rsidR="00737ED4">
        <w:rPr>
          <w:rFonts w:cstheme="minorHAnsi"/>
          <w:shd w:val="clear" w:color="auto" w:fill="FFFFFF"/>
        </w:rPr>
        <w:t>Commonwealth financial assistance to affected people.</w:t>
      </w:r>
      <w:r w:rsidR="00957325">
        <w:rPr>
          <w:rFonts w:cstheme="minorHAnsi"/>
          <w:shd w:val="clear" w:color="auto" w:fill="FFFFFF"/>
        </w:rPr>
        <w:t xml:space="preserve">  Of course, none of those decisions should be made by Officials – unlike </w:t>
      </w:r>
      <w:r w:rsidR="00A941A2">
        <w:rPr>
          <w:rFonts w:cstheme="minorHAnsi"/>
          <w:shd w:val="clear" w:color="auto" w:fill="FFFFFF"/>
        </w:rPr>
        <w:t>most</w:t>
      </w:r>
      <w:r w:rsidR="00957325">
        <w:rPr>
          <w:rFonts w:cstheme="minorHAnsi"/>
          <w:shd w:val="clear" w:color="auto" w:fill="FFFFFF"/>
        </w:rPr>
        <w:t xml:space="preserve"> cases at present.</w:t>
      </w:r>
    </w:p>
    <w:p w14:paraId="0C1851C4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63A3990B" w14:textId="19E62B13" w:rsidR="0068239A" w:rsidRDefault="008438A6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Given States’ apparent inability to make complementary decisions</w:t>
      </w:r>
      <w:r w:rsidR="00C3579F">
        <w:rPr>
          <w:rFonts w:cstheme="minorHAnsi"/>
          <w:shd w:val="clear" w:color="auto" w:fill="FFFFFF"/>
        </w:rPr>
        <w:t xml:space="preserve"> on border closures and isolation</w:t>
      </w:r>
      <w:r w:rsidR="00A941A2">
        <w:rPr>
          <w:rFonts w:cstheme="minorHAnsi"/>
          <w:shd w:val="clear" w:color="auto" w:fill="FFFFFF"/>
        </w:rPr>
        <w:t>,</w:t>
      </w:r>
      <w:r w:rsidR="0068239A">
        <w:rPr>
          <w:rFonts w:cstheme="minorHAnsi"/>
          <w:shd w:val="clear" w:color="auto" w:fill="FFFFFF"/>
        </w:rPr>
        <w:t xml:space="preserve"> and the aversion of Governments to provide any </w:t>
      </w:r>
      <w:r w:rsidR="00A941A2">
        <w:rPr>
          <w:rFonts w:cstheme="minorHAnsi"/>
          <w:shd w:val="clear" w:color="auto" w:fill="FFFFFF"/>
        </w:rPr>
        <w:t xml:space="preserve">public </w:t>
      </w:r>
      <w:r w:rsidR="0068239A">
        <w:rPr>
          <w:rFonts w:cstheme="minorHAnsi"/>
          <w:shd w:val="clear" w:color="auto" w:fill="FFFFFF"/>
        </w:rPr>
        <w:t>assurance on the legality of their actions,</w:t>
      </w:r>
      <w:r w:rsidR="00C3579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it is necessary for the Commonwealth to step in.  </w:t>
      </w:r>
    </w:p>
    <w:p w14:paraId="42BB7002" w14:textId="77777777" w:rsidR="0068239A" w:rsidRDefault="0068239A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42D4AE33" w14:textId="1A556614" w:rsidR="00EF708E" w:rsidRDefault="008438A6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Only the Parliament has the authority to do so</w:t>
      </w:r>
      <w:r w:rsidR="00A941A2">
        <w:rPr>
          <w:rFonts w:cstheme="minorHAnsi"/>
          <w:shd w:val="clear" w:color="auto" w:fill="FFFFFF"/>
        </w:rPr>
        <w:t xml:space="preserve">.  </w:t>
      </w:r>
      <w:r w:rsidR="0068239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It is the only body able to </w:t>
      </w:r>
      <w:r w:rsidR="0068239A">
        <w:rPr>
          <w:rFonts w:cstheme="minorHAnsi"/>
          <w:shd w:val="clear" w:color="auto" w:fill="FFFFFF"/>
        </w:rPr>
        <w:t xml:space="preserve">initiate action to </w:t>
      </w:r>
      <w:r w:rsidR="00361F38">
        <w:rPr>
          <w:rFonts w:cstheme="minorHAnsi"/>
          <w:shd w:val="clear" w:color="auto" w:fill="FFFFFF"/>
        </w:rPr>
        <w:t>limit the extent and duration of Government</w:t>
      </w:r>
      <w:r>
        <w:rPr>
          <w:rFonts w:cstheme="minorHAnsi"/>
          <w:shd w:val="clear" w:color="auto" w:fill="FFFFFF"/>
        </w:rPr>
        <w:t>s’</w:t>
      </w:r>
      <w:r w:rsidR="00361F38">
        <w:rPr>
          <w:rFonts w:cstheme="minorHAnsi"/>
          <w:shd w:val="clear" w:color="auto" w:fill="FFFFFF"/>
        </w:rPr>
        <w:t xml:space="preserve"> activities to </w:t>
      </w:r>
      <w:r w:rsidR="00C77117">
        <w:rPr>
          <w:rFonts w:cstheme="minorHAnsi"/>
          <w:shd w:val="clear" w:color="auto" w:fill="FFFFFF"/>
        </w:rPr>
        <w:t>what is reasonably necessary</w:t>
      </w:r>
      <w:r w:rsidR="00361F38">
        <w:rPr>
          <w:rFonts w:cstheme="minorHAnsi"/>
          <w:shd w:val="clear" w:color="auto" w:fill="FFFFFF"/>
        </w:rPr>
        <w:t xml:space="preserve">.  </w:t>
      </w:r>
      <w:r w:rsidR="00A941A2">
        <w:rPr>
          <w:rFonts w:cstheme="minorHAnsi"/>
          <w:shd w:val="clear" w:color="auto" w:fill="FFFFFF"/>
        </w:rPr>
        <w:t xml:space="preserve">It should legislate processes to ensure the sound governance necessary for the sustainability of responses to Covid.  </w:t>
      </w:r>
      <w:r w:rsidR="0068239A">
        <w:rPr>
          <w:rFonts w:cstheme="minorHAnsi"/>
          <w:shd w:val="clear" w:color="auto" w:fill="FFFFFF"/>
        </w:rPr>
        <w:t>It should act because t</w:t>
      </w:r>
      <w:r w:rsidR="00361F38">
        <w:rPr>
          <w:rFonts w:cstheme="minorHAnsi"/>
          <w:shd w:val="clear" w:color="auto" w:fill="FFFFFF"/>
        </w:rPr>
        <w:t>he issues are too important to leave in the hands of the Governments Australia currently suffers.</w:t>
      </w:r>
    </w:p>
    <w:p w14:paraId="184B1B8B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2F694320" w14:textId="1C05744B" w:rsidR="004D0D95" w:rsidRDefault="004D0D95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 Austen</w:t>
      </w:r>
    </w:p>
    <w:p w14:paraId="7FE9592E" w14:textId="5F3E1E82" w:rsidR="004D0D95" w:rsidRDefault="009362F4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</w:t>
      </w:r>
      <w:r w:rsidR="00F138C3">
        <w:rPr>
          <w:rFonts w:cstheme="minorHAnsi"/>
          <w:shd w:val="clear" w:color="auto" w:fill="FFFFFF"/>
        </w:rPr>
        <w:t>4</w:t>
      </w:r>
      <w:r w:rsidR="004D0D95">
        <w:rPr>
          <w:rFonts w:cstheme="minorHAnsi"/>
          <w:shd w:val="clear" w:color="auto" w:fill="FFFFFF"/>
        </w:rPr>
        <w:t xml:space="preserve">  August 2020</w:t>
      </w:r>
    </w:p>
    <w:p w14:paraId="1D230B2E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51C33750" w14:textId="77777777" w:rsidR="008225A4" w:rsidRDefault="008225A4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08BDF0E8" w14:textId="6470ADAA" w:rsidR="00D10E02" w:rsidRDefault="00D10E02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Postscript:</w:t>
      </w:r>
    </w:p>
    <w:p w14:paraId="45FE75CA" w14:textId="4E0FA149" w:rsidR="00D10E02" w:rsidRDefault="00D10E02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Between completion and posting four major developments were:</w:t>
      </w:r>
    </w:p>
    <w:p w14:paraId="359B4A95" w14:textId="37439E16" w:rsidR="00D10E02" w:rsidRDefault="00D10E02" w:rsidP="000B0318">
      <w:pPr>
        <w:pStyle w:val="ListParagraph"/>
        <w:numPr>
          <w:ilvl w:val="0"/>
          <w:numId w:val="16"/>
        </w:numPr>
        <w:spacing w:after="0" w:line="240" w:lineRule="auto"/>
      </w:pPr>
      <w:r w:rsidRPr="00FD05E6">
        <w:rPr>
          <w:rFonts w:cstheme="minorHAnsi"/>
          <w:shd w:val="clear" w:color="auto" w:fill="FFFFFF"/>
        </w:rPr>
        <w:t xml:space="preserve">emergence of community transmission in New Zealand, with speculation its origins might </w:t>
      </w:r>
      <w:r w:rsidR="00FD05E6" w:rsidRPr="00FD05E6">
        <w:rPr>
          <w:rFonts w:cstheme="minorHAnsi"/>
          <w:shd w:val="clear" w:color="auto" w:fill="FFFFFF"/>
        </w:rPr>
        <w:t xml:space="preserve">be </w:t>
      </w:r>
      <w:r w:rsidRPr="00FD05E6">
        <w:rPr>
          <w:rFonts w:cstheme="minorHAnsi"/>
          <w:shd w:val="clear" w:color="auto" w:fill="FFFFFF"/>
        </w:rPr>
        <w:t>cargo – i.e. a non-human initiation</w:t>
      </w:r>
      <w:r w:rsidR="006839CB">
        <w:rPr>
          <w:rFonts w:cstheme="minorHAnsi"/>
          <w:shd w:val="clear" w:color="auto" w:fill="FFFFFF"/>
        </w:rPr>
        <w:t>;</w:t>
      </w:r>
      <w:r>
        <w:t xml:space="preserve">   </w:t>
      </w:r>
    </w:p>
    <w:p w14:paraId="14CD18F5" w14:textId="22C858DD" w:rsidR="00D10E02" w:rsidRPr="00FD05E6" w:rsidRDefault="00D10E02" w:rsidP="000B031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hd w:val="clear" w:color="auto" w:fill="FFFFFF"/>
        </w:rPr>
      </w:pPr>
      <w:r w:rsidRPr="00FD05E6">
        <w:rPr>
          <w:rFonts w:cstheme="minorHAnsi"/>
          <w:shd w:val="clear" w:color="auto" w:fill="FFFFFF"/>
        </w:rPr>
        <w:t xml:space="preserve">debate </w:t>
      </w:r>
      <w:r w:rsidR="006839CB">
        <w:rPr>
          <w:rFonts w:cstheme="minorHAnsi"/>
          <w:shd w:val="clear" w:color="auto" w:fill="FFFFFF"/>
        </w:rPr>
        <w:t xml:space="preserve">in a Royal Commission </w:t>
      </w:r>
      <w:r w:rsidRPr="00FD05E6">
        <w:rPr>
          <w:rFonts w:cstheme="minorHAnsi"/>
          <w:shd w:val="clear" w:color="auto" w:fill="FFFFFF"/>
        </w:rPr>
        <w:t>about Governments</w:t>
      </w:r>
      <w:r w:rsidR="00FD05E6" w:rsidRPr="00FD05E6">
        <w:rPr>
          <w:rFonts w:cstheme="minorHAnsi"/>
          <w:shd w:val="clear" w:color="auto" w:fill="FFFFFF"/>
        </w:rPr>
        <w:t>’</w:t>
      </w:r>
      <w:r w:rsidRPr="00FD05E6">
        <w:rPr>
          <w:rFonts w:cstheme="minorHAnsi"/>
          <w:shd w:val="clear" w:color="auto" w:fill="FFFFFF"/>
        </w:rPr>
        <w:t xml:space="preserve"> aged-care Covid policies</w:t>
      </w:r>
      <w:r w:rsidR="006839CB">
        <w:rPr>
          <w:rFonts w:cstheme="minorHAnsi"/>
          <w:shd w:val="clear" w:color="auto" w:fill="FFFFFF"/>
        </w:rPr>
        <w:t>;</w:t>
      </w:r>
      <w:r w:rsidRPr="00FD05E6">
        <w:rPr>
          <w:rFonts w:cstheme="minorHAnsi"/>
          <w:shd w:val="clear" w:color="auto" w:fill="FFFFFF"/>
        </w:rPr>
        <w:t xml:space="preserve"> </w:t>
      </w:r>
    </w:p>
    <w:p w14:paraId="4CDC7E3F" w14:textId="4FE1C17B" w:rsidR="00D10E02" w:rsidRDefault="00D10E02" w:rsidP="000B0318">
      <w:pPr>
        <w:pStyle w:val="ListParagraph"/>
        <w:numPr>
          <w:ilvl w:val="0"/>
          <w:numId w:val="16"/>
        </w:numPr>
        <w:spacing w:after="0" w:line="240" w:lineRule="auto"/>
      </w:pPr>
      <w:r w:rsidRPr="00FD05E6">
        <w:rPr>
          <w:rFonts w:cstheme="minorHAnsi"/>
          <w:shd w:val="clear" w:color="auto" w:fill="FFFFFF"/>
        </w:rPr>
        <w:t>further restrictions in Victoria</w:t>
      </w:r>
      <w:r w:rsidR="006839CB">
        <w:rPr>
          <w:rFonts w:cstheme="minorHAnsi"/>
          <w:shd w:val="clear" w:color="auto" w:fill="FFFFFF"/>
        </w:rPr>
        <w:t>;</w:t>
      </w:r>
      <w:r w:rsidRPr="00FD05E6">
        <w:rPr>
          <w:rFonts w:cstheme="minorHAnsi"/>
          <w:shd w:val="clear" w:color="auto" w:fill="FFFFFF"/>
        </w:rPr>
        <w:t xml:space="preserve"> </w:t>
      </w:r>
    </w:p>
    <w:p w14:paraId="118FC871" w14:textId="54DA677B" w:rsidR="000C3BA3" w:rsidRPr="00FD05E6" w:rsidRDefault="000C3BA3" w:rsidP="000B031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hd w:val="clear" w:color="auto" w:fill="FFFFFF"/>
        </w:rPr>
      </w:pPr>
      <w:r>
        <w:t>as yet untested claims of a vaccine</w:t>
      </w:r>
      <w:r w:rsidR="00FD05E6">
        <w:t xml:space="preserve"> and</w:t>
      </w:r>
      <w:r>
        <w:t xml:space="preserve"> ‘cure’ </w:t>
      </w:r>
    </w:p>
    <w:p w14:paraId="705159A0" w14:textId="77777777" w:rsidR="00D10E02" w:rsidRDefault="00D10E02" w:rsidP="000B0318">
      <w:pPr>
        <w:spacing w:after="0" w:line="240" w:lineRule="auto"/>
        <w:rPr>
          <w:rFonts w:cstheme="minorHAnsi"/>
          <w:shd w:val="clear" w:color="auto" w:fill="FFFFFF"/>
        </w:rPr>
      </w:pPr>
    </w:p>
    <w:p w14:paraId="7FDB6469" w14:textId="1EA8166B" w:rsidR="00EF708E" w:rsidRDefault="00EF708E" w:rsidP="000B031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 w:type="page"/>
      </w:r>
      <w:bookmarkEnd w:id="2"/>
    </w:p>
    <w:sectPr w:rsidR="00EF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2BC4" w14:textId="77777777" w:rsidR="007D0FC3" w:rsidRDefault="007D0FC3" w:rsidP="0033021A">
      <w:pPr>
        <w:spacing w:after="0" w:line="240" w:lineRule="auto"/>
      </w:pPr>
      <w:r>
        <w:separator/>
      </w:r>
    </w:p>
  </w:endnote>
  <w:endnote w:type="continuationSeparator" w:id="0">
    <w:p w14:paraId="4DAAFE35" w14:textId="77777777" w:rsidR="007D0FC3" w:rsidRDefault="007D0FC3" w:rsidP="0033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A69" w14:textId="77777777" w:rsidR="003018BE" w:rsidRDefault="00301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815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8EDB4" w14:textId="79A8EFF7" w:rsidR="003018BE" w:rsidRDefault="00301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45352" w14:textId="77777777" w:rsidR="003018BE" w:rsidRDefault="00301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61E8" w14:textId="77777777" w:rsidR="003018BE" w:rsidRDefault="0030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A31D" w14:textId="77777777" w:rsidR="007D0FC3" w:rsidRDefault="007D0FC3" w:rsidP="0033021A">
      <w:pPr>
        <w:spacing w:after="0" w:line="240" w:lineRule="auto"/>
      </w:pPr>
      <w:r>
        <w:separator/>
      </w:r>
    </w:p>
  </w:footnote>
  <w:footnote w:type="continuationSeparator" w:id="0">
    <w:p w14:paraId="7A5798C5" w14:textId="77777777" w:rsidR="007D0FC3" w:rsidRDefault="007D0FC3" w:rsidP="0033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8A31" w14:textId="77777777" w:rsidR="003018BE" w:rsidRDefault="00301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EFCC" w14:textId="77777777" w:rsidR="003018BE" w:rsidRDefault="00301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C1EA" w14:textId="77777777" w:rsidR="003018BE" w:rsidRDefault="00301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62E"/>
    <w:multiLevelType w:val="hybridMultilevel"/>
    <w:tmpl w:val="19588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260"/>
    <w:multiLevelType w:val="hybridMultilevel"/>
    <w:tmpl w:val="BCF0C9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716"/>
    <w:multiLevelType w:val="hybridMultilevel"/>
    <w:tmpl w:val="C8EE0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996"/>
    <w:multiLevelType w:val="hybridMultilevel"/>
    <w:tmpl w:val="8E80679E"/>
    <w:lvl w:ilvl="0" w:tplc="860E6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17BBB"/>
    <w:multiLevelType w:val="hybridMultilevel"/>
    <w:tmpl w:val="3B660A72"/>
    <w:lvl w:ilvl="0" w:tplc="618E0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D21"/>
    <w:multiLevelType w:val="hybridMultilevel"/>
    <w:tmpl w:val="E7E847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06D1"/>
    <w:multiLevelType w:val="hybridMultilevel"/>
    <w:tmpl w:val="F24A9B3A"/>
    <w:lvl w:ilvl="0" w:tplc="3D8E03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0E99"/>
    <w:multiLevelType w:val="hybridMultilevel"/>
    <w:tmpl w:val="5190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2DFC"/>
    <w:multiLevelType w:val="hybridMultilevel"/>
    <w:tmpl w:val="5EDA4E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B1F0C"/>
    <w:multiLevelType w:val="hybridMultilevel"/>
    <w:tmpl w:val="75CA4A06"/>
    <w:lvl w:ilvl="0" w:tplc="28EE7DA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597E"/>
    <w:multiLevelType w:val="hybridMultilevel"/>
    <w:tmpl w:val="2A80F428"/>
    <w:lvl w:ilvl="0" w:tplc="F766A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5EAD"/>
    <w:multiLevelType w:val="hybridMultilevel"/>
    <w:tmpl w:val="B636C49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0347F"/>
    <w:multiLevelType w:val="hybridMultilevel"/>
    <w:tmpl w:val="682A9E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DB37BA"/>
    <w:multiLevelType w:val="hybridMultilevel"/>
    <w:tmpl w:val="C15ECE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287E"/>
    <w:multiLevelType w:val="hybridMultilevel"/>
    <w:tmpl w:val="D6C00F7A"/>
    <w:lvl w:ilvl="0" w:tplc="903CD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6444F"/>
    <w:multiLevelType w:val="hybridMultilevel"/>
    <w:tmpl w:val="06A6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FB"/>
    <w:rsid w:val="0000610B"/>
    <w:rsid w:val="00024F23"/>
    <w:rsid w:val="00025BE8"/>
    <w:rsid w:val="000338ED"/>
    <w:rsid w:val="0003759D"/>
    <w:rsid w:val="00047F54"/>
    <w:rsid w:val="000619EF"/>
    <w:rsid w:val="00063115"/>
    <w:rsid w:val="00071988"/>
    <w:rsid w:val="00084B74"/>
    <w:rsid w:val="00092799"/>
    <w:rsid w:val="00094A4F"/>
    <w:rsid w:val="000A3696"/>
    <w:rsid w:val="000A6893"/>
    <w:rsid w:val="000B0318"/>
    <w:rsid w:val="000B0D6F"/>
    <w:rsid w:val="000C3736"/>
    <w:rsid w:val="000C3BA3"/>
    <w:rsid w:val="000C4E47"/>
    <w:rsid w:val="000E248A"/>
    <w:rsid w:val="000E40B1"/>
    <w:rsid w:val="000F38A5"/>
    <w:rsid w:val="000F4E27"/>
    <w:rsid w:val="001022C9"/>
    <w:rsid w:val="00106BCD"/>
    <w:rsid w:val="001460FB"/>
    <w:rsid w:val="00164E7A"/>
    <w:rsid w:val="00182CEA"/>
    <w:rsid w:val="001975F4"/>
    <w:rsid w:val="001A3B1C"/>
    <w:rsid w:val="001B1E13"/>
    <w:rsid w:val="001C0056"/>
    <w:rsid w:val="001C1988"/>
    <w:rsid w:val="001C1DF7"/>
    <w:rsid w:val="001E2F5B"/>
    <w:rsid w:val="00216CE4"/>
    <w:rsid w:val="00225A0C"/>
    <w:rsid w:val="00232E61"/>
    <w:rsid w:val="002354ED"/>
    <w:rsid w:val="00235AAD"/>
    <w:rsid w:val="00237092"/>
    <w:rsid w:val="0025107C"/>
    <w:rsid w:val="0025158D"/>
    <w:rsid w:val="00267EAE"/>
    <w:rsid w:val="0027118A"/>
    <w:rsid w:val="00272833"/>
    <w:rsid w:val="002952D8"/>
    <w:rsid w:val="0029786E"/>
    <w:rsid w:val="00297A3C"/>
    <w:rsid w:val="002B03A3"/>
    <w:rsid w:val="002B5DD3"/>
    <w:rsid w:val="002C5D18"/>
    <w:rsid w:val="003018BE"/>
    <w:rsid w:val="0030586B"/>
    <w:rsid w:val="00314B9B"/>
    <w:rsid w:val="00320334"/>
    <w:rsid w:val="0033021A"/>
    <w:rsid w:val="00331A32"/>
    <w:rsid w:val="00334E42"/>
    <w:rsid w:val="00334E72"/>
    <w:rsid w:val="003447F8"/>
    <w:rsid w:val="0034761B"/>
    <w:rsid w:val="00361F38"/>
    <w:rsid w:val="00376060"/>
    <w:rsid w:val="0037680E"/>
    <w:rsid w:val="003849B0"/>
    <w:rsid w:val="00385E1F"/>
    <w:rsid w:val="00397767"/>
    <w:rsid w:val="00397F89"/>
    <w:rsid w:val="003A4223"/>
    <w:rsid w:val="003C3370"/>
    <w:rsid w:val="003C4457"/>
    <w:rsid w:val="003C4BF9"/>
    <w:rsid w:val="003D5032"/>
    <w:rsid w:val="003D5078"/>
    <w:rsid w:val="003D66EA"/>
    <w:rsid w:val="003D696C"/>
    <w:rsid w:val="003E5377"/>
    <w:rsid w:val="003F35F3"/>
    <w:rsid w:val="003F3883"/>
    <w:rsid w:val="003F5103"/>
    <w:rsid w:val="004114E0"/>
    <w:rsid w:val="004131A0"/>
    <w:rsid w:val="004249B1"/>
    <w:rsid w:val="00453D05"/>
    <w:rsid w:val="00461270"/>
    <w:rsid w:val="00477251"/>
    <w:rsid w:val="004B6D73"/>
    <w:rsid w:val="004D0D95"/>
    <w:rsid w:val="004D2B5C"/>
    <w:rsid w:val="004D32A3"/>
    <w:rsid w:val="004E0D2D"/>
    <w:rsid w:val="005056CC"/>
    <w:rsid w:val="0051051F"/>
    <w:rsid w:val="00510FFF"/>
    <w:rsid w:val="00515E21"/>
    <w:rsid w:val="00535BF8"/>
    <w:rsid w:val="00563268"/>
    <w:rsid w:val="00570FA6"/>
    <w:rsid w:val="0059266E"/>
    <w:rsid w:val="005B0CCF"/>
    <w:rsid w:val="005B6788"/>
    <w:rsid w:val="005C6A05"/>
    <w:rsid w:val="005D2889"/>
    <w:rsid w:val="005D62C1"/>
    <w:rsid w:val="005E053E"/>
    <w:rsid w:val="005E491C"/>
    <w:rsid w:val="005F2A2E"/>
    <w:rsid w:val="0060179E"/>
    <w:rsid w:val="0060366D"/>
    <w:rsid w:val="00612906"/>
    <w:rsid w:val="00615EA3"/>
    <w:rsid w:val="006257DB"/>
    <w:rsid w:val="00633F37"/>
    <w:rsid w:val="00637B13"/>
    <w:rsid w:val="00655B50"/>
    <w:rsid w:val="00670092"/>
    <w:rsid w:val="0068239A"/>
    <w:rsid w:val="006839CB"/>
    <w:rsid w:val="006954FC"/>
    <w:rsid w:val="006F1377"/>
    <w:rsid w:val="006F2BE2"/>
    <w:rsid w:val="007150EE"/>
    <w:rsid w:val="007355DF"/>
    <w:rsid w:val="00737ED4"/>
    <w:rsid w:val="00750C6E"/>
    <w:rsid w:val="00752A3D"/>
    <w:rsid w:val="00766B6E"/>
    <w:rsid w:val="00771EB5"/>
    <w:rsid w:val="007A36F7"/>
    <w:rsid w:val="007A7D3B"/>
    <w:rsid w:val="007B041E"/>
    <w:rsid w:val="007D0FC3"/>
    <w:rsid w:val="00817EAA"/>
    <w:rsid w:val="008223D6"/>
    <w:rsid w:val="008225A4"/>
    <w:rsid w:val="00842303"/>
    <w:rsid w:val="008427B5"/>
    <w:rsid w:val="008438A6"/>
    <w:rsid w:val="0085446C"/>
    <w:rsid w:val="00871FB2"/>
    <w:rsid w:val="00877AFB"/>
    <w:rsid w:val="00881912"/>
    <w:rsid w:val="00884460"/>
    <w:rsid w:val="00885F0D"/>
    <w:rsid w:val="00885F96"/>
    <w:rsid w:val="00891405"/>
    <w:rsid w:val="00893576"/>
    <w:rsid w:val="008974EE"/>
    <w:rsid w:val="008A15CB"/>
    <w:rsid w:val="008B4D2C"/>
    <w:rsid w:val="008C5D87"/>
    <w:rsid w:val="008E5B89"/>
    <w:rsid w:val="00906690"/>
    <w:rsid w:val="0091241A"/>
    <w:rsid w:val="00914726"/>
    <w:rsid w:val="00917675"/>
    <w:rsid w:val="009236CF"/>
    <w:rsid w:val="009258FC"/>
    <w:rsid w:val="00926AC6"/>
    <w:rsid w:val="009362F4"/>
    <w:rsid w:val="00941085"/>
    <w:rsid w:val="00946108"/>
    <w:rsid w:val="0094641D"/>
    <w:rsid w:val="00957325"/>
    <w:rsid w:val="009609A2"/>
    <w:rsid w:val="00960E74"/>
    <w:rsid w:val="00967DD9"/>
    <w:rsid w:val="009717CF"/>
    <w:rsid w:val="00972946"/>
    <w:rsid w:val="0098003C"/>
    <w:rsid w:val="009844ED"/>
    <w:rsid w:val="00990715"/>
    <w:rsid w:val="00991B4C"/>
    <w:rsid w:val="0099594B"/>
    <w:rsid w:val="009B3B2F"/>
    <w:rsid w:val="009E2D8D"/>
    <w:rsid w:val="009E4DEC"/>
    <w:rsid w:val="00A20CD0"/>
    <w:rsid w:val="00A351A2"/>
    <w:rsid w:val="00A3771C"/>
    <w:rsid w:val="00A46172"/>
    <w:rsid w:val="00A47BF5"/>
    <w:rsid w:val="00A6103F"/>
    <w:rsid w:val="00A74689"/>
    <w:rsid w:val="00A7649C"/>
    <w:rsid w:val="00A8298E"/>
    <w:rsid w:val="00A90D98"/>
    <w:rsid w:val="00A941A2"/>
    <w:rsid w:val="00AA7D6E"/>
    <w:rsid w:val="00AB22F2"/>
    <w:rsid w:val="00AC1D56"/>
    <w:rsid w:val="00AC55F0"/>
    <w:rsid w:val="00AD2FBA"/>
    <w:rsid w:val="00AE03CF"/>
    <w:rsid w:val="00B01ECE"/>
    <w:rsid w:val="00B0720C"/>
    <w:rsid w:val="00B13B05"/>
    <w:rsid w:val="00B143E8"/>
    <w:rsid w:val="00B22831"/>
    <w:rsid w:val="00B22DC1"/>
    <w:rsid w:val="00B259F6"/>
    <w:rsid w:val="00B50451"/>
    <w:rsid w:val="00B66D29"/>
    <w:rsid w:val="00B67453"/>
    <w:rsid w:val="00B92FCB"/>
    <w:rsid w:val="00B943C4"/>
    <w:rsid w:val="00BA736B"/>
    <w:rsid w:val="00BA7A5E"/>
    <w:rsid w:val="00BB1B0F"/>
    <w:rsid w:val="00BC6221"/>
    <w:rsid w:val="00BD4FB3"/>
    <w:rsid w:val="00BE748A"/>
    <w:rsid w:val="00BF3643"/>
    <w:rsid w:val="00C056B9"/>
    <w:rsid w:val="00C131D4"/>
    <w:rsid w:val="00C173A0"/>
    <w:rsid w:val="00C17B1C"/>
    <w:rsid w:val="00C30088"/>
    <w:rsid w:val="00C3579F"/>
    <w:rsid w:val="00C402CE"/>
    <w:rsid w:val="00C4209E"/>
    <w:rsid w:val="00C45326"/>
    <w:rsid w:val="00C45900"/>
    <w:rsid w:val="00C465B7"/>
    <w:rsid w:val="00C51DEF"/>
    <w:rsid w:val="00C61D9D"/>
    <w:rsid w:val="00C65A88"/>
    <w:rsid w:val="00C76E69"/>
    <w:rsid w:val="00C77117"/>
    <w:rsid w:val="00C92C70"/>
    <w:rsid w:val="00CA4ED7"/>
    <w:rsid w:val="00CB26E5"/>
    <w:rsid w:val="00CC1D70"/>
    <w:rsid w:val="00CC3A3D"/>
    <w:rsid w:val="00CC4CB3"/>
    <w:rsid w:val="00CC5800"/>
    <w:rsid w:val="00CD231C"/>
    <w:rsid w:val="00CD5D87"/>
    <w:rsid w:val="00CD69BF"/>
    <w:rsid w:val="00CE353F"/>
    <w:rsid w:val="00D03561"/>
    <w:rsid w:val="00D07BC7"/>
    <w:rsid w:val="00D10E02"/>
    <w:rsid w:val="00D365FC"/>
    <w:rsid w:val="00D63713"/>
    <w:rsid w:val="00D7316A"/>
    <w:rsid w:val="00D77DA7"/>
    <w:rsid w:val="00D84472"/>
    <w:rsid w:val="00DA7CA5"/>
    <w:rsid w:val="00DD2B8B"/>
    <w:rsid w:val="00E022DE"/>
    <w:rsid w:val="00E04A5C"/>
    <w:rsid w:val="00E139FA"/>
    <w:rsid w:val="00E30AE8"/>
    <w:rsid w:val="00E35D1F"/>
    <w:rsid w:val="00E455C6"/>
    <w:rsid w:val="00E63AB3"/>
    <w:rsid w:val="00E70374"/>
    <w:rsid w:val="00E9009D"/>
    <w:rsid w:val="00E912C6"/>
    <w:rsid w:val="00EA2312"/>
    <w:rsid w:val="00EA5E22"/>
    <w:rsid w:val="00EC6850"/>
    <w:rsid w:val="00EC70C9"/>
    <w:rsid w:val="00ED2CD2"/>
    <w:rsid w:val="00EE32F6"/>
    <w:rsid w:val="00EE3679"/>
    <w:rsid w:val="00EF32E5"/>
    <w:rsid w:val="00EF708E"/>
    <w:rsid w:val="00F05245"/>
    <w:rsid w:val="00F12E58"/>
    <w:rsid w:val="00F138C3"/>
    <w:rsid w:val="00F24BA0"/>
    <w:rsid w:val="00F25E72"/>
    <w:rsid w:val="00F43EF0"/>
    <w:rsid w:val="00F4705F"/>
    <w:rsid w:val="00F54F04"/>
    <w:rsid w:val="00F624D3"/>
    <w:rsid w:val="00F62BEC"/>
    <w:rsid w:val="00F6376E"/>
    <w:rsid w:val="00F63CE7"/>
    <w:rsid w:val="00F67179"/>
    <w:rsid w:val="00F70F59"/>
    <w:rsid w:val="00F74950"/>
    <w:rsid w:val="00F902D4"/>
    <w:rsid w:val="00FA7B27"/>
    <w:rsid w:val="00FD05E6"/>
    <w:rsid w:val="00FD454B"/>
    <w:rsid w:val="00FD59B2"/>
    <w:rsid w:val="00FE2BD3"/>
    <w:rsid w:val="00FE2D34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EAB8"/>
  <w15:chartTrackingRefBased/>
  <w15:docId w15:val="{AB05A657-2496-41C3-B78A-425859BB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1C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CD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8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771C"/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3302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2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02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7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0CD0"/>
    <w:rPr>
      <w:rFonts w:eastAsiaTheme="majorEastAsia" w:cstheme="majorBidi"/>
      <w:b/>
      <w:color w:val="1F3763" w:themeColor="accent1" w:themeShade="7F"/>
      <w:sz w:val="24"/>
      <w:szCs w:val="24"/>
    </w:rPr>
  </w:style>
  <w:style w:type="character" w:customStyle="1" w:styleId="py34i1dx">
    <w:name w:val="py34i1dx"/>
    <w:basedOn w:val="DefaultParagraphFont"/>
    <w:rsid w:val="003D5032"/>
  </w:style>
  <w:style w:type="paragraph" w:styleId="BalloonText">
    <w:name w:val="Balloon Text"/>
    <w:basedOn w:val="Normal"/>
    <w:link w:val="BalloonTextChar"/>
    <w:uiPriority w:val="99"/>
    <w:semiHidden/>
    <w:unhideWhenUsed/>
    <w:rsid w:val="008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7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8ED"/>
  </w:style>
  <w:style w:type="paragraph" w:styleId="Footer">
    <w:name w:val="footer"/>
    <w:basedOn w:val="Normal"/>
    <w:link w:val="FooterChar"/>
    <w:uiPriority w:val="99"/>
    <w:unhideWhenUsed/>
    <w:rsid w:val="0003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8ED"/>
  </w:style>
  <w:style w:type="character" w:customStyle="1" w:styleId="Heading4Char">
    <w:name w:val="Heading 4 Char"/>
    <w:basedOn w:val="DefaultParagraphFont"/>
    <w:link w:val="Heading4"/>
    <w:uiPriority w:val="9"/>
    <w:rsid w:val="00EF708E"/>
    <w:rPr>
      <w:rFonts w:eastAsiaTheme="majorEastAsia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D5D8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5D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5D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D5D8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A6F6-1CDF-4D0A-9FB0-C00A33B9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6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66</cp:revision>
  <dcterms:created xsi:type="dcterms:W3CDTF">2020-08-10T10:28:00Z</dcterms:created>
  <dcterms:modified xsi:type="dcterms:W3CDTF">2020-08-14T08:20:00Z</dcterms:modified>
</cp:coreProperties>
</file>