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5599" w14:textId="3161179B" w:rsidR="00266E4E" w:rsidRDefault="00266E4E" w:rsidP="00266E4E">
      <w:pPr>
        <w:pStyle w:val="Heading1"/>
      </w:pPr>
      <w:bookmarkStart w:id="0" w:name="_Hlk67250530"/>
      <w:bookmarkStart w:id="1" w:name="_Toc79490147"/>
      <w:r>
        <w:t>NEWCASTLE CONTAINER TERMINAL RESTRICTION – FEDERAL COURT JULY 2021</w:t>
      </w:r>
      <w:bookmarkEnd w:id="1"/>
    </w:p>
    <w:bookmarkStart w:id="2" w:name="_Toc79490148" w:displacedByCustomXml="next"/>
    <w:sdt>
      <w:sdtPr>
        <w:rPr>
          <w:rFonts w:eastAsiaTheme="minorHAnsi" w:cstheme="minorBidi"/>
          <w:sz w:val="22"/>
          <w:szCs w:val="22"/>
        </w:rPr>
        <w:id w:val="1023514741"/>
        <w:docPartObj>
          <w:docPartGallery w:val="Table of Contents"/>
          <w:docPartUnique/>
        </w:docPartObj>
      </w:sdtPr>
      <w:sdtEndPr>
        <w:rPr>
          <w:b/>
          <w:noProof/>
          <w:kern w:val="0"/>
          <w:lang w:eastAsia="en-US"/>
        </w:rPr>
      </w:sdtEndPr>
      <w:sdtContent>
        <w:p w14:paraId="78621063" w14:textId="38CA8D87" w:rsidR="009C3876" w:rsidRDefault="009C3876" w:rsidP="00266E4E">
          <w:pPr>
            <w:pStyle w:val="Heading1"/>
          </w:pPr>
          <w:r>
            <w:t>Contents</w:t>
          </w:r>
          <w:bookmarkEnd w:id="2"/>
        </w:p>
        <w:p w14:paraId="7FAF49C2" w14:textId="2109CA2D" w:rsidR="00266E4E" w:rsidRDefault="009C3876">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79490147" w:history="1">
            <w:r w:rsidR="00266E4E" w:rsidRPr="00EB659C">
              <w:rPr>
                <w:rStyle w:val="Hyperlink"/>
                <w:noProof/>
              </w:rPr>
              <w:t>NEWCASTLE CONTAINER TERMINAL RESTRICTION – FEDERAL COURT JULY 2021</w:t>
            </w:r>
            <w:r w:rsidR="00266E4E">
              <w:rPr>
                <w:noProof/>
                <w:webHidden/>
              </w:rPr>
              <w:tab/>
            </w:r>
            <w:r w:rsidR="00266E4E">
              <w:rPr>
                <w:noProof/>
                <w:webHidden/>
              </w:rPr>
              <w:fldChar w:fldCharType="begin"/>
            </w:r>
            <w:r w:rsidR="00266E4E">
              <w:rPr>
                <w:noProof/>
                <w:webHidden/>
              </w:rPr>
              <w:instrText xml:space="preserve"> PAGEREF _Toc79490147 \h </w:instrText>
            </w:r>
            <w:r w:rsidR="00266E4E">
              <w:rPr>
                <w:noProof/>
                <w:webHidden/>
              </w:rPr>
            </w:r>
            <w:r w:rsidR="00266E4E">
              <w:rPr>
                <w:noProof/>
                <w:webHidden/>
              </w:rPr>
              <w:fldChar w:fldCharType="separate"/>
            </w:r>
            <w:r w:rsidR="00266E4E">
              <w:rPr>
                <w:noProof/>
                <w:webHidden/>
              </w:rPr>
              <w:t>1</w:t>
            </w:r>
            <w:r w:rsidR="00266E4E">
              <w:rPr>
                <w:noProof/>
                <w:webHidden/>
              </w:rPr>
              <w:fldChar w:fldCharType="end"/>
            </w:r>
          </w:hyperlink>
        </w:p>
        <w:p w14:paraId="02ADA5C5" w14:textId="3512BB13" w:rsidR="00266E4E" w:rsidRDefault="00266E4E">
          <w:pPr>
            <w:pStyle w:val="TOC1"/>
            <w:tabs>
              <w:tab w:val="right" w:leader="dot" w:pos="9016"/>
            </w:tabs>
            <w:rPr>
              <w:rFonts w:eastAsiaTheme="minorEastAsia"/>
              <w:noProof/>
              <w:lang w:eastAsia="en-AU"/>
            </w:rPr>
          </w:pPr>
          <w:hyperlink w:anchor="_Toc79490148" w:history="1">
            <w:r w:rsidRPr="00EB659C">
              <w:rPr>
                <w:rStyle w:val="Hyperlink"/>
                <w:noProof/>
              </w:rPr>
              <w:t>Contents</w:t>
            </w:r>
            <w:r>
              <w:rPr>
                <w:noProof/>
                <w:webHidden/>
              </w:rPr>
              <w:tab/>
            </w:r>
            <w:r>
              <w:rPr>
                <w:noProof/>
                <w:webHidden/>
              </w:rPr>
              <w:fldChar w:fldCharType="begin"/>
            </w:r>
            <w:r>
              <w:rPr>
                <w:noProof/>
                <w:webHidden/>
              </w:rPr>
              <w:instrText xml:space="preserve"> PAGEREF _Toc79490148 \h </w:instrText>
            </w:r>
            <w:r>
              <w:rPr>
                <w:noProof/>
                <w:webHidden/>
              </w:rPr>
            </w:r>
            <w:r>
              <w:rPr>
                <w:noProof/>
                <w:webHidden/>
              </w:rPr>
              <w:fldChar w:fldCharType="separate"/>
            </w:r>
            <w:r>
              <w:rPr>
                <w:noProof/>
                <w:webHidden/>
              </w:rPr>
              <w:t>1</w:t>
            </w:r>
            <w:r>
              <w:rPr>
                <w:noProof/>
                <w:webHidden/>
              </w:rPr>
              <w:fldChar w:fldCharType="end"/>
            </w:r>
          </w:hyperlink>
        </w:p>
        <w:p w14:paraId="5ABD27A5" w14:textId="255965E2" w:rsidR="00266E4E" w:rsidRDefault="00266E4E">
          <w:pPr>
            <w:pStyle w:val="TOC2"/>
            <w:tabs>
              <w:tab w:val="left" w:pos="660"/>
              <w:tab w:val="right" w:leader="dot" w:pos="9016"/>
            </w:tabs>
            <w:rPr>
              <w:rFonts w:eastAsiaTheme="minorEastAsia"/>
              <w:noProof/>
              <w:lang w:eastAsia="en-AU"/>
            </w:rPr>
          </w:pPr>
          <w:hyperlink w:anchor="_Toc79490149" w:history="1">
            <w:r w:rsidRPr="00EB659C">
              <w:rPr>
                <w:rStyle w:val="Hyperlink"/>
                <w:noProof/>
              </w:rPr>
              <w:t>1.</w:t>
            </w:r>
            <w:r>
              <w:rPr>
                <w:rFonts w:eastAsiaTheme="minorEastAsia"/>
                <w:noProof/>
                <w:lang w:eastAsia="en-AU"/>
              </w:rPr>
              <w:tab/>
            </w:r>
            <w:r w:rsidRPr="00EB659C">
              <w:rPr>
                <w:rStyle w:val="Hyperlink"/>
                <w:noProof/>
              </w:rPr>
              <w:t>Introduction</w:t>
            </w:r>
            <w:r>
              <w:rPr>
                <w:noProof/>
                <w:webHidden/>
              </w:rPr>
              <w:tab/>
            </w:r>
            <w:r>
              <w:rPr>
                <w:noProof/>
                <w:webHidden/>
              </w:rPr>
              <w:fldChar w:fldCharType="begin"/>
            </w:r>
            <w:r>
              <w:rPr>
                <w:noProof/>
                <w:webHidden/>
              </w:rPr>
              <w:instrText xml:space="preserve"> PAGEREF _Toc79490149 \h </w:instrText>
            </w:r>
            <w:r>
              <w:rPr>
                <w:noProof/>
                <w:webHidden/>
              </w:rPr>
            </w:r>
            <w:r>
              <w:rPr>
                <w:noProof/>
                <w:webHidden/>
              </w:rPr>
              <w:fldChar w:fldCharType="separate"/>
            </w:r>
            <w:r>
              <w:rPr>
                <w:noProof/>
                <w:webHidden/>
              </w:rPr>
              <w:t>2</w:t>
            </w:r>
            <w:r>
              <w:rPr>
                <w:noProof/>
                <w:webHidden/>
              </w:rPr>
              <w:fldChar w:fldCharType="end"/>
            </w:r>
          </w:hyperlink>
        </w:p>
        <w:p w14:paraId="25A6BDD0" w14:textId="14AEC4CD" w:rsidR="00266E4E" w:rsidRDefault="00266E4E">
          <w:pPr>
            <w:pStyle w:val="TOC2"/>
            <w:tabs>
              <w:tab w:val="left" w:pos="660"/>
              <w:tab w:val="right" w:leader="dot" w:pos="9016"/>
            </w:tabs>
            <w:rPr>
              <w:rFonts w:eastAsiaTheme="minorEastAsia"/>
              <w:noProof/>
              <w:lang w:eastAsia="en-AU"/>
            </w:rPr>
          </w:pPr>
          <w:hyperlink w:anchor="_Toc79490150" w:history="1">
            <w:r w:rsidRPr="00EB659C">
              <w:rPr>
                <w:rStyle w:val="Hyperlink"/>
                <w:noProof/>
              </w:rPr>
              <w:t>2.</w:t>
            </w:r>
            <w:r>
              <w:rPr>
                <w:rFonts w:eastAsiaTheme="minorEastAsia"/>
                <w:noProof/>
                <w:lang w:eastAsia="en-AU"/>
              </w:rPr>
              <w:tab/>
            </w:r>
            <w:r w:rsidRPr="00EB659C">
              <w:rPr>
                <w:rStyle w:val="Hyperlink"/>
                <w:noProof/>
              </w:rPr>
              <w:t>Decision</w:t>
            </w:r>
            <w:r>
              <w:rPr>
                <w:noProof/>
                <w:webHidden/>
              </w:rPr>
              <w:tab/>
            </w:r>
            <w:r>
              <w:rPr>
                <w:noProof/>
                <w:webHidden/>
              </w:rPr>
              <w:fldChar w:fldCharType="begin"/>
            </w:r>
            <w:r>
              <w:rPr>
                <w:noProof/>
                <w:webHidden/>
              </w:rPr>
              <w:instrText xml:space="preserve"> PAGEREF _Toc79490150 \h </w:instrText>
            </w:r>
            <w:r>
              <w:rPr>
                <w:noProof/>
                <w:webHidden/>
              </w:rPr>
            </w:r>
            <w:r>
              <w:rPr>
                <w:noProof/>
                <w:webHidden/>
              </w:rPr>
              <w:fldChar w:fldCharType="separate"/>
            </w:r>
            <w:r>
              <w:rPr>
                <w:noProof/>
                <w:webHidden/>
              </w:rPr>
              <w:t>3</w:t>
            </w:r>
            <w:r>
              <w:rPr>
                <w:noProof/>
                <w:webHidden/>
              </w:rPr>
              <w:fldChar w:fldCharType="end"/>
            </w:r>
          </w:hyperlink>
        </w:p>
        <w:p w14:paraId="08CC8904" w14:textId="739E7183" w:rsidR="00266E4E" w:rsidRDefault="00266E4E">
          <w:pPr>
            <w:pStyle w:val="TOC2"/>
            <w:tabs>
              <w:tab w:val="left" w:pos="660"/>
              <w:tab w:val="right" w:leader="dot" w:pos="9016"/>
            </w:tabs>
            <w:rPr>
              <w:rFonts w:eastAsiaTheme="minorEastAsia"/>
              <w:noProof/>
              <w:lang w:eastAsia="en-AU"/>
            </w:rPr>
          </w:pPr>
          <w:hyperlink w:anchor="_Toc79490151" w:history="1">
            <w:r w:rsidRPr="00EB659C">
              <w:rPr>
                <w:rStyle w:val="Hyperlink"/>
                <w:rFonts w:eastAsia="Times New Roman"/>
                <w:noProof/>
                <w:lang w:eastAsia="en-AU"/>
              </w:rPr>
              <w:t>3.</w:t>
            </w:r>
            <w:r>
              <w:rPr>
                <w:rFonts w:eastAsiaTheme="minorEastAsia"/>
                <w:noProof/>
                <w:lang w:eastAsia="en-AU"/>
              </w:rPr>
              <w:tab/>
            </w:r>
            <w:r w:rsidRPr="00EB659C">
              <w:rPr>
                <w:rStyle w:val="Hyperlink"/>
                <w:rFonts w:eastAsia="Times New Roman"/>
                <w:noProof/>
                <w:lang w:eastAsia="en-AU"/>
              </w:rPr>
              <w:t>More than a decision</w:t>
            </w:r>
            <w:r>
              <w:rPr>
                <w:noProof/>
                <w:webHidden/>
              </w:rPr>
              <w:tab/>
            </w:r>
            <w:r>
              <w:rPr>
                <w:noProof/>
                <w:webHidden/>
              </w:rPr>
              <w:fldChar w:fldCharType="begin"/>
            </w:r>
            <w:r>
              <w:rPr>
                <w:noProof/>
                <w:webHidden/>
              </w:rPr>
              <w:instrText xml:space="preserve"> PAGEREF _Toc79490151 \h </w:instrText>
            </w:r>
            <w:r>
              <w:rPr>
                <w:noProof/>
                <w:webHidden/>
              </w:rPr>
            </w:r>
            <w:r>
              <w:rPr>
                <w:noProof/>
                <w:webHidden/>
              </w:rPr>
              <w:fldChar w:fldCharType="separate"/>
            </w:r>
            <w:r>
              <w:rPr>
                <w:noProof/>
                <w:webHidden/>
              </w:rPr>
              <w:t>4</w:t>
            </w:r>
            <w:r>
              <w:rPr>
                <w:noProof/>
                <w:webHidden/>
              </w:rPr>
              <w:fldChar w:fldCharType="end"/>
            </w:r>
          </w:hyperlink>
        </w:p>
        <w:p w14:paraId="29B117A0" w14:textId="4B4678C9" w:rsidR="00266E4E" w:rsidRDefault="00266E4E">
          <w:pPr>
            <w:pStyle w:val="TOC3"/>
            <w:tabs>
              <w:tab w:val="left" w:pos="1100"/>
              <w:tab w:val="right" w:leader="dot" w:pos="9016"/>
            </w:tabs>
            <w:rPr>
              <w:rFonts w:eastAsiaTheme="minorEastAsia"/>
              <w:noProof/>
              <w:lang w:eastAsia="en-AU"/>
            </w:rPr>
          </w:pPr>
          <w:hyperlink w:anchor="_Toc79490152" w:history="1">
            <w:r w:rsidRPr="00EB659C">
              <w:rPr>
                <w:rStyle w:val="Hyperlink"/>
                <w:noProof/>
              </w:rPr>
              <w:t>3.0</w:t>
            </w:r>
            <w:r>
              <w:rPr>
                <w:rFonts w:eastAsiaTheme="minorEastAsia"/>
                <w:noProof/>
                <w:lang w:eastAsia="en-AU"/>
              </w:rPr>
              <w:tab/>
            </w:r>
            <w:r w:rsidRPr="00EB659C">
              <w:rPr>
                <w:rStyle w:val="Hyperlink"/>
                <w:noProof/>
              </w:rPr>
              <w:t>Outline</w:t>
            </w:r>
            <w:r>
              <w:rPr>
                <w:noProof/>
                <w:webHidden/>
              </w:rPr>
              <w:tab/>
            </w:r>
            <w:r>
              <w:rPr>
                <w:noProof/>
                <w:webHidden/>
              </w:rPr>
              <w:fldChar w:fldCharType="begin"/>
            </w:r>
            <w:r>
              <w:rPr>
                <w:noProof/>
                <w:webHidden/>
              </w:rPr>
              <w:instrText xml:space="preserve"> PAGEREF _Toc79490152 \h </w:instrText>
            </w:r>
            <w:r>
              <w:rPr>
                <w:noProof/>
                <w:webHidden/>
              </w:rPr>
            </w:r>
            <w:r>
              <w:rPr>
                <w:noProof/>
                <w:webHidden/>
              </w:rPr>
              <w:fldChar w:fldCharType="separate"/>
            </w:r>
            <w:r>
              <w:rPr>
                <w:noProof/>
                <w:webHidden/>
              </w:rPr>
              <w:t>4</w:t>
            </w:r>
            <w:r>
              <w:rPr>
                <w:noProof/>
                <w:webHidden/>
              </w:rPr>
              <w:fldChar w:fldCharType="end"/>
            </w:r>
          </w:hyperlink>
        </w:p>
        <w:p w14:paraId="09E41F4F" w14:textId="68D9CBDA" w:rsidR="00266E4E" w:rsidRDefault="00266E4E">
          <w:pPr>
            <w:pStyle w:val="TOC3"/>
            <w:tabs>
              <w:tab w:val="left" w:pos="1100"/>
              <w:tab w:val="right" w:leader="dot" w:pos="9016"/>
            </w:tabs>
            <w:rPr>
              <w:rFonts w:eastAsiaTheme="minorEastAsia"/>
              <w:noProof/>
              <w:lang w:eastAsia="en-AU"/>
            </w:rPr>
          </w:pPr>
          <w:hyperlink w:anchor="_Toc79490153" w:history="1">
            <w:r w:rsidRPr="00EB659C">
              <w:rPr>
                <w:rStyle w:val="Hyperlink"/>
                <w:rFonts w:eastAsia="Times New Roman"/>
                <w:noProof/>
                <w:lang w:eastAsia="en-AU"/>
              </w:rPr>
              <w:t>3.1</w:t>
            </w:r>
            <w:r>
              <w:rPr>
                <w:rFonts w:eastAsiaTheme="minorEastAsia"/>
                <w:noProof/>
                <w:lang w:eastAsia="en-AU"/>
              </w:rPr>
              <w:tab/>
            </w:r>
            <w:r w:rsidRPr="00EB659C">
              <w:rPr>
                <w:rStyle w:val="Hyperlink"/>
                <w:rFonts w:eastAsia="Times New Roman"/>
                <w:noProof/>
                <w:lang w:eastAsia="en-AU"/>
              </w:rPr>
              <w:t>NSW policy</w:t>
            </w:r>
            <w:r>
              <w:rPr>
                <w:noProof/>
                <w:webHidden/>
              </w:rPr>
              <w:tab/>
            </w:r>
            <w:r>
              <w:rPr>
                <w:noProof/>
                <w:webHidden/>
              </w:rPr>
              <w:fldChar w:fldCharType="begin"/>
            </w:r>
            <w:r>
              <w:rPr>
                <w:noProof/>
                <w:webHidden/>
              </w:rPr>
              <w:instrText xml:space="preserve"> PAGEREF _Toc79490153 \h </w:instrText>
            </w:r>
            <w:r>
              <w:rPr>
                <w:noProof/>
                <w:webHidden/>
              </w:rPr>
            </w:r>
            <w:r>
              <w:rPr>
                <w:noProof/>
                <w:webHidden/>
              </w:rPr>
              <w:fldChar w:fldCharType="separate"/>
            </w:r>
            <w:r>
              <w:rPr>
                <w:noProof/>
                <w:webHidden/>
              </w:rPr>
              <w:t>4</w:t>
            </w:r>
            <w:r>
              <w:rPr>
                <w:noProof/>
                <w:webHidden/>
              </w:rPr>
              <w:fldChar w:fldCharType="end"/>
            </w:r>
          </w:hyperlink>
        </w:p>
        <w:p w14:paraId="0F91C66F" w14:textId="45E9EE12" w:rsidR="00266E4E" w:rsidRDefault="00266E4E">
          <w:pPr>
            <w:pStyle w:val="TOC3"/>
            <w:tabs>
              <w:tab w:val="left" w:pos="1100"/>
              <w:tab w:val="right" w:leader="dot" w:pos="9016"/>
            </w:tabs>
            <w:rPr>
              <w:rFonts w:eastAsiaTheme="minorEastAsia"/>
              <w:noProof/>
              <w:lang w:eastAsia="en-AU"/>
            </w:rPr>
          </w:pPr>
          <w:hyperlink w:anchor="_Toc79490154" w:history="1">
            <w:r w:rsidRPr="00EB659C">
              <w:rPr>
                <w:rStyle w:val="Hyperlink"/>
                <w:rFonts w:eastAsia="Times New Roman"/>
                <w:noProof/>
                <w:lang w:eastAsia="en-AU"/>
              </w:rPr>
              <w:t>3.2</w:t>
            </w:r>
            <w:r>
              <w:rPr>
                <w:rFonts w:eastAsiaTheme="minorEastAsia"/>
                <w:noProof/>
                <w:lang w:eastAsia="en-AU"/>
              </w:rPr>
              <w:tab/>
            </w:r>
            <w:r w:rsidRPr="00EB659C">
              <w:rPr>
                <w:rStyle w:val="Hyperlink"/>
                <w:rFonts w:eastAsia="Times New Roman"/>
                <w:noProof/>
                <w:lang w:eastAsia="en-AU"/>
              </w:rPr>
              <w:t>Policy justification</w:t>
            </w:r>
            <w:r>
              <w:rPr>
                <w:noProof/>
                <w:webHidden/>
              </w:rPr>
              <w:tab/>
            </w:r>
            <w:r>
              <w:rPr>
                <w:noProof/>
                <w:webHidden/>
              </w:rPr>
              <w:fldChar w:fldCharType="begin"/>
            </w:r>
            <w:r>
              <w:rPr>
                <w:noProof/>
                <w:webHidden/>
              </w:rPr>
              <w:instrText xml:space="preserve"> PAGEREF _Toc79490154 \h </w:instrText>
            </w:r>
            <w:r>
              <w:rPr>
                <w:noProof/>
                <w:webHidden/>
              </w:rPr>
            </w:r>
            <w:r>
              <w:rPr>
                <w:noProof/>
                <w:webHidden/>
              </w:rPr>
              <w:fldChar w:fldCharType="separate"/>
            </w:r>
            <w:r>
              <w:rPr>
                <w:noProof/>
                <w:webHidden/>
              </w:rPr>
              <w:t>5</w:t>
            </w:r>
            <w:r>
              <w:rPr>
                <w:noProof/>
                <w:webHidden/>
              </w:rPr>
              <w:fldChar w:fldCharType="end"/>
            </w:r>
          </w:hyperlink>
        </w:p>
        <w:p w14:paraId="667654A8" w14:textId="234B2A3A" w:rsidR="00266E4E" w:rsidRDefault="00266E4E">
          <w:pPr>
            <w:pStyle w:val="TOC3"/>
            <w:tabs>
              <w:tab w:val="left" w:pos="1100"/>
              <w:tab w:val="right" w:leader="dot" w:pos="9016"/>
            </w:tabs>
            <w:rPr>
              <w:rFonts w:eastAsiaTheme="minorEastAsia"/>
              <w:noProof/>
              <w:lang w:eastAsia="en-AU"/>
            </w:rPr>
          </w:pPr>
          <w:hyperlink w:anchor="_Toc79490155" w:history="1">
            <w:r w:rsidRPr="00EB659C">
              <w:rPr>
                <w:rStyle w:val="Hyperlink"/>
                <w:rFonts w:eastAsia="Times New Roman"/>
                <w:noProof/>
                <w:lang w:eastAsia="en-AU"/>
              </w:rPr>
              <w:t>3.3</w:t>
            </w:r>
            <w:r>
              <w:rPr>
                <w:rFonts w:eastAsiaTheme="minorEastAsia"/>
                <w:noProof/>
                <w:lang w:eastAsia="en-AU"/>
              </w:rPr>
              <w:tab/>
            </w:r>
            <w:r w:rsidRPr="00EB659C">
              <w:rPr>
                <w:rStyle w:val="Hyperlink"/>
                <w:rFonts w:eastAsia="Times New Roman"/>
                <w:noProof/>
                <w:lang w:eastAsia="en-AU"/>
              </w:rPr>
              <w:t>Terminal viability</w:t>
            </w:r>
            <w:r>
              <w:rPr>
                <w:noProof/>
                <w:webHidden/>
              </w:rPr>
              <w:tab/>
            </w:r>
            <w:r>
              <w:rPr>
                <w:noProof/>
                <w:webHidden/>
              </w:rPr>
              <w:fldChar w:fldCharType="begin"/>
            </w:r>
            <w:r>
              <w:rPr>
                <w:noProof/>
                <w:webHidden/>
              </w:rPr>
              <w:instrText xml:space="preserve"> PAGEREF _Toc79490155 \h </w:instrText>
            </w:r>
            <w:r>
              <w:rPr>
                <w:noProof/>
                <w:webHidden/>
              </w:rPr>
            </w:r>
            <w:r>
              <w:rPr>
                <w:noProof/>
                <w:webHidden/>
              </w:rPr>
              <w:fldChar w:fldCharType="separate"/>
            </w:r>
            <w:r>
              <w:rPr>
                <w:noProof/>
                <w:webHidden/>
              </w:rPr>
              <w:t>5</w:t>
            </w:r>
            <w:r>
              <w:rPr>
                <w:noProof/>
                <w:webHidden/>
              </w:rPr>
              <w:fldChar w:fldCharType="end"/>
            </w:r>
          </w:hyperlink>
        </w:p>
        <w:p w14:paraId="649AA40B" w14:textId="426332C9" w:rsidR="00266E4E" w:rsidRDefault="00266E4E">
          <w:pPr>
            <w:pStyle w:val="TOC3"/>
            <w:tabs>
              <w:tab w:val="left" w:pos="1100"/>
              <w:tab w:val="right" w:leader="dot" w:pos="9016"/>
            </w:tabs>
            <w:rPr>
              <w:rFonts w:eastAsiaTheme="minorEastAsia"/>
              <w:noProof/>
              <w:lang w:eastAsia="en-AU"/>
            </w:rPr>
          </w:pPr>
          <w:hyperlink w:anchor="_Toc79490156" w:history="1">
            <w:r w:rsidRPr="00EB659C">
              <w:rPr>
                <w:rStyle w:val="Hyperlink"/>
                <w:rFonts w:eastAsia="Times New Roman"/>
                <w:noProof/>
                <w:lang w:eastAsia="en-AU"/>
              </w:rPr>
              <w:t>3.4</w:t>
            </w:r>
            <w:r>
              <w:rPr>
                <w:rFonts w:eastAsiaTheme="minorEastAsia"/>
                <w:noProof/>
                <w:lang w:eastAsia="en-AU"/>
              </w:rPr>
              <w:tab/>
            </w:r>
            <w:r w:rsidRPr="00EB659C">
              <w:rPr>
                <w:rStyle w:val="Hyperlink"/>
                <w:rFonts w:eastAsia="Times New Roman"/>
                <w:noProof/>
                <w:lang w:eastAsia="en-AU"/>
              </w:rPr>
              <w:t>Further inferences</w:t>
            </w:r>
            <w:r>
              <w:rPr>
                <w:noProof/>
                <w:webHidden/>
              </w:rPr>
              <w:tab/>
            </w:r>
            <w:r>
              <w:rPr>
                <w:noProof/>
                <w:webHidden/>
              </w:rPr>
              <w:fldChar w:fldCharType="begin"/>
            </w:r>
            <w:r>
              <w:rPr>
                <w:noProof/>
                <w:webHidden/>
              </w:rPr>
              <w:instrText xml:space="preserve"> PAGEREF _Toc79490156 \h </w:instrText>
            </w:r>
            <w:r>
              <w:rPr>
                <w:noProof/>
                <w:webHidden/>
              </w:rPr>
            </w:r>
            <w:r>
              <w:rPr>
                <w:noProof/>
                <w:webHidden/>
              </w:rPr>
              <w:fldChar w:fldCharType="separate"/>
            </w:r>
            <w:r>
              <w:rPr>
                <w:noProof/>
                <w:webHidden/>
              </w:rPr>
              <w:t>5</w:t>
            </w:r>
            <w:r>
              <w:rPr>
                <w:noProof/>
                <w:webHidden/>
              </w:rPr>
              <w:fldChar w:fldCharType="end"/>
            </w:r>
          </w:hyperlink>
        </w:p>
        <w:p w14:paraId="1B94333C" w14:textId="3F361FE1" w:rsidR="00266E4E" w:rsidRDefault="00266E4E">
          <w:pPr>
            <w:pStyle w:val="TOC2"/>
            <w:tabs>
              <w:tab w:val="left" w:pos="660"/>
              <w:tab w:val="right" w:leader="dot" w:pos="9016"/>
            </w:tabs>
            <w:rPr>
              <w:rFonts w:eastAsiaTheme="minorEastAsia"/>
              <w:noProof/>
              <w:lang w:eastAsia="en-AU"/>
            </w:rPr>
          </w:pPr>
          <w:hyperlink w:anchor="_Toc79490157" w:history="1">
            <w:r w:rsidRPr="00EB659C">
              <w:rPr>
                <w:rStyle w:val="Hyperlink"/>
                <w:rFonts w:eastAsia="Times New Roman"/>
                <w:noProof/>
                <w:lang w:eastAsia="en-AU"/>
              </w:rPr>
              <w:t>4.</w:t>
            </w:r>
            <w:r>
              <w:rPr>
                <w:rFonts w:eastAsiaTheme="minorEastAsia"/>
                <w:noProof/>
                <w:lang w:eastAsia="en-AU"/>
              </w:rPr>
              <w:tab/>
            </w:r>
            <w:r w:rsidRPr="00EB659C">
              <w:rPr>
                <w:rStyle w:val="Hyperlink"/>
                <w:rFonts w:eastAsia="Times New Roman"/>
                <w:noProof/>
                <w:lang w:eastAsia="en-AU"/>
              </w:rPr>
              <w:t>Discussion</w:t>
            </w:r>
            <w:r>
              <w:rPr>
                <w:noProof/>
                <w:webHidden/>
              </w:rPr>
              <w:tab/>
            </w:r>
            <w:r>
              <w:rPr>
                <w:noProof/>
                <w:webHidden/>
              </w:rPr>
              <w:fldChar w:fldCharType="begin"/>
            </w:r>
            <w:r>
              <w:rPr>
                <w:noProof/>
                <w:webHidden/>
              </w:rPr>
              <w:instrText xml:space="preserve"> PAGEREF _Toc79490157 \h </w:instrText>
            </w:r>
            <w:r>
              <w:rPr>
                <w:noProof/>
                <w:webHidden/>
              </w:rPr>
            </w:r>
            <w:r>
              <w:rPr>
                <w:noProof/>
                <w:webHidden/>
              </w:rPr>
              <w:fldChar w:fldCharType="separate"/>
            </w:r>
            <w:r>
              <w:rPr>
                <w:noProof/>
                <w:webHidden/>
              </w:rPr>
              <w:t>6</w:t>
            </w:r>
            <w:r>
              <w:rPr>
                <w:noProof/>
                <w:webHidden/>
              </w:rPr>
              <w:fldChar w:fldCharType="end"/>
            </w:r>
          </w:hyperlink>
        </w:p>
        <w:p w14:paraId="1F7E343B" w14:textId="63CB76D1" w:rsidR="00266E4E" w:rsidRDefault="00266E4E">
          <w:pPr>
            <w:pStyle w:val="TOC3"/>
            <w:tabs>
              <w:tab w:val="left" w:pos="1100"/>
              <w:tab w:val="right" w:leader="dot" w:pos="9016"/>
            </w:tabs>
            <w:rPr>
              <w:rFonts w:eastAsiaTheme="minorEastAsia"/>
              <w:noProof/>
              <w:lang w:eastAsia="en-AU"/>
            </w:rPr>
          </w:pPr>
          <w:hyperlink w:anchor="_Toc79490158" w:history="1">
            <w:r w:rsidRPr="00EB659C">
              <w:rPr>
                <w:rStyle w:val="Hyperlink"/>
                <w:rFonts w:eastAsia="Times New Roman"/>
                <w:noProof/>
                <w:lang w:eastAsia="en-AU"/>
              </w:rPr>
              <w:t>4.1.</w:t>
            </w:r>
            <w:r>
              <w:rPr>
                <w:rFonts w:eastAsiaTheme="minorEastAsia"/>
                <w:noProof/>
                <w:lang w:eastAsia="en-AU"/>
              </w:rPr>
              <w:tab/>
            </w:r>
            <w:r w:rsidRPr="00EB659C">
              <w:rPr>
                <w:rStyle w:val="Hyperlink"/>
                <w:rFonts w:eastAsia="Times New Roman"/>
                <w:noProof/>
                <w:lang w:eastAsia="en-AU"/>
              </w:rPr>
              <w:t>Port privatisations</w:t>
            </w:r>
            <w:r>
              <w:rPr>
                <w:noProof/>
                <w:webHidden/>
              </w:rPr>
              <w:tab/>
            </w:r>
            <w:r>
              <w:rPr>
                <w:noProof/>
                <w:webHidden/>
              </w:rPr>
              <w:fldChar w:fldCharType="begin"/>
            </w:r>
            <w:r>
              <w:rPr>
                <w:noProof/>
                <w:webHidden/>
              </w:rPr>
              <w:instrText xml:space="preserve"> PAGEREF _Toc79490158 \h </w:instrText>
            </w:r>
            <w:r>
              <w:rPr>
                <w:noProof/>
                <w:webHidden/>
              </w:rPr>
            </w:r>
            <w:r>
              <w:rPr>
                <w:noProof/>
                <w:webHidden/>
              </w:rPr>
              <w:fldChar w:fldCharType="separate"/>
            </w:r>
            <w:r>
              <w:rPr>
                <w:noProof/>
                <w:webHidden/>
              </w:rPr>
              <w:t>6</w:t>
            </w:r>
            <w:r>
              <w:rPr>
                <w:noProof/>
                <w:webHidden/>
              </w:rPr>
              <w:fldChar w:fldCharType="end"/>
            </w:r>
          </w:hyperlink>
        </w:p>
        <w:p w14:paraId="47A66E16" w14:textId="5D2699F0" w:rsidR="00266E4E" w:rsidRDefault="00266E4E">
          <w:pPr>
            <w:pStyle w:val="TOC3"/>
            <w:tabs>
              <w:tab w:val="left" w:pos="1100"/>
              <w:tab w:val="right" w:leader="dot" w:pos="9016"/>
            </w:tabs>
            <w:rPr>
              <w:rFonts w:eastAsiaTheme="minorEastAsia"/>
              <w:noProof/>
              <w:lang w:eastAsia="en-AU"/>
            </w:rPr>
          </w:pPr>
          <w:hyperlink w:anchor="_Toc79490159" w:history="1">
            <w:r w:rsidRPr="00EB659C">
              <w:rPr>
                <w:rStyle w:val="Hyperlink"/>
                <w:rFonts w:eastAsia="Times New Roman"/>
                <w:noProof/>
                <w:lang w:eastAsia="en-AU"/>
              </w:rPr>
              <w:t>4.2</w:t>
            </w:r>
            <w:r>
              <w:rPr>
                <w:rFonts w:eastAsiaTheme="minorEastAsia"/>
                <w:noProof/>
                <w:lang w:eastAsia="en-AU"/>
              </w:rPr>
              <w:tab/>
            </w:r>
            <w:r w:rsidRPr="00EB659C">
              <w:rPr>
                <w:rStyle w:val="Hyperlink"/>
                <w:rFonts w:eastAsia="Times New Roman"/>
                <w:noProof/>
                <w:lang w:eastAsia="en-AU"/>
              </w:rPr>
              <w:t>Land transport and policy</w:t>
            </w:r>
            <w:r>
              <w:rPr>
                <w:noProof/>
                <w:webHidden/>
              </w:rPr>
              <w:tab/>
            </w:r>
            <w:r>
              <w:rPr>
                <w:noProof/>
                <w:webHidden/>
              </w:rPr>
              <w:fldChar w:fldCharType="begin"/>
            </w:r>
            <w:r>
              <w:rPr>
                <w:noProof/>
                <w:webHidden/>
              </w:rPr>
              <w:instrText xml:space="preserve"> PAGEREF _Toc79490159 \h </w:instrText>
            </w:r>
            <w:r>
              <w:rPr>
                <w:noProof/>
                <w:webHidden/>
              </w:rPr>
            </w:r>
            <w:r>
              <w:rPr>
                <w:noProof/>
                <w:webHidden/>
              </w:rPr>
              <w:fldChar w:fldCharType="separate"/>
            </w:r>
            <w:r>
              <w:rPr>
                <w:noProof/>
                <w:webHidden/>
              </w:rPr>
              <w:t>9</w:t>
            </w:r>
            <w:r>
              <w:rPr>
                <w:noProof/>
                <w:webHidden/>
              </w:rPr>
              <w:fldChar w:fldCharType="end"/>
            </w:r>
          </w:hyperlink>
        </w:p>
        <w:p w14:paraId="56DA13BD" w14:textId="7DC7D5D7" w:rsidR="00266E4E" w:rsidRDefault="00266E4E">
          <w:pPr>
            <w:pStyle w:val="TOC3"/>
            <w:tabs>
              <w:tab w:val="left" w:pos="1100"/>
              <w:tab w:val="right" w:leader="dot" w:pos="9016"/>
            </w:tabs>
            <w:rPr>
              <w:rFonts w:eastAsiaTheme="minorEastAsia"/>
              <w:noProof/>
              <w:lang w:eastAsia="en-AU"/>
            </w:rPr>
          </w:pPr>
          <w:hyperlink w:anchor="_Toc79490160" w:history="1">
            <w:r w:rsidRPr="00EB659C">
              <w:rPr>
                <w:rStyle w:val="Hyperlink"/>
                <w:rFonts w:eastAsia="Times New Roman"/>
                <w:noProof/>
                <w:lang w:eastAsia="en-AU"/>
              </w:rPr>
              <w:t>4.3</w:t>
            </w:r>
            <w:r>
              <w:rPr>
                <w:rFonts w:eastAsiaTheme="minorEastAsia"/>
                <w:noProof/>
                <w:lang w:eastAsia="en-AU"/>
              </w:rPr>
              <w:tab/>
            </w:r>
            <w:r w:rsidRPr="00EB659C">
              <w:rPr>
                <w:rStyle w:val="Hyperlink"/>
                <w:rFonts w:eastAsia="Times New Roman"/>
                <w:noProof/>
                <w:lang w:eastAsia="en-AU"/>
              </w:rPr>
              <w:t>Traffic congestion</w:t>
            </w:r>
            <w:r>
              <w:rPr>
                <w:noProof/>
                <w:webHidden/>
              </w:rPr>
              <w:tab/>
            </w:r>
            <w:r>
              <w:rPr>
                <w:noProof/>
                <w:webHidden/>
              </w:rPr>
              <w:fldChar w:fldCharType="begin"/>
            </w:r>
            <w:r>
              <w:rPr>
                <w:noProof/>
                <w:webHidden/>
              </w:rPr>
              <w:instrText xml:space="preserve"> PAGEREF _Toc79490160 \h </w:instrText>
            </w:r>
            <w:r>
              <w:rPr>
                <w:noProof/>
                <w:webHidden/>
              </w:rPr>
            </w:r>
            <w:r>
              <w:rPr>
                <w:noProof/>
                <w:webHidden/>
              </w:rPr>
              <w:fldChar w:fldCharType="separate"/>
            </w:r>
            <w:r>
              <w:rPr>
                <w:noProof/>
                <w:webHidden/>
              </w:rPr>
              <w:t>12</w:t>
            </w:r>
            <w:r>
              <w:rPr>
                <w:noProof/>
                <w:webHidden/>
              </w:rPr>
              <w:fldChar w:fldCharType="end"/>
            </w:r>
          </w:hyperlink>
        </w:p>
        <w:p w14:paraId="07341A06" w14:textId="421BFACB" w:rsidR="00266E4E" w:rsidRDefault="00266E4E">
          <w:pPr>
            <w:pStyle w:val="TOC3"/>
            <w:tabs>
              <w:tab w:val="left" w:pos="1100"/>
              <w:tab w:val="right" w:leader="dot" w:pos="9016"/>
            </w:tabs>
            <w:rPr>
              <w:rFonts w:eastAsiaTheme="minorEastAsia"/>
              <w:noProof/>
              <w:lang w:eastAsia="en-AU"/>
            </w:rPr>
          </w:pPr>
          <w:hyperlink w:anchor="_Toc79490161" w:history="1">
            <w:r w:rsidRPr="00EB659C">
              <w:rPr>
                <w:rStyle w:val="Hyperlink"/>
                <w:rFonts w:eastAsia="Times New Roman"/>
                <w:noProof/>
                <w:lang w:eastAsia="en-AU"/>
              </w:rPr>
              <w:t>4.4</w:t>
            </w:r>
            <w:r>
              <w:rPr>
                <w:rFonts w:eastAsiaTheme="minorEastAsia"/>
                <w:noProof/>
                <w:lang w:eastAsia="en-AU"/>
              </w:rPr>
              <w:tab/>
            </w:r>
            <w:r w:rsidRPr="00EB659C">
              <w:rPr>
                <w:rStyle w:val="Hyperlink"/>
                <w:rFonts w:eastAsia="Times New Roman"/>
                <w:noProof/>
                <w:lang w:eastAsia="en-AU"/>
              </w:rPr>
              <w:t>Port Botany’s catchment</w:t>
            </w:r>
            <w:r>
              <w:rPr>
                <w:noProof/>
                <w:webHidden/>
              </w:rPr>
              <w:tab/>
            </w:r>
            <w:r>
              <w:rPr>
                <w:noProof/>
                <w:webHidden/>
              </w:rPr>
              <w:fldChar w:fldCharType="begin"/>
            </w:r>
            <w:r>
              <w:rPr>
                <w:noProof/>
                <w:webHidden/>
              </w:rPr>
              <w:instrText xml:space="preserve"> PAGEREF _Toc79490161 \h </w:instrText>
            </w:r>
            <w:r>
              <w:rPr>
                <w:noProof/>
                <w:webHidden/>
              </w:rPr>
            </w:r>
            <w:r>
              <w:rPr>
                <w:noProof/>
                <w:webHidden/>
              </w:rPr>
              <w:fldChar w:fldCharType="separate"/>
            </w:r>
            <w:r>
              <w:rPr>
                <w:noProof/>
                <w:webHidden/>
              </w:rPr>
              <w:t>17</w:t>
            </w:r>
            <w:r>
              <w:rPr>
                <w:noProof/>
                <w:webHidden/>
              </w:rPr>
              <w:fldChar w:fldCharType="end"/>
            </w:r>
          </w:hyperlink>
        </w:p>
        <w:p w14:paraId="74D6FBEB" w14:textId="05AA0726" w:rsidR="00266E4E" w:rsidRDefault="00266E4E">
          <w:pPr>
            <w:pStyle w:val="TOC3"/>
            <w:tabs>
              <w:tab w:val="left" w:pos="1100"/>
              <w:tab w:val="right" w:leader="dot" w:pos="9016"/>
            </w:tabs>
            <w:rPr>
              <w:rFonts w:eastAsiaTheme="minorEastAsia"/>
              <w:noProof/>
              <w:lang w:eastAsia="en-AU"/>
            </w:rPr>
          </w:pPr>
          <w:hyperlink w:anchor="_Toc79490162" w:history="1">
            <w:r w:rsidRPr="00EB659C">
              <w:rPr>
                <w:rStyle w:val="Hyperlink"/>
                <w:noProof/>
                <w:lang w:eastAsia="en-AU"/>
              </w:rPr>
              <w:t>4.5</w:t>
            </w:r>
            <w:r>
              <w:rPr>
                <w:rFonts w:eastAsiaTheme="minorEastAsia"/>
                <w:noProof/>
                <w:lang w:eastAsia="en-AU"/>
              </w:rPr>
              <w:tab/>
            </w:r>
            <w:r w:rsidRPr="00EB659C">
              <w:rPr>
                <w:rStyle w:val="Hyperlink"/>
                <w:noProof/>
                <w:lang w:eastAsia="en-AU"/>
              </w:rPr>
              <w:t>Infrastructure Australia assessment?</w:t>
            </w:r>
            <w:r>
              <w:rPr>
                <w:noProof/>
                <w:webHidden/>
              </w:rPr>
              <w:tab/>
            </w:r>
            <w:r>
              <w:rPr>
                <w:noProof/>
                <w:webHidden/>
              </w:rPr>
              <w:fldChar w:fldCharType="begin"/>
            </w:r>
            <w:r>
              <w:rPr>
                <w:noProof/>
                <w:webHidden/>
              </w:rPr>
              <w:instrText xml:space="preserve"> PAGEREF _Toc79490162 \h </w:instrText>
            </w:r>
            <w:r>
              <w:rPr>
                <w:noProof/>
                <w:webHidden/>
              </w:rPr>
            </w:r>
            <w:r>
              <w:rPr>
                <w:noProof/>
                <w:webHidden/>
              </w:rPr>
              <w:fldChar w:fldCharType="separate"/>
            </w:r>
            <w:r>
              <w:rPr>
                <w:noProof/>
                <w:webHidden/>
              </w:rPr>
              <w:t>19</w:t>
            </w:r>
            <w:r>
              <w:rPr>
                <w:noProof/>
                <w:webHidden/>
              </w:rPr>
              <w:fldChar w:fldCharType="end"/>
            </w:r>
          </w:hyperlink>
        </w:p>
        <w:p w14:paraId="768B58DC" w14:textId="46DC3866" w:rsidR="00266E4E" w:rsidRDefault="00266E4E">
          <w:pPr>
            <w:pStyle w:val="TOC3"/>
            <w:tabs>
              <w:tab w:val="left" w:pos="1100"/>
              <w:tab w:val="right" w:leader="dot" w:pos="9016"/>
            </w:tabs>
            <w:rPr>
              <w:rFonts w:eastAsiaTheme="minorEastAsia"/>
              <w:noProof/>
              <w:lang w:eastAsia="en-AU"/>
            </w:rPr>
          </w:pPr>
          <w:hyperlink w:anchor="_Toc79490163" w:history="1">
            <w:r w:rsidRPr="00EB659C">
              <w:rPr>
                <w:rStyle w:val="Hyperlink"/>
                <w:noProof/>
              </w:rPr>
              <w:t>4.6</w:t>
            </w:r>
            <w:r>
              <w:rPr>
                <w:rFonts w:eastAsiaTheme="minorEastAsia"/>
                <w:noProof/>
                <w:lang w:eastAsia="en-AU"/>
              </w:rPr>
              <w:tab/>
            </w:r>
            <w:r w:rsidRPr="00EB659C">
              <w:rPr>
                <w:rStyle w:val="Hyperlink"/>
                <w:noProof/>
              </w:rPr>
              <w:t>Implications for Botany capacity</w:t>
            </w:r>
            <w:r>
              <w:rPr>
                <w:noProof/>
                <w:webHidden/>
              </w:rPr>
              <w:tab/>
            </w:r>
            <w:r>
              <w:rPr>
                <w:noProof/>
                <w:webHidden/>
              </w:rPr>
              <w:fldChar w:fldCharType="begin"/>
            </w:r>
            <w:r>
              <w:rPr>
                <w:noProof/>
                <w:webHidden/>
              </w:rPr>
              <w:instrText xml:space="preserve"> PAGEREF _Toc79490163 \h </w:instrText>
            </w:r>
            <w:r>
              <w:rPr>
                <w:noProof/>
                <w:webHidden/>
              </w:rPr>
            </w:r>
            <w:r>
              <w:rPr>
                <w:noProof/>
                <w:webHidden/>
              </w:rPr>
              <w:fldChar w:fldCharType="separate"/>
            </w:r>
            <w:r>
              <w:rPr>
                <w:noProof/>
                <w:webHidden/>
              </w:rPr>
              <w:t>21</w:t>
            </w:r>
            <w:r>
              <w:rPr>
                <w:noProof/>
                <w:webHidden/>
              </w:rPr>
              <w:fldChar w:fldCharType="end"/>
            </w:r>
          </w:hyperlink>
        </w:p>
        <w:p w14:paraId="5ADCDEBD" w14:textId="2CA4448A" w:rsidR="00266E4E" w:rsidRDefault="00266E4E">
          <w:pPr>
            <w:pStyle w:val="TOC3"/>
            <w:tabs>
              <w:tab w:val="left" w:pos="1100"/>
              <w:tab w:val="right" w:leader="dot" w:pos="9016"/>
            </w:tabs>
            <w:rPr>
              <w:rFonts w:eastAsiaTheme="minorEastAsia"/>
              <w:noProof/>
              <w:lang w:eastAsia="en-AU"/>
            </w:rPr>
          </w:pPr>
          <w:hyperlink w:anchor="_Toc79490164" w:history="1">
            <w:r w:rsidRPr="00EB659C">
              <w:rPr>
                <w:rStyle w:val="Hyperlink"/>
                <w:rFonts w:eastAsia="Times New Roman"/>
                <w:noProof/>
                <w:lang w:eastAsia="en-AU"/>
              </w:rPr>
              <w:t>4.7</w:t>
            </w:r>
            <w:r>
              <w:rPr>
                <w:rFonts w:eastAsiaTheme="minorEastAsia"/>
                <w:noProof/>
                <w:lang w:eastAsia="en-AU"/>
              </w:rPr>
              <w:tab/>
            </w:r>
            <w:r w:rsidRPr="00EB659C">
              <w:rPr>
                <w:rStyle w:val="Hyperlink"/>
                <w:rFonts w:eastAsia="Times New Roman"/>
                <w:noProof/>
                <w:lang w:eastAsia="en-AU"/>
              </w:rPr>
              <w:t>Other implications</w:t>
            </w:r>
            <w:r>
              <w:rPr>
                <w:noProof/>
                <w:webHidden/>
              </w:rPr>
              <w:tab/>
            </w:r>
            <w:r>
              <w:rPr>
                <w:noProof/>
                <w:webHidden/>
              </w:rPr>
              <w:fldChar w:fldCharType="begin"/>
            </w:r>
            <w:r>
              <w:rPr>
                <w:noProof/>
                <w:webHidden/>
              </w:rPr>
              <w:instrText xml:space="preserve"> PAGEREF _Toc79490164 \h </w:instrText>
            </w:r>
            <w:r>
              <w:rPr>
                <w:noProof/>
                <w:webHidden/>
              </w:rPr>
            </w:r>
            <w:r>
              <w:rPr>
                <w:noProof/>
                <w:webHidden/>
              </w:rPr>
              <w:fldChar w:fldCharType="separate"/>
            </w:r>
            <w:r>
              <w:rPr>
                <w:noProof/>
                <w:webHidden/>
              </w:rPr>
              <w:t>21</w:t>
            </w:r>
            <w:r>
              <w:rPr>
                <w:noProof/>
                <w:webHidden/>
              </w:rPr>
              <w:fldChar w:fldCharType="end"/>
            </w:r>
          </w:hyperlink>
        </w:p>
        <w:p w14:paraId="6659EB60" w14:textId="6F3AE16D" w:rsidR="00266E4E" w:rsidRDefault="00266E4E">
          <w:pPr>
            <w:pStyle w:val="TOC2"/>
            <w:tabs>
              <w:tab w:val="left" w:pos="660"/>
              <w:tab w:val="right" w:leader="dot" w:pos="9016"/>
            </w:tabs>
            <w:rPr>
              <w:rFonts w:eastAsiaTheme="minorEastAsia"/>
              <w:noProof/>
              <w:lang w:eastAsia="en-AU"/>
            </w:rPr>
          </w:pPr>
          <w:hyperlink w:anchor="_Toc79490165" w:history="1">
            <w:r w:rsidRPr="00EB659C">
              <w:rPr>
                <w:rStyle w:val="Hyperlink"/>
                <w:rFonts w:eastAsia="Times New Roman" w:cs="Times New Roman"/>
                <w:noProof/>
                <w:lang w:eastAsia="en-AU"/>
              </w:rPr>
              <w:t>5.</w:t>
            </w:r>
            <w:r>
              <w:rPr>
                <w:rFonts w:eastAsiaTheme="minorEastAsia"/>
                <w:noProof/>
                <w:lang w:eastAsia="en-AU"/>
              </w:rPr>
              <w:tab/>
            </w:r>
            <w:r w:rsidRPr="00EB659C">
              <w:rPr>
                <w:rStyle w:val="Hyperlink"/>
                <w:rFonts w:eastAsia="Times New Roman"/>
                <w:noProof/>
                <w:lang w:eastAsia="en-AU"/>
              </w:rPr>
              <w:t>Conclusions</w:t>
            </w:r>
            <w:r>
              <w:rPr>
                <w:noProof/>
                <w:webHidden/>
              </w:rPr>
              <w:tab/>
            </w:r>
            <w:r>
              <w:rPr>
                <w:noProof/>
                <w:webHidden/>
              </w:rPr>
              <w:fldChar w:fldCharType="begin"/>
            </w:r>
            <w:r>
              <w:rPr>
                <w:noProof/>
                <w:webHidden/>
              </w:rPr>
              <w:instrText xml:space="preserve"> PAGEREF _Toc79490165 \h </w:instrText>
            </w:r>
            <w:r>
              <w:rPr>
                <w:noProof/>
                <w:webHidden/>
              </w:rPr>
            </w:r>
            <w:r>
              <w:rPr>
                <w:noProof/>
                <w:webHidden/>
              </w:rPr>
              <w:fldChar w:fldCharType="separate"/>
            </w:r>
            <w:r>
              <w:rPr>
                <w:noProof/>
                <w:webHidden/>
              </w:rPr>
              <w:t>22</w:t>
            </w:r>
            <w:r>
              <w:rPr>
                <w:noProof/>
                <w:webHidden/>
              </w:rPr>
              <w:fldChar w:fldCharType="end"/>
            </w:r>
          </w:hyperlink>
        </w:p>
        <w:p w14:paraId="651BAE8F" w14:textId="22A79F3D" w:rsidR="009C3876" w:rsidRDefault="009C3876" w:rsidP="00B268B7">
          <w:pPr>
            <w:spacing w:after="0"/>
          </w:pPr>
          <w:r>
            <w:rPr>
              <w:b/>
              <w:bCs/>
              <w:noProof/>
            </w:rPr>
            <w:fldChar w:fldCharType="end"/>
          </w:r>
        </w:p>
      </w:sdtContent>
    </w:sdt>
    <w:p w14:paraId="0567A9FA" w14:textId="77777777" w:rsidR="009C3876" w:rsidRDefault="009C3876" w:rsidP="00B268B7">
      <w:pPr>
        <w:spacing w:after="0"/>
        <w:rPr>
          <w:rFonts w:eastAsia="Times New Roman" w:cs="Times New Roman"/>
          <w:bCs/>
          <w:kern w:val="36"/>
          <w:sz w:val="40"/>
          <w:szCs w:val="48"/>
          <w:lang w:eastAsia="en-AU"/>
        </w:rPr>
      </w:pPr>
      <w:r>
        <w:br w:type="page"/>
      </w:r>
    </w:p>
    <w:p w14:paraId="27C4CEC8" w14:textId="360A8DBD" w:rsidR="00DD3D8B" w:rsidRPr="00966019" w:rsidRDefault="0084791A" w:rsidP="00B268B7">
      <w:pPr>
        <w:pStyle w:val="Heading2"/>
        <w:spacing w:before="0"/>
      </w:pPr>
      <w:bookmarkStart w:id="3" w:name="_Toc79490149"/>
      <w:r>
        <w:lastRenderedPageBreak/>
        <w:t>1.</w:t>
      </w:r>
      <w:r>
        <w:tab/>
      </w:r>
      <w:r w:rsidR="00DD3D8B" w:rsidRPr="00966019">
        <w:t>Introduction</w:t>
      </w:r>
      <w:bookmarkEnd w:id="3"/>
    </w:p>
    <w:p w14:paraId="7E1C6C91" w14:textId="02D8FE42" w:rsidR="00DD3D8B" w:rsidRPr="002C734F" w:rsidRDefault="00DD3D8B" w:rsidP="00B268B7">
      <w:pPr>
        <w:spacing w:after="0"/>
        <w:rPr>
          <w:bdr w:val="none" w:sz="0" w:space="0" w:color="auto" w:frame="1"/>
          <w:lang w:eastAsia="en-AU"/>
        </w:rPr>
      </w:pPr>
      <w:r w:rsidRPr="002C734F">
        <w:t xml:space="preserve">This is an article about </w:t>
      </w:r>
      <w:r w:rsidR="00FB4129">
        <w:t xml:space="preserve">an aspect of </w:t>
      </w:r>
      <w:r w:rsidRPr="002C734F">
        <w:t xml:space="preserve">the </w:t>
      </w:r>
      <w:r w:rsidR="005D627D" w:rsidRPr="002C734F">
        <w:t xml:space="preserve">Federal Court’s rejection of </w:t>
      </w:r>
      <w:r w:rsidR="003F6B34" w:rsidRPr="002C734F">
        <w:t>a</w:t>
      </w:r>
      <w:r w:rsidR="005D627D" w:rsidRPr="002C734F">
        <w:rPr>
          <w:bdr w:val="none" w:sz="0" w:space="0" w:color="auto" w:frame="1"/>
          <w:lang w:eastAsia="en-AU"/>
        </w:rPr>
        <w:t xml:space="preserve"> </w:t>
      </w:r>
      <w:r w:rsidR="003F6B34" w:rsidRPr="002C734F">
        <w:rPr>
          <w:bdr w:val="none" w:sz="0" w:space="0" w:color="auto" w:frame="1"/>
          <w:lang w:eastAsia="en-AU"/>
        </w:rPr>
        <w:t>challeng</w:t>
      </w:r>
      <w:r w:rsidR="002C734F" w:rsidRPr="002C734F">
        <w:rPr>
          <w:bdr w:val="none" w:sz="0" w:space="0" w:color="auto" w:frame="1"/>
          <w:lang w:eastAsia="en-AU"/>
        </w:rPr>
        <w:t>e to</w:t>
      </w:r>
      <w:r w:rsidR="005D627D" w:rsidRPr="002C734F">
        <w:rPr>
          <w:bdr w:val="none" w:sz="0" w:space="0" w:color="auto" w:frame="1"/>
          <w:lang w:eastAsia="en-AU"/>
        </w:rPr>
        <w:t xml:space="preserve"> penalties </w:t>
      </w:r>
      <w:r w:rsidR="002C734F" w:rsidRPr="002C734F">
        <w:rPr>
          <w:bdr w:val="none" w:sz="0" w:space="0" w:color="auto" w:frame="1"/>
          <w:lang w:eastAsia="en-AU"/>
        </w:rPr>
        <w:t>for</w:t>
      </w:r>
      <w:r w:rsidR="005D627D" w:rsidRPr="002C734F">
        <w:rPr>
          <w:bdr w:val="none" w:sz="0" w:space="0" w:color="auto" w:frame="1"/>
          <w:lang w:eastAsia="en-AU"/>
        </w:rPr>
        <w:t xml:space="preserve"> Newcastle port were it to </w:t>
      </w:r>
      <w:r w:rsidR="003F6B34" w:rsidRPr="002C734F">
        <w:rPr>
          <w:bdr w:val="none" w:sz="0" w:space="0" w:color="auto" w:frame="1"/>
          <w:lang w:eastAsia="en-AU"/>
        </w:rPr>
        <w:t>handle shipping containers</w:t>
      </w:r>
      <w:r w:rsidR="005D627D" w:rsidRPr="002C734F">
        <w:rPr>
          <w:bdr w:val="none" w:sz="0" w:space="0" w:color="auto" w:frame="1"/>
          <w:lang w:eastAsia="en-AU"/>
        </w:rPr>
        <w:t>.</w:t>
      </w:r>
      <w:r w:rsidR="00126C65" w:rsidRPr="002C734F">
        <w:rPr>
          <w:bdr w:val="none" w:sz="0" w:space="0" w:color="auto" w:frame="1"/>
          <w:lang w:eastAsia="en-AU"/>
        </w:rPr>
        <w:t xml:space="preserve"> </w:t>
      </w:r>
    </w:p>
    <w:p w14:paraId="30A33C70" w14:textId="77777777" w:rsidR="00DD3D8B" w:rsidRPr="002C734F" w:rsidRDefault="00DD3D8B" w:rsidP="00B268B7">
      <w:pPr>
        <w:spacing w:after="0"/>
        <w:rPr>
          <w:bdr w:val="none" w:sz="0" w:space="0" w:color="auto" w:frame="1"/>
          <w:lang w:eastAsia="en-AU"/>
        </w:rPr>
      </w:pPr>
    </w:p>
    <w:p w14:paraId="6EAB75F4" w14:textId="54960A1C" w:rsidR="005D627D" w:rsidRPr="002C734F" w:rsidRDefault="00380448" w:rsidP="00B268B7">
      <w:pPr>
        <w:spacing w:after="0"/>
        <w:rPr>
          <w:rFonts w:eastAsia="Times New Roman" w:cs="Times New Roman"/>
          <w:lang w:eastAsia="en-AU"/>
        </w:rPr>
      </w:pPr>
      <w:r w:rsidRPr="002C734F">
        <w:rPr>
          <w:rFonts w:eastAsia="Times New Roman" w:cs="Times New Roman"/>
          <w:lang w:eastAsia="en-AU"/>
        </w:rPr>
        <w:t xml:space="preserve">Since 2016, </w:t>
      </w:r>
      <w:r w:rsidR="003F6B34" w:rsidRPr="002C734F">
        <w:rPr>
          <w:rFonts w:eastAsia="Times New Roman" w:cs="Times New Roman"/>
          <w:lang w:eastAsia="en-AU"/>
        </w:rPr>
        <w:t>beagle articles</w:t>
      </w:r>
      <w:r w:rsidRPr="002C734F">
        <w:rPr>
          <w:rFonts w:eastAsia="Times New Roman" w:cs="Times New Roman"/>
          <w:lang w:eastAsia="en-AU"/>
        </w:rPr>
        <w:t xml:space="preserve"> have </w:t>
      </w:r>
      <w:r w:rsidR="005D627D" w:rsidRPr="002C734F">
        <w:rPr>
          <w:rFonts w:eastAsia="Times New Roman" w:cs="Times New Roman"/>
          <w:lang w:eastAsia="en-AU"/>
        </w:rPr>
        <w:t>dr</w:t>
      </w:r>
      <w:r w:rsidRPr="002C734F">
        <w:rPr>
          <w:rFonts w:eastAsia="Times New Roman" w:cs="Times New Roman"/>
          <w:lang w:eastAsia="en-AU"/>
        </w:rPr>
        <w:t>awn</w:t>
      </w:r>
      <w:r w:rsidR="005D627D" w:rsidRPr="002C734F">
        <w:rPr>
          <w:rFonts w:eastAsia="Times New Roman" w:cs="Times New Roman"/>
          <w:lang w:eastAsia="en-AU"/>
        </w:rPr>
        <w:t xml:space="preserve"> attention to </w:t>
      </w:r>
      <w:r w:rsidRPr="002C734F">
        <w:rPr>
          <w:rFonts w:eastAsia="Times New Roman" w:cs="Times New Roman"/>
          <w:lang w:eastAsia="en-AU"/>
        </w:rPr>
        <w:t xml:space="preserve">a </w:t>
      </w:r>
      <w:r w:rsidR="00905120" w:rsidRPr="002C734F">
        <w:rPr>
          <w:rFonts w:eastAsia="Times New Roman" w:cs="Times New Roman"/>
          <w:lang w:eastAsia="en-AU"/>
        </w:rPr>
        <w:t xml:space="preserve">(initially </w:t>
      </w:r>
      <w:r w:rsidRPr="002C734F">
        <w:rPr>
          <w:rFonts w:eastAsia="Times New Roman" w:cs="Times New Roman"/>
          <w:lang w:eastAsia="en-AU"/>
        </w:rPr>
        <w:t>secret</w:t>
      </w:r>
      <w:r w:rsidR="00905120" w:rsidRPr="002C734F">
        <w:rPr>
          <w:rFonts w:eastAsia="Times New Roman" w:cs="Times New Roman"/>
          <w:lang w:eastAsia="en-AU"/>
        </w:rPr>
        <w:t>)</w:t>
      </w:r>
      <w:r w:rsidRPr="002C734F">
        <w:rPr>
          <w:rFonts w:eastAsia="Times New Roman" w:cs="Times New Roman"/>
          <w:lang w:eastAsia="en-AU"/>
        </w:rPr>
        <w:t xml:space="preserve"> </w:t>
      </w:r>
      <w:r w:rsidR="0069315E">
        <w:rPr>
          <w:rFonts w:eastAsia="Times New Roman" w:cs="Times New Roman"/>
          <w:lang w:eastAsia="en-AU"/>
        </w:rPr>
        <w:t>scheme</w:t>
      </w:r>
      <w:r w:rsidR="004F636E">
        <w:rPr>
          <w:rFonts w:eastAsia="Times New Roman" w:cs="Times New Roman"/>
          <w:lang w:eastAsia="en-AU"/>
        </w:rPr>
        <w:t xml:space="preserve"> i</w:t>
      </w:r>
      <w:r w:rsidR="005D627D" w:rsidRPr="002C734F">
        <w:rPr>
          <w:rFonts w:eastAsia="Times New Roman" w:cs="Times New Roman"/>
          <w:lang w:eastAsia="en-AU"/>
        </w:rPr>
        <w:t xml:space="preserve">mposed on Newcastle port by the NSW Government </w:t>
      </w:r>
      <w:r w:rsidRPr="002C734F">
        <w:rPr>
          <w:rFonts w:eastAsia="Times New Roman" w:cs="Times New Roman"/>
          <w:lang w:eastAsia="en-AU"/>
        </w:rPr>
        <w:t xml:space="preserve">which </w:t>
      </w:r>
      <w:r w:rsidR="0084791A">
        <w:rPr>
          <w:rFonts w:eastAsia="Times New Roman" w:cs="Times New Roman"/>
          <w:lang w:eastAsia="en-AU"/>
        </w:rPr>
        <w:t xml:space="preserve">appeared to </w:t>
      </w:r>
      <w:r w:rsidR="005D627D" w:rsidRPr="002C734F">
        <w:rPr>
          <w:rFonts w:eastAsia="Times New Roman" w:cs="Times New Roman"/>
          <w:lang w:eastAsia="en-AU"/>
        </w:rPr>
        <w:t xml:space="preserve">effectively scotch any chance of </w:t>
      </w:r>
      <w:r w:rsidRPr="002C734F">
        <w:rPr>
          <w:rFonts w:eastAsia="Times New Roman" w:cs="Times New Roman"/>
          <w:lang w:eastAsia="en-AU"/>
        </w:rPr>
        <w:t xml:space="preserve">it having </w:t>
      </w:r>
      <w:r w:rsidR="005D627D" w:rsidRPr="002C734F">
        <w:rPr>
          <w:rFonts w:eastAsia="Times New Roman" w:cs="Times New Roman"/>
          <w:lang w:eastAsia="en-AU"/>
        </w:rPr>
        <w:t xml:space="preserve">a container terminal.  One effect is to hamstring </w:t>
      </w:r>
      <w:r w:rsidRPr="002C734F">
        <w:rPr>
          <w:rFonts w:eastAsia="Times New Roman" w:cs="Times New Roman"/>
          <w:lang w:eastAsia="en-AU"/>
        </w:rPr>
        <w:t xml:space="preserve">attempts by </w:t>
      </w:r>
      <w:r w:rsidR="005D627D" w:rsidRPr="002C734F">
        <w:rPr>
          <w:rFonts w:eastAsia="Times New Roman" w:cs="Times New Roman"/>
          <w:lang w:eastAsia="en-AU"/>
        </w:rPr>
        <w:t>the world’s largest coal port</w:t>
      </w:r>
      <w:r w:rsidRPr="002C734F">
        <w:rPr>
          <w:rFonts w:eastAsia="Times New Roman" w:cs="Times New Roman"/>
          <w:lang w:eastAsia="en-AU"/>
        </w:rPr>
        <w:t xml:space="preserve"> to diversify and deal with global (climate) policy realities</w:t>
      </w:r>
      <w:r w:rsidR="005D627D" w:rsidRPr="002C734F">
        <w:rPr>
          <w:rFonts w:eastAsia="Times New Roman" w:cs="Times New Roman"/>
          <w:lang w:eastAsia="en-AU"/>
        </w:rPr>
        <w:t>.</w:t>
      </w:r>
      <w:r w:rsidR="008679FA">
        <w:rPr>
          <w:rStyle w:val="FootnoteReference"/>
          <w:rFonts w:eastAsia="Times New Roman" w:cs="Times New Roman"/>
          <w:lang w:eastAsia="en-AU"/>
        </w:rPr>
        <w:footnoteReference w:id="1"/>
      </w:r>
      <w:r w:rsidR="00A37A01" w:rsidRPr="002C734F">
        <w:t xml:space="preserve"> </w:t>
      </w:r>
    </w:p>
    <w:p w14:paraId="7B24BD78" w14:textId="4B859C67" w:rsidR="005D627D" w:rsidRPr="002C734F" w:rsidRDefault="005D627D" w:rsidP="00B268B7">
      <w:pPr>
        <w:spacing w:after="0"/>
        <w:rPr>
          <w:rFonts w:eastAsia="Times New Roman" w:cs="Times New Roman"/>
          <w:lang w:eastAsia="en-AU"/>
        </w:rPr>
      </w:pPr>
    </w:p>
    <w:p w14:paraId="5FCE0657" w14:textId="59417D26" w:rsidR="005D627D" w:rsidRPr="002C734F" w:rsidRDefault="005D627D" w:rsidP="00B268B7">
      <w:pPr>
        <w:spacing w:after="0"/>
        <w:rPr>
          <w:rFonts w:eastAsia="Times New Roman" w:cs="Times New Roman"/>
          <w:lang w:eastAsia="en-AU"/>
        </w:rPr>
      </w:pPr>
      <w:r w:rsidRPr="002C734F">
        <w:rPr>
          <w:rFonts w:eastAsia="Times New Roman" w:cs="Times New Roman"/>
          <w:lang w:eastAsia="en-AU"/>
        </w:rPr>
        <w:t xml:space="preserve">The </w:t>
      </w:r>
      <w:r w:rsidR="0069315E">
        <w:rPr>
          <w:rFonts w:eastAsia="Times New Roman" w:cs="Times New Roman"/>
          <w:lang w:eastAsia="en-AU"/>
        </w:rPr>
        <w:t>scheme</w:t>
      </w:r>
      <w:r w:rsidRPr="002C734F">
        <w:rPr>
          <w:rFonts w:eastAsia="Times New Roman" w:cs="Times New Roman"/>
          <w:lang w:eastAsia="en-AU"/>
        </w:rPr>
        <w:t xml:space="preserve"> </w:t>
      </w:r>
      <w:r w:rsidR="004F636E">
        <w:rPr>
          <w:rFonts w:eastAsia="Times New Roman" w:cs="Times New Roman"/>
          <w:lang w:eastAsia="en-AU"/>
        </w:rPr>
        <w:t>requires</w:t>
      </w:r>
      <w:r w:rsidRPr="002C734F">
        <w:rPr>
          <w:rFonts w:eastAsia="Times New Roman" w:cs="Times New Roman"/>
          <w:lang w:eastAsia="en-AU"/>
        </w:rPr>
        <w:t xml:space="preserve"> Newcastle Port </w:t>
      </w:r>
      <w:r w:rsidR="009834E1">
        <w:rPr>
          <w:rFonts w:eastAsia="Times New Roman" w:cs="Times New Roman"/>
          <w:lang w:eastAsia="en-AU"/>
        </w:rPr>
        <w:t xml:space="preserve">to </w:t>
      </w:r>
      <w:r w:rsidRPr="002C734F">
        <w:rPr>
          <w:rFonts w:eastAsia="Times New Roman" w:cs="Times New Roman"/>
          <w:lang w:eastAsia="en-AU"/>
        </w:rPr>
        <w:t>pay</w:t>
      </w:r>
      <w:r w:rsidR="00930B25">
        <w:rPr>
          <w:rFonts w:eastAsia="Times New Roman" w:cs="Times New Roman"/>
          <w:lang w:eastAsia="en-AU"/>
        </w:rPr>
        <w:t xml:space="preserve"> </w:t>
      </w:r>
      <w:r w:rsidRPr="002C734F">
        <w:rPr>
          <w:rFonts w:eastAsia="Times New Roman" w:cs="Times New Roman"/>
          <w:lang w:eastAsia="en-AU"/>
        </w:rPr>
        <w:t xml:space="preserve">a penalty to </w:t>
      </w:r>
      <w:r w:rsidR="009834E1">
        <w:rPr>
          <w:rFonts w:eastAsia="Times New Roman" w:cs="Times New Roman"/>
          <w:lang w:eastAsia="en-AU"/>
        </w:rPr>
        <w:t xml:space="preserve">compensate </w:t>
      </w:r>
      <w:r w:rsidRPr="002C734F">
        <w:rPr>
          <w:rFonts w:eastAsia="Times New Roman" w:cs="Times New Roman"/>
          <w:lang w:eastAsia="en-AU"/>
        </w:rPr>
        <w:t>Port Botany</w:t>
      </w:r>
      <w:r w:rsidR="004F636E">
        <w:rPr>
          <w:rFonts w:eastAsia="Times New Roman" w:cs="Times New Roman"/>
          <w:lang w:eastAsia="en-AU"/>
        </w:rPr>
        <w:t xml:space="preserve"> </w:t>
      </w:r>
      <w:r w:rsidR="009834E1">
        <w:rPr>
          <w:rFonts w:eastAsia="Times New Roman" w:cs="Times New Roman"/>
          <w:lang w:eastAsia="en-AU"/>
        </w:rPr>
        <w:t>were</w:t>
      </w:r>
      <w:r w:rsidRPr="002C734F">
        <w:rPr>
          <w:rFonts w:eastAsia="Times New Roman" w:cs="Times New Roman"/>
          <w:lang w:eastAsia="en-AU"/>
        </w:rPr>
        <w:t xml:space="preserve"> container</w:t>
      </w:r>
      <w:r w:rsidR="003F6B34" w:rsidRPr="002C734F">
        <w:rPr>
          <w:rFonts w:eastAsia="Times New Roman" w:cs="Times New Roman"/>
          <w:lang w:eastAsia="en-AU"/>
        </w:rPr>
        <w:t>s</w:t>
      </w:r>
      <w:r w:rsidRPr="002C734F">
        <w:rPr>
          <w:rFonts w:eastAsia="Times New Roman" w:cs="Times New Roman"/>
          <w:lang w:eastAsia="en-AU"/>
        </w:rPr>
        <w:t xml:space="preserve"> moved through such a terminal.</w:t>
      </w:r>
    </w:p>
    <w:p w14:paraId="7F4E6015" w14:textId="7CC911AB" w:rsidR="005D627D" w:rsidRPr="002C734F" w:rsidRDefault="005D627D" w:rsidP="00B268B7">
      <w:pPr>
        <w:spacing w:after="0"/>
        <w:rPr>
          <w:rFonts w:eastAsia="Times New Roman" w:cs="Times New Roman"/>
          <w:lang w:eastAsia="en-AU"/>
        </w:rPr>
      </w:pPr>
    </w:p>
    <w:p w14:paraId="24AE84ED" w14:textId="10C5D9D5" w:rsidR="003F6B34" w:rsidRPr="002C734F" w:rsidRDefault="005668E5" w:rsidP="00B268B7">
      <w:pPr>
        <w:spacing w:after="0"/>
        <w:rPr>
          <w:rFonts w:eastAsia="Times New Roman" w:cs="Times New Roman"/>
          <w:lang w:eastAsia="en-AU"/>
        </w:rPr>
      </w:pPr>
      <w:r>
        <w:rPr>
          <w:rFonts w:eastAsia="Times New Roman" w:cs="Times New Roman"/>
          <w:lang w:eastAsia="en-AU"/>
        </w:rPr>
        <w:t xml:space="preserve">The </w:t>
      </w:r>
      <w:r w:rsidR="0069315E">
        <w:rPr>
          <w:rFonts w:eastAsia="Times New Roman" w:cs="Times New Roman"/>
          <w:lang w:eastAsia="en-AU"/>
        </w:rPr>
        <w:t>scheme</w:t>
      </w:r>
      <w:r>
        <w:rPr>
          <w:rFonts w:eastAsia="Times New Roman" w:cs="Times New Roman"/>
          <w:lang w:eastAsia="en-AU"/>
        </w:rPr>
        <w:t xml:space="preserve"> directly relates to international </w:t>
      </w:r>
      <w:r w:rsidR="00FB4129">
        <w:rPr>
          <w:rFonts w:eastAsia="Times New Roman" w:cs="Times New Roman"/>
          <w:lang w:eastAsia="en-AU"/>
        </w:rPr>
        <w:t xml:space="preserve">container </w:t>
      </w:r>
      <w:r>
        <w:rPr>
          <w:rFonts w:eastAsia="Times New Roman" w:cs="Times New Roman"/>
          <w:lang w:eastAsia="en-AU"/>
        </w:rPr>
        <w:t>trade</w:t>
      </w:r>
      <w:r w:rsidR="0039655C">
        <w:rPr>
          <w:rFonts w:eastAsia="Times New Roman" w:cs="Times New Roman"/>
          <w:lang w:eastAsia="en-AU"/>
        </w:rPr>
        <w:t>, corporations</w:t>
      </w:r>
      <w:r>
        <w:rPr>
          <w:rFonts w:eastAsia="Times New Roman" w:cs="Times New Roman"/>
          <w:lang w:eastAsia="en-AU"/>
        </w:rPr>
        <w:t xml:space="preserve"> and competition policy.  It indirectly relates to international trade in coal.  As such, the issues arising extend to Commonwealth interests.  Yet d</w:t>
      </w:r>
      <w:r w:rsidR="005D627D" w:rsidRPr="002C734F">
        <w:rPr>
          <w:rFonts w:eastAsia="Times New Roman" w:cs="Times New Roman"/>
          <w:lang w:eastAsia="en-AU"/>
        </w:rPr>
        <w:t>espite repeated calls, the Federal Government</w:t>
      </w:r>
      <w:r w:rsidR="00380448" w:rsidRPr="002C734F">
        <w:rPr>
          <w:rFonts w:eastAsia="Times New Roman" w:cs="Times New Roman"/>
          <w:lang w:eastAsia="en-AU"/>
        </w:rPr>
        <w:t xml:space="preserve"> </w:t>
      </w:r>
      <w:r>
        <w:rPr>
          <w:rFonts w:eastAsia="Times New Roman" w:cs="Times New Roman"/>
          <w:lang w:eastAsia="en-AU"/>
        </w:rPr>
        <w:t xml:space="preserve">and Opposition </w:t>
      </w:r>
      <w:r w:rsidR="00380448" w:rsidRPr="002C734F">
        <w:rPr>
          <w:rFonts w:eastAsia="Times New Roman" w:cs="Times New Roman"/>
          <w:lang w:eastAsia="en-AU"/>
        </w:rPr>
        <w:t>failed to do anything about</w:t>
      </w:r>
      <w:r w:rsidR="005D627D" w:rsidRPr="002C734F">
        <w:rPr>
          <w:rFonts w:eastAsia="Times New Roman" w:cs="Times New Roman"/>
          <w:lang w:eastAsia="en-AU"/>
        </w:rPr>
        <w:t xml:space="preserve"> th</w:t>
      </w:r>
      <w:r>
        <w:rPr>
          <w:rFonts w:eastAsia="Times New Roman" w:cs="Times New Roman"/>
          <w:lang w:eastAsia="en-AU"/>
        </w:rPr>
        <w:t xml:space="preserve">e </w:t>
      </w:r>
      <w:r w:rsidR="0069315E">
        <w:rPr>
          <w:rFonts w:eastAsia="Times New Roman" w:cs="Times New Roman"/>
          <w:lang w:eastAsia="en-AU"/>
        </w:rPr>
        <w:t>scheme</w:t>
      </w:r>
      <w:r w:rsidR="003F6B34" w:rsidRPr="002C734F">
        <w:rPr>
          <w:rFonts w:eastAsia="Times New Roman" w:cs="Times New Roman"/>
          <w:lang w:eastAsia="en-AU"/>
        </w:rPr>
        <w:t>.</w:t>
      </w:r>
      <w:r w:rsidR="008679FA">
        <w:rPr>
          <w:rStyle w:val="FootnoteReference"/>
          <w:rFonts w:eastAsia="Times New Roman" w:cs="Times New Roman"/>
          <w:lang w:eastAsia="en-AU"/>
        </w:rPr>
        <w:footnoteReference w:id="2"/>
      </w:r>
    </w:p>
    <w:p w14:paraId="35523017" w14:textId="2D0BC2A4" w:rsidR="005D627D" w:rsidRPr="002C734F" w:rsidRDefault="005D627D" w:rsidP="00B268B7">
      <w:pPr>
        <w:spacing w:after="0"/>
        <w:rPr>
          <w:rFonts w:eastAsia="Times New Roman" w:cs="Times New Roman"/>
          <w:lang w:eastAsia="en-AU"/>
        </w:rPr>
      </w:pPr>
    </w:p>
    <w:p w14:paraId="469AC290" w14:textId="700D7198" w:rsidR="00380448" w:rsidRDefault="009D0197" w:rsidP="00B268B7">
      <w:pPr>
        <w:spacing w:after="0"/>
        <w:rPr>
          <w:rFonts w:eastAsia="Times New Roman" w:cs="Times New Roman"/>
          <w:lang w:eastAsia="en-AU"/>
        </w:rPr>
      </w:pPr>
      <w:r>
        <w:rPr>
          <w:rFonts w:eastAsia="Times New Roman" w:cs="Times New Roman"/>
          <w:lang w:eastAsia="en-AU"/>
        </w:rPr>
        <w:t>In 2018</w:t>
      </w:r>
      <w:r w:rsidR="00380448" w:rsidRPr="002C734F">
        <w:rPr>
          <w:rFonts w:eastAsia="Times New Roman" w:cs="Times New Roman"/>
          <w:lang w:eastAsia="en-AU"/>
        </w:rPr>
        <w:t>, t</w:t>
      </w:r>
      <w:r w:rsidR="005D627D" w:rsidRPr="002C734F">
        <w:rPr>
          <w:rFonts w:eastAsia="Times New Roman" w:cs="Times New Roman"/>
          <w:lang w:eastAsia="en-AU"/>
        </w:rPr>
        <w:t>he Australian Competition and Consumers Commission, instituted proceedings against NSW ports</w:t>
      </w:r>
      <w:r>
        <w:rPr>
          <w:rFonts w:eastAsia="Times New Roman" w:cs="Times New Roman"/>
          <w:lang w:eastAsia="en-AU"/>
        </w:rPr>
        <w:t xml:space="preserve"> alleging</w:t>
      </w:r>
      <w:r w:rsidR="00A37A01" w:rsidRPr="002C734F">
        <w:rPr>
          <w:rFonts w:eastAsia="Times New Roman" w:cs="Times New Roman"/>
          <w:lang w:eastAsia="en-AU"/>
        </w:rPr>
        <w:t xml:space="preserve"> a breach of the </w:t>
      </w:r>
      <w:r w:rsidR="00A37A01" w:rsidRPr="0099289A">
        <w:rPr>
          <w:rFonts w:eastAsia="Times New Roman" w:cs="Times New Roman"/>
          <w:i/>
          <w:iCs/>
          <w:lang w:eastAsia="en-AU"/>
        </w:rPr>
        <w:t xml:space="preserve">Competition </w:t>
      </w:r>
      <w:r w:rsidR="0084791A" w:rsidRPr="0099289A">
        <w:rPr>
          <w:rFonts w:eastAsia="Times New Roman" w:cs="Times New Roman"/>
          <w:i/>
          <w:iCs/>
          <w:lang w:eastAsia="en-AU"/>
        </w:rPr>
        <w:t xml:space="preserve">and Consumer </w:t>
      </w:r>
      <w:r w:rsidR="00A37A01" w:rsidRPr="0099289A">
        <w:rPr>
          <w:rFonts w:eastAsia="Times New Roman" w:cs="Times New Roman"/>
          <w:i/>
          <w:iCs/>
          <w:lang w:eastAsia="en-AU"/>
        </w:rPr>
        <w:t>Act</w:t>
      </w:r>
      <w:r w:rsidR="0099289A">
        <w:rPr>
          <w:rFonts w:eastAsia="Times New Roman" w:cs="Times New Roman"/>
          <w:i/>
          <w:iCs/>
          <w:lang w:eastAsia="en-AU"/>
        </w:rPr>
        <w:t>’s</w:t>
      </w:r>
      <w:r w:rsidR="0084791A" w:rsidRPr="0099289A">
        <w:rPr>
          <w:rFonts w:eastAsia="Times New Roman" w:cs="Times New Roman"/>
          <w:i/>
          <w:iCs/>
          <w:lang w:eastAsia="en-AU"/>
        </w:rPr>
        <w:t xml:space="preserve"> (2010)</w:t>
      </w:r>
      <w:r w:rsidR="00A37A01" w:rsidRPr="002C734F">
        <w:rPr>
          <w:rFonts w:eastAsia="Times New Roman" w:cs="Times New Roman"/>
          <w:lang w:eastAsia="en-AU"/>
        </w:rPr>
        <w:t xml:space="preserve"> anti-competitive laws.</w:t>
      </w:r>
      <w:r w:rsidR="008679FA">
        <w:rPr>
          <w:rStyle w:val="FootnoteReference"/>
          <w:rFonts w:eastAsia="Times New Roman" w:cs="Times New Roman"/>
          <w:lang w:eastAsia="en-AU"/>
        </w:rPr>
        <w:footnoteReference w:id="3"/>
      </w:r>
      <w:r w:rsidR="00A37A01" w:rsidRPr="002C734F">
        <w:rPr>
          <w:rFonts w:eastAsia="Times New Roman" w:cs="Times New Roman"/>
          <w:lang w:eastAsia="en-AU"/>
        </w:rPr>
        <w:t xml:space="preserve"> </w:t>
      </w:r>
    </w:p>
    <w:p w14:paraId="412B5CF7" w14:textId="60105B01" w:rsidR="00777C25" w:rsidRDefault="00777C25" w:rsidP="00B268B7">
      <w:pPr>
        <w:spacing w:after="0"/>
        <w:rPr>
          <w:rFonts w:eastAsia="Times New Roman" w:cs="Times New Roman"/>
          <w:lang w:eastAsia="en-AU"/>
        </w:rPr>
      </w:pPr>
    </w:p>
    <w:p w14:paraId="6E80224E" w14:textId="656B8CEF" w:rsidR="00777C25" w:rsidRDefault="00777C25" w:rsidP="00B268B7">
      <w:pPr>
        <w:spacing w:after="0"/>
        <w:rPr>
          <w:rFonts w:eastAsia="Times New Roman" w:cs="Times New Roman"/>
          <w:lang w:eastAsia="en-AU"/>
        </w:rPr>
      </w:pPr>
      <w:r>
        <w:rPr>
          <w:rFonts w:eastAsia="Times New Roman" w:cs="Times New Roman"/>
          <w:lang w:eastAsia="en-AU"/>
        </w:rPr>
        <w:t>At end June 2021, t</w:t>
      </w:r>
      <w:r w:rsidRPr="002C734F">
        <w:rPr>
          <w:rFonts w:eastAsia="Times New Roman" w:cs="Times New Roman"/>
          <w:lang w:eastAsia="en-AU"/>
        </w:rPr>
        <w:t>he Federal Court r</w:t>
      </w:r>
      <w:r>
        <w:rPr>
          <w:rFonts w:eastAsia="Times New Roman" w:cs="Times New Roman"/>
          <w:lang w:eastAsia="en-AU"/>
        </w:rPr>
        <w:t xml:space="preserve">ejected </w:t>
      </w:r>
      <w:r w:rsidRPr="002C734F">
        <w:rPr>
          <w:rFonts w:eastAsia="Times New Roman" w:cs="Times New Roman"/>
          <w:lang w:eastAsia="en-AU"/>
        </w:rPr>
        <w:t>the Commission</w:t>
      </w:r>
      <w:r>
        <w:rPr>
          <w:rFonts w:eastAsia="Times New Roman" w:cs="Times New Roman"/>
          <w:lang w:eastAsia="en-AU"/>
        </w:rPr>
        <w:t xml:space="preserve">’s case.  In late </w:t>
      </w:r>
      <w:r w:rsidRPr="002C734F">
        <w:rPr>
          <w:rFonts w:eastAsia="Times New Roman" w:cs="Times New Roman"/>
          <w:lang w:eastAsia="en-AU"/>
        </w:rPr>
        <w:t>Ju</w:t>
      </w:r>
      <w:r>
        <w:rPr>
          <w:rFonts w:eastAsia="Times New Roman" w:cs="Times New Roman"/>
          <w:lang w:eastAsia="en-AU"/>
        </w:rPr>
        <w:t>ly</w:t>
      </w:r>
      <w:r w:rsidRPr="002C734F">
        <w:rPr>
          <w:rFonts w:eastAsia="Times New Roman" w:cs="Times New Roman"/>
          <w:lang w:eastAsia="en-AU"/>
        </w:rPr>
        <w:t xml:space="preserve"> 2021</w:t>
      </w:r>
      <w:r>
        <w:rPr>
          <w:rFonts w:eastAsia="Times New Roman" w:cs="Times New Roman"/>
          <w:lang w:eastAsia="en-AU"/>
        </w:rPr>
        <w:t>, the Commission launched an appeal against the decision</w:t>
      </w:r>
      <w:r w:rsidRPr="002C734F">
        <w:rPr>
          <w:rFonts w:eastAsia="Times New Roman" w:cs="Times New Roman"/>
          <w:lang w:eastAsia="en-AU"/>
        </w:rPr>
        <w:t>.</w:t>
      </w:r>
    </w:p>
    <w:p w14:paraId="6A0A9FE9" w14:textId="77777777" w:rsidR="00777C25" w:rsidRDefault="00777C25" w:rsidP="00B268B7">
      <w:pPr>
        <w:spacing w:after="0"/>
        <w:rPr>
          <w:rFonts w:eastAsia="Times New Roman" w:cs="Times New Roman"/>
          <w:lang w:eastAsia="en-AU"/>
        </w:rPr>
      </w:pPr>
    </w:p>
    <w:p w14:paraId="5025BED5" w14:textId="2B9F8311" w:rsidR="009834E1" w:rsidRDefault="00930B25" w:rsidP="00B268B7">
      <w:pPr>
        <w:spacing w:after="0"/>
        <w:rPr>
          <w:rFonts w:eastAsia="Times New Roman" w:cs="Times New Roman"/>
          <w:lang w:eastAsia="en-AU"/>
        </w:rPr>
      </w:pPr>
      <w:r>
        <w:rPr>
          <w:rFonts w:eastAsia="Times New Roman" w:cs="Times New Roman"/>
          <w:lang w:eastAsia="en-AU"/>
        </w:rPr>
        <w:t>Five years earlier</w:t>
      </w:r>
      <w:r w:rsidR="009834E1">
        <w:rPr>
          <w:rFonts w:eastAsia="Times New Roman" w:cs="Times New Roman"/>
          <w:lang w:eastAsia="en-AU"/>
        </w:rPr>
        <w:t xml:space="preserve">, the beagle identified some background to, and policy aspects of, the question of a container terminal at Newcastle.  </w:t>
      </w:r>
      <w:r w:rsidR="009E1C7C">
        <w:rPr>
          <w:rFonts w:eastAsia="Times New Roman" w:cs="Times New Roman"/>
          <w:lang w:eastAsia="en-AU"/>
        </w:rPr>
        <w:t xml:space="preserve">This </w:t>
      </w:r>
      <w:r w:rsidR="009834E1">
        <w:rPr>
          <w:rFonts w:eastAsia="Times New Roman" w:cs="Times New Roman"/>
          <w:lang w:eastAsia="en-AU"/>
        </w:rPr>
        <w:t>included</w:t>
      </w:r>
      <w:r w:rsidR="009D0197">
        <w:rPr>
          <w:rFonts w:eastAsia="Times New Roman" w:cs="Times New Roman"/>
          <w:lang w:eastAsia="en-AU"/>
        </w:rPr>
        <w:t>:</w:t>
      </w:r>
      <w:r w:rsidR="009834E1">
        <w:rPr>
          <w:rFonts w:eastAsia="Times New Roman" w:cs="Times New Roman"/>
          <w:lang w:eastAsia="en-AU"/>
        </w:rPr>
        <w:t xml:space="preserve"> reference to a corruption investigation – Operation Spicer – </w:t>
      </w:r>
      <w:r w:rsidR="009D0197">
        <w:rPr>
          <w:rFonts w:eastAsia="Times New Roman" w:cs="Times New Roman"/>
          <w:lang w:eastAsia="en-AU"/>
        </w:rPr>
        <w:t>into, among other things,</w:t>
      </w:r>
      <w:r w:rsidR="009834E1">
        <w:rPr>
          <w:rFonts w:eastAsia="Times New Roman" w:cs="Times New Roman"/>
          <w:lang w:eastAsia="en-AU"/>
        </w:rPr>
        <w:t xml:space="preserve"> activities to prevent such a terminal prior to 2011</w:t>
      </w:r>
      <w:r w:rsidR="009D0197">
        <w:rPr>
          <w:rFonts w:eastAsia="Times New Roman" w:cs="Times New Roman"/>
          <w:lang w:eastAsia="en-AU"/>
        </w:rPr>
        <w:t>;</w:t>
      </w:r>
      <w:r w:rsidR="009834E1">
        <w:rPr>
          <w:rFonts w:eastAsia="Times New Roman" w:cs="Times New Roman"/>
          <w:lang w:eastAsia="en-AU"/>
        </w:rPr>
        <w:t xml:space="preserve"> claimed rationales for the penalty-compensation </w:t>
      </w:r>
      <w:r w:rsidR="0069315E">
        <w:rPr>
          <w:rFonts w:eastAsia="Times New Roman" w:cs="Times New Roman"/>
          <w:lang w:eastAsia="en-AU"/>
        </w:rPr>
        <w:t>scheme</w:t>
      </w:r>
      <w:r w:rsidR="009D0197">
        <w:rPr>
          <w:rFonts w:eastAsia="Times New Roman" w:cs="Times New Roman"/>
          <w:lang w:eastAsia="en-AU"/>
        </w:rPr>
        <w:t>;</w:t>
      </w:r>
      <w:r w:rsidR="009834E1">
        <w:rPr>
          <w:rFonts w:eastAsia="Times New Roman" w:cs="Times New Roman"/>
          <w:lang w:eastAsia="en-AU"/>
        </w:rPr>
        <w:t xml:space="preserve"> NSW government </w:t>
      </w:r>
      <w:r w:rsidR="009D0197">
        <w:rPr>
          <w:rFonts w:eastAsia="Times New Roman" w:cs="Times New Roman"/>
          <w:lang w:eastAsia="en-AU"/>
        </w:rPr>
        <w:t xml:space="preserve">efforts </w:t>
      </w:r>
      <w:r w:rsidR="009834E1">
        <w:rPr>
          <w:rFonts w:eastAsia="Times New Roman" w:cs="Times New Roman"/>
          <w:lang w:eastAsia="en-AU"/>
        </w:rPr>
        <w:t>to keep it secret.</w:t>
      </w:r>
      <w:r w:rsidR="008679FA">
        <w:rPr>
          <w:rStyle w:val="FootnoteReference"/>
          <w:rFonts w:eastAsia="Times New Roman" w:cs="Times New Roman"/>
          <w:lang w:eastAsia="en-AU"/>
        </w:rPr>
        <w:footnoteReference w:id="4"/>
      </w:r>
    </w:p>
    <w:p w14:paraId="2B682190" w14:textId="77777777" w:rsidR="009834E1" w:rsidRDefault="009834E1" w:rsidP="00B268B7">
      <w:pPr>
        <w:spacing w:after="0"/>
        <w:rPr>
          <w:rFonts w:eastAsia="Times New Roman" w:cs="Times New Roman"/>
          <w:lang w:eastAsia="en-AU"/>
        </w:rPr>
      </w:pPr>
    </w:p>
    <w:p w14:paraId="14DFDFED" w14:textId="7B406D5B" w:rsidR="00777C25" w:rsidRPr="00777C25" w:rsidRDefault="009834E1" w:rsidP="00B268B7">
      <w:pPr>
        <w:spacing w:after="0"/>
        <w:rPr>
          <w:rFonts w:eastAsia="Times New Roman" w:cs="Times New Roman"/>
          <w:lang w:eastAsia="en-AU"/>
        </w:rPr>
      </w:pPr>
      <w:r>
        <w:rPr>
          <w:rFonts w:eastAsia="Times New Roman" w:cs="Times New Roman"/>
          <w:lang w:eastAsia="en-AU"/>
        </w:rPr>
        <w:t xml:space="preserve">This article </w:t>
      </w:r>
      <w:r w:rsidR="00777C25">
        <w:rPr>
          <w:rFonts w:eastAsia="Times New Roman" w:cs="Times New Roman"/>
          <w:lang w:eastAsia="en-AU"/>
        </w:rPr>
        <w:t xml:space="preserve">looks at </w:t>
      </w:r>
      <w:r w:rsidR="00FB4129">
        <w:rPr>
          <w:rFonts w:eastAsia="Times New Roman" w:cs="Times New Roman"/>
          <w:lang w:eastAsia="en-AU"/>
        </w:rPr>
        <w:t xml:space="preserve">some of </w:t>
      </w:r>
      <w:r>
        <w:rPr>
          <w:rFonts w:eastAsia="Times New Roman" w:cs="Times New Roman"/>
          <w:lang w:eastAsia="en-AU"/>
        </w:rPr>
        <w:t xml:space="preserve">the Court’s policy related </w:t>
      </w:r>
      <w:r w:rsidR="0099289A">
        <w:rPr>
          <w:rFonts w:eastAsia="Times New Roman" w:cs="Times New Roman"/>
          <w:lang w:eastAsia="en-AU"/>
        </w:rPr>
        <w:t>pronouncements</w:t>
      </w:r>
      <w:r w:rsidR="00FB4129">
        <w:rPr>
          <w:rFonts w:eastAsia="Times New Roman" w:cs="Times New Roman"/>
          <w:lang w:eastAsia="en-AU"/>
        </w:rPr>
        <w:t>, in particular its inference that prevention of a container terminal in Newcastle is justified</w:t>
      </w:r>
      <w:r w:rsidR="00777C25" w:rsidRPr="00777C25">
        <w:rPr>
          <w:rFonts w:eastAsia="Times New Roman" w:cs="Times New Roman"/>
          <w:lang w:eastAsia="en-AU"/>
        </w:rPr>
        <w:t>.</w:t>
      </w:r>
    </w:p>
    <w:p w14:paraId="014EB5B9" w14:textId="2891C9E9" w:rsidR="00380448" w:rsidRDefault="00380448" w:rsidP="00B268B7">
      <w:pPr>
        <w:spacing w:after="0"/>
        <w:rPr>
          <w:rFonts w:eastAsia="Times New Roman" w:cs="Times New Roman"/>
          <w:lang w:eastAsia="en-AU"/>
        </w:rPr>
      </w:pPr>
    </w:p>
    <w:p w14:paraId="7BFBA78A" w14:textId="401395F4" w:rsidR="00777C25" w:rsidRDefault="00777C25" w:rsidP="00B268B7">
      <w:pPr>
        <w:spacing w:after="0"/>
        <w:rPr>
          <w:rFonts w:eastAsia="Times New Roman" w:cs="Times New Roman"/>
          <w:lang w:eastAsia="en-AU"/>
        </w:rPr>
      </w:pPr>
      <w:r>
        <w:rPr>
          <w:rFonts w:eastAsia="Times New Roman" w:cs="Times New Roman"/>
          <w:lang w:eastAsia="en-AU"/>
        </w:rPr>
        <w:t>Section 2 sets out the Federal Court’s decision.</w:t>
      </w:r>
    </w:p>
    <w:p w14:paraId="1923CBC1" w14:textId="0D4C6868" w:rsidR="00777C25" w:rsidRDefault="00777C25" w:rsidP="00B268B7">
      <w:pPr>
        <w:spacing w:after="0"/>
        <w:rPr>
          <w:rFonts w:eastAsia="Times New Roman" w:cs="Times New Roman"/>
          <w:lang w:eastAsia="en-AU"/>
        </w:rPr>
      </w:pPr>
    </w:p>
    <w:p w14:paraId="474E2796" w14:textId="22244926" w:rsidR="00777C25" w:rsidRDefault="00777C25" w:rsidP="00B268B7">
      <w:pPr>
        <w:spacing w:after="0"/>
        <w:rPr>
          <w:rFonts w:eastAsia="Times New Roman" w:cs="Times New Roman"/>
          <w:lang w:eastAsia="en-AU"/>
        </w:rPr>
      </w:pPr>
      <w:r>
        <w:rPr>
          <w:rFonts w:eastAsia="Times New Roman" w:cs="Times New Roman"/>
          <w:lang w:eastAsia="en-AU"/>
        </w:rPr>
        <w:t xml:space="preserve">Section 3 outlines the </w:t>
      </w:r>
      <w:r w:rsidR="00930B25">
        <w:rPr>
          <w:rFonts w:eastAsia="Times New Roman" w:cs="Times New Roman"/>
          <w:lang w:eastAsia="en-AU"/>
        </w:rPr>
        <w:t xml:space="preserve">Court’s </w:t>
      </w:r>
      <w:r>
        <w:rPr>
          <w:rFonts w:eastAsia="Times New Roman" w:cs="Times New Roman"/>
          <w:lang w:eastAsia="en-AU"/>
        </w:rPr>
        <w:t>reasons.</w:t>
      </w:r>
    </w:p>
    <w:p w14:paraId="475FEE2C" w14:textId="4640F11D" w:rsidR="00777C25" w:rsidRDefault="00777C25" w:rsidP="00B268B7">
      <w:pPr>
        <w:spacing w:after="0"/>
        <w:rPr>
          <w:rFonts w:eastAsia="Times New Roman" w:cs="Times New Roman"/>
          <w:lang w:eastAsia="en-AU"/>
        </w:rPr>
      </w:pPr>
    </w:p>
    <w:p w14:paraId="446ECB4A" w14:textId="02A96754" w:rsidR="00777C25" w:rsidRDefault="00777C25" w:rsidP="00B268B7">
      <w:pPr>
        <w:spacing w:after="0"/>
        <w:rPr>
          <w:rFonts w:eastAsia="Times New Roman" w:cs="Times New Roman"/>
          <w:lang w:eastAsia="en-AU"/>
        </w:rPr>
      </w:pPr>
      <w:r>
        <w:rPr>
          <w:rFonts w:eastAsia="Times New Roman" w:cs="Times New Roman"/>
          <w:lang w:eastAsia="en-AU"/>
        </w:rPr>
        <w:t xml:space="preserve">Section 4 discusses </w:t>
      </w:r>
      <w:r w:rsidR="00307A44">
        <w:rPr>
          <w:rFonts w:eastAsia="Times New Roman" w:cs="Times New Roman"/>
          <w:lang w:eastAsia="en-AU"/>
        </w:rPr>
        <w:t>some</w:t>
      </w:r>
      <w:r>
        <w:rPr>
          <w:rFonts w:eastAsia="Times New Roman" w:cs="Times New Roman"/>
          <w:lang w:eastAsia="en-AU"/>
        </w:rPr>
        <w:t xml:space="preserve"> policy aspects of those reasons.</w:t>
      </w:r>
    </w:p>
    <w:p w14:paraId="4A38633E" w14:textId="70440B07" w:rsidR="00777C25" w:rsidRDefault="00777C25" w:rsidP="00B268B7">
      <w:pPr>
        <w:spacing w:after="0"/>
        <w:rPr>
          <w:rFonts w:eastAsia="Times New Roman" w:cs="Times New Roman"/>
          <w:lang w:eastAsia="en-AU"/>
        </w:rPr>
      </w:pPr>
    </w:p>
    <w:p w14:paraId="7D67ECA6" w14:textId="440E029A" w:rsidR="00777C25" w:rsidRDefault="00777C25" w:rsidP="00B268B7">
      <w:pPr>
        <w:spacing w:after="0"/>
        <w:rPr>
          <w:rFonts w:eastAsia="Times New Roman" w:cs="Times New Roman"/>
          <w:lang w:eastAsia="en-AU"/>
        </w:rPr>
      </w:pPr>
      <w:r>
        <w:rPr>
          <w:rFonts w:eastAsia="Times New Roman" w:cs="Times New Roman"/>
          <w:lang w:eastAsia="en-AU"/>
        </w:rPr>
        <w:t xml:space="preserve">Section 5 draws some </w:t>
      </w:r>
      <w:r w:rsidR="00B268B7">
        <w:rPr>
          <w:rFonts w:eastAsia="Times New Roman" w:cs="Times New Roman"/>
          <w:lang w:eastAsia="en-AU"/>
        </w:rPr>
        <w:t>conclusions</w:t>
      </w:r>
      <w:r>
        <w:rPr>
          <w:rFonts w:eastAsia="Times New Roman" w:cs="Times New Roman"/>
          <w:lang w:eastAsia="en-AU"/>
        </w:rPr>
        <w:t xml:space="preserve"> from the above. </w:t>
      </w:r>
    </w:p>
    <w:p w14:paraId="2F256E23" w14:textId="49FF130D" w:rsidR="00777C25" w:rsidRDefault="00777C25" w:rsidP="00B268B7">
      <w:pPr>
        <w:spacing w:after="0"/>
        <w:rPr>
          <w:rFonts w:eastAsia="Times New Roman" w:cs="Times New Roman"/>
          <w:lang w:eastAsia="en-AU"/>
        </w:rPr>
      </w:pPr>
    </w:p>
    <w:p w14:paraId="598AA77F" w14:textId="10ACFEEA" w:rsidR="00777C25" w:rsidRDefault="00777C25" w:rsidP="00B268B7">
      <w:pPr>
        <w:spacing w:after="0"/>
        <w:rPr>
          <w:rFonts w:eastAsia="Times New Roman" w:cs="Times New Roman"/>
          <w:lang w:eastAsia="en-AU"/>
        </w:rPr>
      </w:pPr>
      <w:r>
        <w:rPr>
          <w:rFonts w:eastAsia="Times New Roman" w:cs="Times New Roman"/>
          <w:lang w:eastAsia="en-AU"/>
        </w:rPr>
        <w:t>As ever, corrections and comments are welcome.</w:t>
      </w:r>
    </w:p>
    <w:p w14:paraId="6B7EB93E" w14:textId="2D772CBA" w:rsidR="003F6B34" w:rsidRPr="00966019" w:rsidRDefault="0084791A" w:rsidP="00B268B7">
      <w:pPr>
        <w:pStyle w:val="Heading2"/>
        <w:spacing w:before="0"/>
      </w:pPr>
      <w:bookmarkStart w:id="4" w:name="_Toc79490150"/>
      <w:r>
        <w:lastRenderedPageBreak/>
        <w:t>2.</w:t>
      </w:r>
      <w:r>
        <w:tab/>
      </w:r>
      <w:r w:rsidR="008679FA">
        <w:t>De</w:t>
      </w:r>
      <w:r w:rsidR="003F6B34" w:rsidRPr="00966019">
        <w:t>cision</w:t>
      </w:r>
      <w:bookmarkEnd w:id="4"/>
    </w:p>
    <w:p w14:paraId="56C4713E" w14:textId="0CE26284" w:rsidR="00A37A01" w:rsidRPr="002C734F" w:rsidRDefault="008759E0" w:rsidP="00B268B7">
      <w:pPr>
        <w:spacing w:after="0"/>
        <w:rPr>
          <w:rFonts w:eastAsia="Times New Roman" w:cs="Times New Roman"/>
          <w:lang w:eastAsia="en-AU"/>
        </w:rPr>
      </w:pPr>
      <w:r>
        <w:rPr>
          <w:rFonts w:eastAsia="Times New Roman" w:cs="Times New Roman"/>
          <w:lang w:eastAsia="en-AU"/>
        </w:rPr>
        <w:t xml:space="preserve">The Federal Court, </w:t>
      </w:r>
      <w:r w:rsidR="00380448" w:rsidRPr="002C734F">
        <w:rPr>
          <w:rFonts w:eastAsia="Times New Roman" w:cs="Times New Roman"/>
          <w:lang w:eastAsia="en-AU"/>
        </w:rPr>
        <w:t xml:space="preserve">Justice </w:t>
      </w:r>
      <w:r w:rsidR="00A37A01" w:rsidRPr="002C734F">
        <w:rPr>
          <w:rFonts w:eastAsia="Times New Roman" w:cs="Times New Roman"/>
          <w:lang w:eastAsia="en-AU"/>
        </w:rPr>
        <w:t>Jagot</w:t>
      </w:r>
      <w:r>
        <w:rPr>
          <w:rFonts w:eastAsia="Times New Roman" w:cs="Times New Roman"/>
          <w:lang w:eastAsia="en-AU"/>
        </w:rPr>
        <w:t xml:space="preserve">, decided the case.  </w:t>
      </w:r>
      <w:r w:rsidR="009D0197">
        <w:rPr>
          <w:rFonts w:eastAsia="Times New Roman" w:cs="Times New Roman"/>
          <w:lang w:eastAsia="en-AU"/>
        </w:rPr>
        <w:t xml:space="preserve">Reasons given were to the effect </w:t>
      </w:r>
      <w:r w:rsidR="009D0197" w:rsidRPr="002C734F">
        <w:rPr>
          <w:rFonts w:eastAsia="Times New Roman" w:cs="Times New Roman"/>
          <w:lang w:eastAsia="en-AU"/>
        </w:rPr>
        <w:t xml:space="preserve">the case failed because of </w:t>
      </w:r>
      <w:r w:rsidR="009D0197">
        <w:rPr>
          <w:rFonts w:eastAsia="Times New Roman" w:cs="Times New Roman"/>
          <w:lang w:eastAsia="en-AU"/>
        </w:rPr>
        <w:t>C</w:t>
      </w:r>
      <w:r w:rsidR="009D0197" w:rsidRPr="002C734F">
        <w:rPr>
          <w:rFonts w:eastAsia="Times New Roman" w:cs="Times New Roman"/>
          <w:lang w:eastAsia="en-AU"/>
        </w:rPr>
        <w:t>rown immunity.</w:t>
      </w:r>
      <w:r w:rsidR="008679FA">
        <w:rPr>
          <w:rStyle w:val="FootnoteReference"/>
          <w:rFonts w:eastAsia="Times New Roman" w:cs="Times New Roman"/>
          <w:lang w:eastAsia="en-AU"/>
        </w:rPr>
        <w:footnoteReference w:id="5"/>
      </w:r>
      <w:r w:rsidR="00A37A01" w:rsidRPr="002C734F">
        <w:rPr>
          <w:rFonts w:eastAsia="Times New Roman" w:cs="Times New Roman"/>
          <w:lang w:eastAsia="en-AU"/>
        </w:rPr>
        <w:t xml:space="preserve"> </w:t>
      </w:r>
    </w:p>
    <w:p w14:paraId="61922F42" w14:textId="427C1260" w:rsidR="00A37A01" w:rsidRPr="002C734F" w:rsidRDefault="00A37A01" w:rsidP="00B268B7">
      <w:pPr>
        <w:spacing w:after="0"/>
        <w:rPr>
          <w:rFonts w:eastAsia="Times New Roman" w:cs="Times New Roman"/>
          <w:lang w:eastAsia="en-AU"/>
        </w:rPr>
      </w:pPr>
    </w:p>
    <w:p w14:paraId="46A9D9EB" w14:textId="615AB4FE" w:rsidR="008759E0" w:rsidRDefault="00A37A01" w:rsidP="00B268B7">
      <w:pPr>
        <w:spacing w:after="0"/>
        <w:rPr>
          <w:rFonts w:eastAsia="Times New Roman" w:cs="Times New Roman"/>
          <w:lang w:eastAsia="en-AU"/>
        </w:rPr>
      </w:pPr>
      <w:r w:rsidRPr="002C734F">
        <w:rPr>
          <w:rFonts w:eastAsia="Times New Roman" w:cs="Times New Roman"/>
          <w:lang w:eastAsia="en-AU"/>
        </w:rPr>
        <w:t xml:space="preserve">To explain, the </w:t>
      </w:r>
      <w:r w:rsidR="00537422">
        <w:rPr>
          <w:rFonts w:eastAsia="Times New Roman" w:cs="Times New Roman"/>
          <w:lang w:eastAsia="en-AU"/>
        </w:rPr>
        <w:t>scheme</w:t>
      </w:r>
      <w:r w:rsidRPr="002C734F">
        <w:rPr>
          <w:rFonts w:eastAsia="Times New Roman" w:cs="Times New Roman"/>
          <w:lang w:eastAsia="en-AU"/>
        </w:rPr>
        <w:t xml:space="preserve"> was </w:t>
      </w:r>
      <w:r w:rsidR="00547B0E" w:rsidRPr="002C734F">
        <w:rPr>
          <w:rFonts w:eastAsia="Times New Roman" w:cs="Times New Roman"/>
          <w:lang w:eastAsia="en-AU"/>
        </w:rPr>
        <w:t xml:space="preserve">included in </w:t>
      </w:r>
      <w:r w:rsidRPr="002C734F">
        <w:rPr>
          <w:rFonts w:eastAsia="Times New Roman" w:cs="Times New Roman"/>
          <w:lang w:eastAsia="en-AU"/>
        </w:rPr>
        <w:t xml:space="preserve">the </w:t>
      </w:r>
      <w:r w:rsidR="008759E0">
        <w:rPr>
          <w:rFonts w:eastAsia="Times New Roman" w:cs="Times New Roman"/>
          <w:lang w:eastAsia="en-AU"/>
        </w:rPr>
        <w:t>Coalition (</w:t>
      </w:r>
      <w:r w:rsidRPr="002C734F">
        <w:rPr>
          <w:rFonts w:eastAsia="Times New Roman" w:cs="Times New Roman"/>
          <w:lang w:eastAsia="en-AU"/>
        </w:rPr>
        <w:t>Baird</w:t>
      </w:r>
      <w:r w:rsidR="008759E0">
        <w:rPr>
          <w:rFonts w:eastAsia="Times New Roman" w:cs="Times New Roman"/>
          <w:lang w:eastAsia="en-AU"/>
        </w:rPr>
        <w:t>)</w:t>
      </w:r>
      <w:r w:rsidRPr="002C734F">
        <w:rPr>
          <w:rFonts w:eastAsia="Times New Roman" w:cs="Times New Roman"/>
          <w:lang w:eastAsia="en-AU"/>
        </w:rPr>
        <w:t xml:space="preserve"> Government</w:t>
      </w:r>
      <w:r w:rsidR="005F1388" w:rsidRPr="002C734F">
        <w:rPr>
          <w:rFonts w:eastAsia="Times New Roman" w:cs="Times New Roman"/>
          <w:lang w:eastAsia="en-AU"/>
        </w:rPr>
        <w:t>’s</w:t>
      </w:r>
      <w:r w:rsidRPr="002C734F">
        <w:rPr>
          <w:rFonts w:eastAsia="Times New Roman" w:cs="Times New Roman"/>
          <w:lang w:eastAsia="en-AU"/>
        </w:rPr>
        <w:t xml:space="preserve"> privatisations of Port Botany</w:t>
      </w:r>
      <w:r w:rsidR="00547B0E" w:rsidRPr="002C734F">
        <w:rPr>
          <w:rFonts w:eastAsia="Times New Roman" w:cs="Times New Roman"/>
          <w:lang w:eastAsia="en-AU"/>
        </w:rPr>
        <w:t xml:space="preserve"> </w:t>
      </w:r>
      <w:r w:rsidR="0099289A">
        <w:rPr>
          <w:rFonts w:eastAsia="Times New Roman" w:cs="Times New Roman"/>
          <w:lang w:eastAsia="en-AU"/>
        </w:rPr>
        <w:t xml:space="preserve">(2013) </w:t>
      </w:r>
      <w:r w:rsidRPr="002C734F">
        <w:rPr>
          <w:rFonts w:eastAsia="Times New Roman" w:cs="Times New Roman"/>
          <w:lang w:eastAsia="en-AU"/>
        </w:rPr>
        <w:t>and Newcastle</w:t>
      </w:r>
      <w:r w:rsidR="0099289A">
        <w:rPr>
          <w:rFonts w:eastAsia="Times New Roman" w:cs="Times New Roman"/>
          <w:lang w:eastAsia="en-AU"/>
        </w:rPr>
        <w:t xml:space="preserve"> (2014)</w:t>
      </w:r>
      <w:r w:rsidR="008759E0">
        <w:rPr>
          <w:rFonts w:eastAsia="Times New Roman" w:cs="Times New Roman"/>
          <w:lang w:eastAsia="en-AU"/>
        </w:rPr>
        <w:t xml:space="preserve">.  </w:t>
      </w:r>
      <w:r w:rsidR="00FB4129">
        <w:rPr>
          <w:rFonts w:eastAsia="Times New Roman" w:cs="Times New Roman"/>
          <w:lang w:eastAsia="en-AU"/>
        </w:rPr>
        <w:t>T</w:t>
      </w:r>
      <w:r w:rsidR="005F1388" w:rsidRPr="002C734F">
        <w:rPr>
          <w:rFonts w:eastAsia="Times New Roman" w:cs="Times New Roman"/>
          <w:lang w:eastAsia="en-AU"/>
        </w:rPr>
        <w:t xml:space="preserve">he current Premier was </w:t>
      </w:r>
      <w:r w:rsidR="00FB4129">
        <w:rPr>
          <w:rFonts w:eastAsia="Times New Roman" w:cs="Times New Roman"/>
          <w:lang w:eastAsia="en-AU"/>
        </w:rPr>
        <w:t xml:space="preserve">then </w:t>
      </w:r>
      <w:r w:rsidR="005F1388" w:rsidRPr="002C734F">
        <w:rPr>
          <w:rFonts w:eastAsia="Times New Roman" w:cs="Times New Roman"/>
          <w:lang w:eastAsia="en-AU"/>
        </w:rPr>
        <w:t>Treasurer</w:t>
      </w:r>
      <w:r w:rsidR="00930B25">
        <w:rPr>
          <w:rFonts w:eastAsia="Times New Roman" w:cs="Times New Roman"/>
          <w:lang w:eastAsia="en-AU"/>
        </w:rPr>
        <w:t>.  For</w:t>
      </w:r>
      <w:r w:rsidR="005F1388" w:rsidRPr="002C734F">
        <w:rPr>
          <w:rFonts w:eastAsia="Times New Roman" w:cs="Times New Roman"/>
          <w:lang w:eastAsia="en-AU"/>
        </w:rPr>
        <w:t xml:space="preserve"> some </w:t>
      </w:r>
      <w:r w:rsidR="0042138C" w:rsidRPr="002C734F">
        <w:rPr>
          <w:rFonts w:eastAsia="Times New Roman" w:cs="Times New Roman"/>
          <w:lang w:eastAsia="en-AU"/>
        </w:rPr>
        <w:t>time,</w:t>
      </w:r>
      <w:r w:rsidR="005F1388" w:rsidRPr="002C734F">
        <w:rPr>
          <w:rFonts w:eastAsia="Times New Roman" w:cs="Times New Roman"/>
          <w:lang w:eastAsia="en-AU"/>
        </w:rPr>
        <w:t xml:space="preserve"> </w:t>
      </w:r>
      <w:r w:rsidR="00930B25">
        <w:rPr>
          <w:rFonts w:eastAsia="Times New Roman" w:cs="Times New Roman"/>
          <w:lang w:eastAsia="en-AU"/>
        </w:rPr>
        <w:t xml:space="preserve">she </w:t>
      </w:r>
      <w:r w:rsidR="005F1388" w:rsidRPr="002C734F">
        <w:rPr>
          <w:rFonts w:eastAsia="Times New Roman" w:cs="Times New Roman"/>
          <w:lang w:eastAsia="en-AU"/>
        </w:rPr>
        <w:t xml:space="preserve">gave the impression </w:t>
      </w:r>
      <w:r w:rsidR="008759E0">
        <w:rPr>
          <w:rFonts w:eastAsia="Times New Roman" w:cs="Times New Roman"/>
          <w:lang w:eastAsia="en-AU"/>
        </w:rPr>
        <w:t xml:space="preserve">– including in Parliament - </w:t>
      </w:r>
      <w:r w:rsidR="005F1388" w:rsidRPr="002C734F">
        <w:rPr>
          <w:rFonts w:eastAsia="Times New Roman" w:cs="Times New Roman"/>
          <w:lang w:eastAsia="en-AU"/>
        </w:rPr>
        <w:t xml:space="preserve">there was no such </w:t>
      </w:r>
      <w:r w:rsidR="0069315E">
        <w:rPr>
          <w:rFonts w:eastAsia="Times New Roman" w:cs="Times New Roman"/>
          <w:lang w:eastAsia="en-AU"/>
        </w:rPr>
        <w:t>scheme</w:t>
      </w:r>
      <w:r w:rsidRPr="002C734F">
        <w:rPr>
          <w:rFonts w:eastAsia="Times New Roman" w:cs="Times New Roman"/>
          <w:lang w:eastAsia="en-AU"/>
        </w:rPr>
        <w:t>.</w:t>
      </w:r>
      <w:r w:rsidR="008679FA">
        <w:rPr>
          <w:rStyle w:val="FootnoteReference"/>
          <w:rFonts w:eastAsia="Times New Roman" w:cs="Times New Roman"/>
          <w:lang w:eastAsia="en-AU"/>
        </w:rPr>
        <w:footnoteReference w:id="6"/>
      </w:r>
      <w:r w:rsidRPr="002C734F">
        <w:rPr>
          <w:rFonts w:eastAsia="Times New Roman" w:cs="Times New Roman"/>
          <w:lang w:eastAsia="en-AU"/>
        </w:rPr>
        <w:t xml:space="preserve">  </w:t>
      </w:r>
    </w:p>
    <w:p w14:paraId="6387EF79" w14:textId="77777777" w:rsidR="008759E0" w:rsidRDefault="008759E0" w:rsidP="00B268B7">
      <w:pPr>
        <w:spacing w:after="0"/>
        <w:rPr>
          <w:rFonts w:eastAsia="Times New Roman" w:cs="Times New Roman"/>
          <w:lang w:eastAsia="en-AU"/>
        </w:rPr>
      </w:pPr>
    </w:p>
    <w:p w14:paraId="2BD63ACD" w14:textId="1DD51323" w:rsidR="005A45E9" w:rsidRDefault="005A45E9" w:rsidP="00B268B7">
      <w:pPr>
        <w:spacing w:after="0"/>
        <w:rPr>
          <w:rFonts w:eastAsia="Times New Roman" w:cs="Times New Roman"/>
          <w:lang w:eastAsia="en-AU"/>
        </w:rPr>
      </w:pPr>
      <w:r w:rsidRPr="002C734F">
        <w:rPr>
          <w:rFonts w:eastAsia="Times New Roman" w:cs="Times New Roman"/>
          <w:lang w:eastAsia="en-AU"/>
        </w:rPr>
        <w:t xml:space="preserve">The </w:t>
      </w:r>
      <w:r w:rsidR="00537422">
        <w:rPr>
          <w:rFonts w:eastAsia="Times New Roman" w:cs="Times New Roman"/>
          <w:lang w:eastAsia="en-AU"/>
        </w:rPr>
        <w:t>scheme</w:t>
      </w:r>
      <w:r w:rsidRPr="002C734F">
        <w:rPr>
          <w:rFonts w:eastAsia="Times New Roman" w:cs="Times New Roman"/>
          <w:lang w:eastAsia="en-AU"/>
        </w:rPr>
        <w:t xml:space="preserve"> was in two parts.  First, the buyers of Port Botany would be compensated were </w:t>
      </w:r>
      <w:r w:rsidR="00930B25">
        <w:rPr>
          <w:rFonts w:eastAsia="Times New Roman" w:cs="Times New Roman"/>
          <w:lang w:eastAsia="en-AU"/>
        </w:rPr>
        <w:t xml:space="preserve">more than a certain small number of </w:t>
      </w:r>
      <w:r w:rsidRPr="002C734F">
        <w:rPr>
          <w:rFonts w:eastAsia="Times New Roman" w:cs="Times New Roman"/>
          <w:lang w:eastAsia="en-AU"/>
        </w:rPr>
        <w:t>containers moved through Newcastle.  Second, the buyers of Newcastle would make payments to fund the compensation.</w:t>
      </w:r>
    </w:p>
    <w:p w14:paraId="7B6360AB" w14:textId="2E8083EC" w:rsidR="0099289A" w:rsidRDefault="0099289A" w:rsidP="00B268B7">
      <w:pPr>
        <w:spacing w:after="0"/>
        <w:rPr>
          <w:rFonts w:eastAsia="Times New Roman" w:cs="Times New Roman"/>
          <w:lang w:eastAsia="en-AU"/>
        </w:rPr>
      </w:pPr>
    </w:p>
    <w:p w14:paraId="1351BBB2" w14:textId="6C5EC7E1" w:rsidR="0099289A" w:rsidRPr="002C734F" w:rsidRDefault="0099289A" w:rsidP="00B268B7">
      <w:pPr>
        <w:spacing w:after="0"/>
        <w:rPr>
          <w:rFonts w:eastAsia="Times New Roman" w:cs="Times New Roman"/>
          <w:lang w:eastAsia="en-AU"/>
        </w:rPr>
      </w:pPr>
      <w:r>
        <w:rPr>
          <w:rFonts w:eastAsia="Times New Roman" w:cs="Times New Roman"/>
          <w:lang w:eastAsia="en-AU"/>
        </w:rPr>
        <w:t xml:space="preserve">The shroud of secrecy over the </w:t>
      </w:r>
      <w:r w:rsidR="00537422">
        <w:rPr>
          <w:rFonts w:eastAsia="Times New Roman" w:cs="Times New Roman"/>
          <w:lang w:eastAsia="en-AU"/>
        </w:rPr>
        <w:t>scheme</w:t>
      </w:r>
      <w:r>
        <w:rPr>
          <w:rFonts w:eastAsia="Times New Roman" w:cs="Times New Roman"/>
          <w:lang w:eastAsia="en-AU"/>
        </w:rPr>
        <w:t xml:space="preserve"> was lifted in 2016 by articles in the Newcastle Herald.  The Government then admitted there was such </w:t>
      </w:r>
      <w:proofErr w:type="gramStart"/>
      <w:r>
        <w:rPr>
          <w:rFonts w:eastAsia="Times New Roman" w:cs="Times New Roman"/>
          <w:lang w:eastAsia="en-AU"/>
        </w:rPr>
        <w:t>a</w:t>
      </w:r>
      <w:r w:rsidR="001B1809">
        <w:rPr>
          <w:rFonts w:eastAsia="Times New Roman" w:cs="Times New Roman"/>
          <w:lang w:eastAsia="en-AU"/>
        </w:rPr>
        <w:t>n</w:t>
      </w:r>
      <w:proofErr w:type="gramEnd"/>
      <w:r w:rsidR="001B1809">
        <w:rPr>
          <w:rFonts w:eastAsia="Times New Roman" w:cs="Times New Roman"/>
          <w:lang w:eastAsia="en-AU"/>
        </w:rPr>
        <w:t xml:space="preserve"> </w:t>
      </w:r>
      <w:r w:rsidR="0069315E">
        <w:rPr>
          <w:rFonts w:eastAsia="Times New Roman" w:cs="Times New Roman"/>
          <w:lang w:eastAsia="en-AU"/>
        </w:rPr>
        <w:t>scheme</w:t>
      </w:r>
      <w:r>
        <w:rPr>
          <w:rFonts w:eastAsia="Times New Roman" w:cs="Times New Roman"/>
          <w:lang w:eastAsia="en-AU"/>
        </w:rPr>
        <w:t>.</w:t>
      </w:r>
      <w:r w:rsidR="0039655C">
        <w:rPr>
          <w:rFonts w:eastAsia="Times New Roman" w:cs="Times New Roman"/>
          <w:lang w:eastAsia="en-AU"/>
        </w:rPr>
        <w:t xml:space="preserve">  More extensive background to </w:t>
      </w:r>
      <w:r w:rsidR="001B1809">
        <w:rPr>
          <w:rFonts w:eastAsia="Times New Roman" w:cs="Times New Roman"/>
          <w:lang w:eastAsia="en-AU"/>
        </w:rPr>
        <w:t>it</w:t>
      </w:r>
      <w:r w:rsidR="0039655C">
        <w:rPr>
          <w:rFonts w:eastAsia="Times New Roman" w:cs="Times New Roman"/>
          <w:lang w:eastAsia="en-AU"/>
        </w:rPr>
        <w:t xml:space="preserve">, and </w:t>
      </w:r>
      <w:r w:rsidR="001B1809">
        <w:rPr>
          <w:rFonts w:eastAsia="Times New Roman" w:cs="Times New Roman"/>
          <w:lang w:eastAsia="en-AU"/>
        </w:rPr>
        <w:t>the given</w:t>
      </w:r>
      <w:r w:rsidR="0039655C">
        <w:rPr>
          <w:rFonts w:eastAsia="Times New Roman" w:cs="Times New Roman"/>
          <w:lang w:eastAsia="en-AU"/>
        </w:rPr>
        <w:t xml:space="preserve"> rationale, is at </w:t>
      </w:r>
      <w:hyperlink r:id="rId8" w:history="1">
        <w:r w:rsidR="0039655C" w:rsidRPr="007D38BA">
          <w:rPr>
            <w:rStyle w:val="Hyperlink"/>
            <w:rFonts w:eastAsia="Times New Roman" w:cs="Times New Roman"/>
            <w:lang w:eastAsia="en-AU"/>
          </w:rPr>
          <w:t>https://www.thejadebeagle.com/time-for-federal-action-newcastle-port.html</w:t>
        </w:r>
      </w:hyperlink>
      <w:r w:rsidR="0039655C">
        <w:rPr>
          <w:rFonts w:eastAsia="Times New Roman" w:cs="Times New Roman"/>
          <w:lang w:eastAsia="en-AU"/>
        </w:rPr>
        <w:t>.</w:t>
      </w:r>
      <w:r w:rsidR="008679FA">
        <w:rPr>
          <w:rStyle w:val="FootnoteReference"/>
          <w:rFonts w:eastAsia="Times New Roman" w:cs="Times New Roman"/>
          <w:lang w:eastAsia="en-AU"/>
        </w:rPr>
        <w:footnoteReference w:id="7"/>
      </w:r>
    </w:p>
    <w:p w14:paraId="589F3294" w14:textId="77777777" w:rsidR="0099289A" w:rsidRDefault="0099289A" w:rsidP="00B268B7">
      <w:pPr>
        <w:spacing w:after="0"/>
        <w:rPr>
          <w:rFonts w:eastAsia="Times New Roman" w:cs="Times New Roman"/>
          <w:lang w:eastAsia="en-AU"/>
        </w:rPr>
      </w:pPr>
    </w:p>
    <w:p w14:paraId="019794BF" w14:textId="740649A5" w:rsidR="0099289A" w:rsidRDefault="0099289A" w:rsidP="00B268B7">
      <w:pPr>
        <w:spacing w:after="0"/>
        <w:rPr>
          <w:rFonts w:eastAsia="Times New Roman" w:cs="Times New Roman"/>
          <w:lang w:eastAsia="en-AU"/>
        </w:rPr>
      </w:pPr>
      <w:r>
        <w:rPr>
          <w:rFonts w:eastAsia="Times New Roman" w:cs="Times New Roman"/>
          <w:lang w:eastAsia="en-AU"/>
        </w:rPr>
        <w:t xml:space="preserve">In 2018, </w:t>
      </w:r>
      <w:r w:rsidRPr="002C734F">
        <w:rPr>
          <w:rFonts w:eastAsia="Times New Roman" w:cs="Times New Roman"/>
          <w:lang w:eastAsia="en-AU"/>
        </w:rPr>
        <w:t>the Australian Competition and Consumers Commission instituted proceedings against NSW ports</w:t>
      </w:r>
      <w:r w:rsidR="001B1809">
        <w:rPr>
          <w:rFonts w:eastAsia="Times New Roman" w:cs="Times New Roman"/>
          <w:lang w:eastAsia="en-AU"/>
        </w:rPr>
        <w:t xml:space="preserve"> in the Federal Court</w:t>
      </w:r>
      <w:r w:rsidRPr="002C734F">
        <w:rPr>
          <w:rFonts w:eastAsia="Times New Roman" w:cs="Times New Roman"/>
          <w:lang w:eastAsia="en-AU"/>
        </w:rPr>
        <w:t xml:space="preserve">.  It alleged a breach of the </w:t>
      </w:r>
      <w:r w:rsidRPr="0099289A">
        <w:rPr>
          <w:rFonts w:eastAsia="Times New Roman" w:cs="Times New Roman"/>
          <w:i/>
          <w:iCs/>
          <w:lang w:eastAsia="en-AU"/>
        </w:rPr>
        <w:t>Competition and Consumer Act</w:t>
      </w:r>
      <w:r>
        <w:rPr>
          <w:rFonts w:eastAsia="Times New Roman" w:cs="Times New Roman"/>
          <w:i/>
          <w:iCs/>
          <w:lang w:eastAsia="en-AU"/>
        </w:rPr>
        <w:t>’s</w:t>
      </w:r>
      <w:r w:rsidRPr="0099289A">
        <w:rPr>
          <w:rFonts w:eastAsia="Times New Roman" w:cs="Times New Roman"/>
          <w:i/>
          <w:iCs/>
          <w:lang w:eastAsia="en-AU"/>
        </w:rPr>
        <w:t xml:space="preserve"> (2010)</w:t>
      </w:r>
      <w:r w:rsidRPr="002C734F">
        <w:rPr>
          <w:rFonts w:eastAsia="Times New Roman" w:cs="Times New Roman"/>
          <w:lang w:eastAsia="en-AU"/>
        </w:rPr>
        <w:t xml:space="preserve"> anti-competitive laws.</w:t>
      </w:r>
      <w:r w:rsidR="00537422">
        <w:rPr>
          <w:rFonts w:eastAsia="Times New Roman" w:cs="Times New Roman"/>
          <w:lang w:eastAsia="en-AU"/>
        </w:rPr>
        <w:t xml:space="preserve">  It sought financial penalties for, and an injunction against the use of, the penalty-compensation scheme.</w:t>
      </w:r>
    </w:p>
    <w:p w14:paraId="20D4D496" w14:textId="77777777" w:rsidR="0039655C" w:rsidRPr="002C734F" w:rsidRDefault="0039655C" w:rsidP="00B268B7">
      <w:pPr>
        <w:spacing w:after="0"/>
        <w:rPr>
          <w:rFonts w:eastAsia="Times New Roman" w:cs="Times New Roman"/>
          <w:lang w:eastAsia="en-AU"/>
        </w:rPr>
      </w:pPr>
    </w:p>
    <w:p w14:paraId="50EF3299" w14:textId="163DA542" w:rsidR="00C90320" w:rsidRDefault="0099289A" w:rsidP="00B268B7">
      <w:pPr>
        <w:spacing w:after="0"/>
        <w:rPr>
          <w:rFonts w:eastAsia="Times New Roman" w:cs="Times New Roman"/>
          <w:lang w:eastAsia="en-AU"/>
        </w:rPr>
      </w:pPr>
      <w:r>
        <w:rPr>
          <w:rFonts w:eastAsia="Times New Roman" w:cs="Times New Roman"/>
          <w:lang w:eastAsia="en-AU"/>
        </w:rPr>
        <w:t>The Court</w:t>
      </w:r>
      <w:r w:rsidR="00096219">
        <w:rPr>
          <w:rFonts w:eastAsia="Times New Roman" w:cs="Times New Roman"/>
          <w:lang w:eastAsia="en-AU"/>
        </w:rPr>
        <w:t>’s decision, in mid-2021,</w:t>
      </w:r>
      <w:r w:rsidR="00A37A01" w:rsidRPr="002C734F">
        <w:rPr>
          <w:rFonts w:eastAsia="Times New Roman" w:cs="Times New Roman"/>
          <w:lang w:eastAsia="en-AU"/>
        </w:rPr>
        <w:t xml:space="preserve"> </w:t>
      </w:r>
      <w:r w:rsidR="00096219">
        <w:rPr>
          <w:rFonts w:eastAsia="Times New Roman" w:cs="Times New Roman"/>
          <w:lang w:eastAsia="en-AU"/>
        </w:rPr>
        <w:t>held</w:t>
      </w:r>
      <w:r w:rsidR="00A37A01" w:rsidRPr="002C734F">
        <w:rPr>
          <w:rFonts w:eastAsia="Times New Roman" w:cs="Times New Roman"/>
          <w:lang w:eastAsia="en-AU"/>
        </w:rPr>
        <w:t xml:space="preserve"> </w:t>
      </w:r>
      <w:r w:rsidR="00547B0E" w:rsidRPr="002C734F">
        <w:rPr>
          <w:rFonts w:eastAsia="Times New Roman" w:cs="Times New Roman"/>
          <w:lang w:eastAsia="en-AU"/>
        </w:rPr>
        <w:t xml:space="preserve">the </w:t>
      </w:r>
      <w:r w:rsidR="00A37A01" w:rsidRPr="002C734F">
        <w:rPr>
          <w:rFonts w:eastAsia="Times New Roman" w:cs="Times New Roman"/>
          <w:lang w:eastAsia="en-AU"/>
        </w:rPr>
        <w:t xml:space="preserve">privatisations </w:t>
      </w:r>
      <w:r w:rsidR="00096219">
        <w:rPr>
          <w:rFonts w:eastAsia="Times New Roman" w:cs="Times New Roman"/>
          <w:lang w:eastAsia="en-AU"/>
        </w:rPr>
        <w:t xml:space="preserve">and the associated </w:t>
      </w:r>
      <w:r w:rsidR="00537422">
        <w:rPr>
          <w:rFonts w:eastAsia="Times New Roman" w:cs="Times New Roman"/>
          <w:lang w:eastAsia="en-AU"/>
        </w:rPr>
        <w:t>scheme</w:t>
      </w:r>
      <w:r w:rsidR="00096219">
        <w:rPr>
          <w:rFonts w:eastAsia="Times New Roman" w:cs="Times New Roman"/>
          <w:lang w:eastAsia="en-AU"/>
        </w:rPr>
        <w:t xml:space="preserve"> </w:t>
      </w:r>
      <w:r w:rsidR="00547B0E" w:rsidRPr="002C734F">
        <w:rPr>
          <w:rFonts w:eastAsia="Times New Roman" w:cs="Times New Roman"/>
          <w:lang w:eastAsia="en-AU"/>
        </w:rPr>
        <w:t xml:space="preserve">were </w:t>
      </w:r>
      <w:r w:rsidR="00A37A01" w:rsidRPr="002C734F">
        <w:rPr>
          <w:rFonts w:eastAsia="Times New Roman" w:cs="Times New Roman"/>
          <w:lang w:eastAsia="en-AU"/>
        </w:rPr>
        <w:t>not business activities but part of NSW policy.  As</w:t>
      </w:r>
      <w:r w:rsidR="00C90320" w:rsidRPr="002C734F">
        <w:rPr>
          <w:rFonts w:eastAsia="Times New Roman" w:cs="Times New Roman"/>
          <w:lang w:eastAsia="en-AU"/>
        </w:rPr>
        <w:t xml:space="preserve"> the</w:t>
      </w:r>
      <w:r w:rsidR="00C90320" w:rsidRPr="0099289A">
        <w:rPr>
          <w:rFonts w:eastAsia="Times New Roman" w:cs="Times New Roman"/>
          <w:i/>
          <w:iCs/>
          <w:lang w:eastAsia="en-AU"/>
        </w:rPr>
        <w:t xml:space="preserve"> </w:t>
      </w:r>
      <w:r w:rsidRPr="0099289A">
        <w:rPr>
          <w:rFonts w:eastAsia="Times New Roman" w:cs="Times New Roman"/>
          <w:i/>
          <w:iCs/>
          <w:lang w:eastAsia="en-AU"/>
        </w:rPr>
        <w:t xml:space="preserve">Competition and Consumer </w:t>
      </w:r>
      <w:r w:rsidR="00C90320" w:rsidRPr="0099289A">
        <w:rPr>
          <w:rFonts w:eastAsia="Times New Roman" w:cs="Times New Roman"/>
          <w:i/>
          <w:iCs/>
          <w:lang w:eastAsia="en-AU"/>
        </w:rPr>
        <w:t xml:space="preserve">Act </w:t>
      </w:r>
      <w:r w:rsidRPr="0099289A">
        <w:rPr>
          <w:rFonts w:eastAsia="Times New Roman" w:cs="Times New Roman"/>
          <w:i/>
          <w:iCs/>
          <w:lang w:eastAsia="en-AU"/>
        </w:rPr>
        <w:t>(2010)</w:t>
      </w:r>
      <w:r>
        <w:rPr>
          <w:rFonts w:eastAsia="Times New Roman" w:cs="Times New Roman"/>
          <w:lang w:eastAsia="en-AU"/>
        </w:rPr>
        <w:t xml:space="preserve"> </w:t>
      </w:r>
      <w:r w:rsidR="00C90320" w:rsidRPr="002C734F">
        <w:rPr>
          <w:rFonts w:eastAsia="Times New Roman" w:cs="Times New Roman"/>
          <w:lang w:eastAsia="en-AU"/>
        </w:rPr>
        <w:t xml:space="preserve">applies only to business activities, not to policy, the </w:t>
      </w:r>
      <w:r w:rsidR="00537422">
        <w:rPr>
          <w:rFonts w:eastAsia="Times New Roman" w:cs="Times New Roman"/>
          <w:lang w:eastAsia="en-AU"/>
        </w:rPr>
        <w:t>scheme</w:t>
      </w:r>
      <w:r w:rsidR="00C90320" w:rsidRPr="002C734F">
        <w:rPr>
          <w:rFonts w:eastAsia="Times New Roman" w:cs="Times New Roman"/>
          <w:lang w:eastAsia="en-AU"/>
        </w:rPr>
        <w:t xml:space="preserve"> was ‘immune’.</w:t>
      </w:r>
    </w:p>
    <w:p w14:paraId="23D1FD48" w14:textId="411C8527" w:rsidR="008679FA" w:rsidRDefault="008679FA" w:rsidP="00B268B7">
      <w:pPr>
        <w:spacing w:after="0"/>
        <w:rPr>
          <w:rFonts w:eastAsia="Times New Roman" w:cs="Times New Roman"/>
          <w:lang w:eastAsia="en-AU"/>
        </w:rPr>
      </w:pPr>
      <w:r>
        <w:rPr>
          <w:rFonts w:eastAsia="Times New Roman" w:cs="Times New Roman"/>
          <w:lang w:eastAsia="en-AU"/>
        </w:rPr>
        <w:br w:type="page"/>
      </w:r>
    </w:p>
    <w:p w14:paraId="5C6AE96C" w14:textId="05036564" w:rsidR="000A4296" w:rsidRPr="002C734F" w:rsidRDefault="000A4296" w:rsidP="00B268B7">
      <w:pPr>
        <w:pStyle w:val="Heading2"/>
        <w:spacing w:before="0"/>
        <w:rPr>
          <w:rFonts w:eastAsia="Times New Roman"/>
          <w:color w:val="auto"/>
          <w:lang w:eastAsia="en-AU"/>
        </w:rPr>
      </w:pPr>
      <w:bookmarkStart w:id="5" w:name="_Toc79490151"/>
      <w:r>
        <w:rPr>
          <w:rFonts w:eastAsia="Times New Roman"/>
          <w:lang w:eastAsia="en-AU"/>
        </w:rPr>
        <w:lastRenderedPageBreak/>
        <w:t>3.</w:t>
      </w:r>
      <w:r>
        <w:rPr>
          <w:rFonts w:eastAsia="Times New Roman"/>
          <w:lang w:eastAsia="en-AU"/>
        </w:rPr>
        <w:tab/>
        <w:t>More than a decision</w:t>
      </w:r>
      <w:bookmarkEnd w:id="5"/>
    </w:p>
    <w:p w14:paraId="0CB11BAA" w14:textId="72C5D6F0" w:rsidR="00FC5919" w:rsidRPr="00FC5919" w:rsidRDefault="00FC5919" w:rsidP="00B268B7">
      <w:pPr>
        <w:pStyle w:val="Heading3"/>
        <w:spacing w:before="0"/>
      </w:pPr>
      <w:bookmarkStart w:id="6" w:name="_Toc79490152"/>
      <w:r w:rsidRPr="00FC5919">
        <w:t>3.</w:t>
      </w:r>
      <w:r w:rsidR="00926054">
        <w:t>0</w:t>
      </w:r>
      <w:r w:rsidR="00926054">
        <w:tab/>
      </w:r>
      <w:r w:rsidRPr="00FC5919">
        <w:t>Outline</w:t>
      </w:r>
      <w:bookmarkEnd w:id="6"/>
    </w:p>
    <w:p w14:paraId="33A6C619" w14:textId="18FBBDE8" w:rsidR="000A4296" w:rsidRDefault="00C90320" w:rsidP="00B268B7">
      <w:pPr>
        <w:spacing w:after="0"/>
        <w:rPr>
          <w:rFonts w:eastAsia="Times New Roman" w:cs="Times New Roman"/>
          <w:lang w:eastAsia="en-AU"/>
        </w:rPr>
      </w:pPr>
      <w:r w:rsidRPr="002C734F">
        <w:rPr>
          <w:rFonts w:eastAsia="Times New Roman" w:cs="Times New Roman"/>
          <w:lang w:eastAsia="en-AU"/>
        </w:rPr>
        <w:t xml:space="preserve">If the </w:t>
      </w:r>
      <w:r w:rsidR="00930B25">
        <w:rPr>
          <w:rFonts w:eastAsia="Times New Roman" w:cs="Times New Roman"/>
          <w:lang w:eastAsia="en-AU"/>
        </w:rPr>
        <w:t>C</w:t>
      </w:r>
      <w:r w:rsidRPr="002C734F">
        <w:rPr>
          <w:rFonts w:eastAsia="Times New Roman" w:cs="Times New Roman"/>
          <w:lang w:eastAsia="en-AU"/>
        </w:rPr>
        <w:t xml:space="preserve">ourt limited its statement of reasons to </w:t>
      </w:r>
      <w:r w:rsidR="000A4296">
        <w:rPr>
          <w:rFonts w:eastAsia="Times New Roman" w:cs="Times New Roman"/>
          <w:lang w:eastAsia="en-AU"/>
        </w:rPr>
        <w:t>immunity</w:t>
      </w:r>
      <w:r w:rsidRPr="002C734F">
        <w:rPr>
          <w:rFonts w:eastAsia="Times New Roman" w:cs="Times New Roman"/>
          <w:lang w:eastAsia="en-AU"/>
        </w:rPr>
        <w:t>, the decision would have disappointed some</w:t>
      </w:r>
      <w:r w:rsidR="005F1388" w:rsidRPr="002C734F">
        <w:rPr>
          <w:rFonts w:eastAsia="Times New Roman" w:cs="Times New Roman"/>
          <w:lang w:eastAsia="en-AU"/>
        </w:rPr>
        <w:t xml:space="preserve">.  </w:t>
      </w:r>
      <w:r w:rsidR="000A4296">
        <w:rPr>
          <w:rFonts w:eastAsia="Times New Roman" w:cs="Times New Roman"/>
          <w:lang w:eastAsia="en-AU"/>
        </w:rPr>
        <w:t xml:space="preserve">There </w:t>
      </w:r>
      <w:r w:rsidR="005F1388" w:rsidRPr="002C734F">
        <w:rPr>
          <w:rFonts w:eastAsia="Times New Roman" w:cs="Times New Roman"/>
          <w:lang w:eastAsia="en-AU"/>
        </w:rPr>
        <w:t xml:space="preserve">may have </w:t>
      </w:r>
      <w:r w:rsidR="000A4296">
        <w:rPr>
          <w:rFonts w:eastAsia="Times New Roman" w:cs="Times New Roman"/>
          <w:lang w:eastAsia="en-AU"/>
        </w:rPr>
        <w:t>been</w:t>
      </w:r>
      <w:r w:rsidR="005F1388" w:rsidRPr="002C734F">
        <w:rPr>
          <w:rFonts w:eastAsia="Times New Roman" w:cs="Times New Roman"/>
          <w:lang w:eastAsia="en-AU"/>
        </w:rPr>
        <w:t xml:space="preserve"> argument </w:t>
      </w:r>
      <w:r w:rsidR="000A4296">
        <w:rPr>
          <w:rFonts w:eastAsia="Times New Roman" w:cs="Times New Roman"/>
          <w:lang w:eastAsia="en-AU"/>
        </w:rPr>
        <w:t>about</w:t>
      </w:r>
      <w:r w:rsidR="005F1388" w:rsidRPr="002C734F">
        <w:rPr>
          <w:rFonts w:eastAsia="Times New Roman" w:cs="Times New Roman"/>
          <w:lang w:eastAsia="en-AU"/>
        </w:rPr>
        <w:t xml:space="preserve"> how what </w:t>
      </w:r>
      <w:r w:rsidR="007A7DDF" w:rsidRPr="002C734F">
        <w:rPr>
          <w:rFonts w:eastAsia="Times New Roman" w:cs="Times New Roman"/>
          <w:lang w:eastAsia="en-AU"/>
        </w:rPr>
        <w:t>everyone</w:t>
      </w:r>
      <w:r w:rsidR="005F1388" w:rsidRPr="002C734F">
        <w:rPr>
          <w:rFonts w:eastAsia="Times New Roman" w:cs="Times New Roman"/>
          <w:lang w:eastAsia="en-AU"/>
        </w:rPr>
        <w:t xml:space="preserve"> regarded as a ‘transaction’ </w:t>
      </w:r>
      <w:r w:rsidR="007A7DDF" w:rsidRPr="002C734F">
        <w:rPr>
          <w:rFonts w:eastAsia="Times New Roman" w:cs="Times New Roman"/>
          <w:lang w:eastAsia="en-AU"/>
        </w:rPr>
        <w:t xml:space="preserve">- </w:t>
      </w:r>
      <w:r w:rsidR="005F1388" w:rsidRPr="002C734F">
        <w:rPr>
          <w:rFonts w:eastAsia="Times New Roman" w:cs="Times New Roman"/>
          <w:lang w:eastAsia="en-AU"/>
        </w:rPr>
        <w:t xml:space="preserve">in which Government sought to maximise revenue and shift business risk </w:t>
      </w:r>
      <w:r w:rsidR="00547B0E" w:rsidRPr="002C734F">
        <w:rPr>
          <w:rFonts w:eastAsia="Times New Roman" w:cs="Times New Roman"/>
          <w:lang w:eastAsia="en-AU"/>
        </w:rPr>
        <w:t>–</w:t>
      </w:r>
      <w:r w:rsidR="007A7DDF" w:rsidRPr="002C734F">
        <w:rPr>
          <w:rFonts w:eastAsia="Times New Roman" w:cs="Times New Roman"/>
          <w:lang w:eastAsia="en-AU"/>
        </w:rPr>
        <w:t xml:space="preserve"> </w:t>
      </w:r>
      <w:r w:rsidR="00547B0E" w:rsidRPr="002C734F">
        <w:rPr>
          <w:rFonts w:eastAsia="Times New Roman" w:cs="Times New Roman"/>
          <w:lang w:eastAsia="en-AU"/>
        </w:rPr>
        <w:t>was not</w:t>
      </w:r>
      <w:r w:rsidR="005F1388" w:rsidRPr="002C734F">
        <w:rPr>
          <w:rFonts w:eastAsia="Times New Roman" w:cs="Times New Roman"/>
          <w:lang w:eastAsia="en-AU"/>
        </w:rPr>
        <w:t xml:space="preserve"> a business activity. </w:t>
      </w:r>
    </w:p>
    <w:p w14:paraId="4E45E4A6" w14:textId="77777777" w:rsidR="000A4296" w:rsidRDefault="000A4296" w:rsidP="00B268B7">
      <w:pPr>
        <w:spacing w:after="0"/>
        <w:rPr>
          <w:rFonts w:eastAsia="Times New Roman" w:cs="Times New Roman"/>
          <w:lang w:eastAsia="en-AU"/>
        </w:rPr>
      </w:pPr>
    </w:p>
    <w:p w14:paraId="4162A132" w14:textId="6DFB0CB7" w:rsidR="00C90320" w:rsidRPr="002C734F" w:rsidRDefault="005F1388" w:rsidP="00B268B7">
      <w:pPr>
        <w:spacing w:after="0"/>
        <w:rPr>
          <w:rFonts w:eastAsia="Times New Roman" w:cs="Times New Roman"/>
          <w:lang w:eastAsia="en-AU"/>
        </w:rPr>
      </w:pPr>
      <w:r w:rsidRPr="002C734F">
        <w:rPr>
          <w:rFonts w:eastAsia="Times New Roman" w:cs="Times New Roman"/>
          <w:lang w:eastAsia="en-AU"/>
        </w:rPr>
        <w:t>Whatever the outcome of that</w:t>
      </w:r>
      <w:r w:rsidR="000A4296">
        <w:rPr>
          <w:rFonts w:eastAsia="Times New Roman" w:cs="Times New Roman"/>
          <w:lang w:eastAsia="en-AU"/>
        </w:rPr>
        <w:t xml:space="preserve"> argument</w:t>
      </w:r>
      <w:r w:rsidRPr="002C734F">
        <w:rPr>
          <w:rFonts w:eastAsia="Times New Roman" w:cs="Times New Roman"/>
          <w:lang w:eastAsia="en-AU"/>
        </w:rPr>
        <w:t>, it would</w:t>
      </w:r>
      <w:r w:rsidR="00C90320" w:rsidRPr="002C734F">
        <w:rPr>
          <w:rFonts w:eastAsia="Times New Roman" w:cs="Times New Roman"/>
          <w:lang w:eastAsia="en-AU"/>
        </w:rPr>
        <w:t xml:space="preserve"> have had little </w:t>
      </w:r>
      <w:r w:rsidRPr="002C734F">
        <w:rPr>
          <w:rFonts w:eastAsia="Times New Roman" w:cs="Times New Roman"/>
          <w:lang w:eastAsia="en-AU"/>
        </w:rPr>
        <w:t xml:space="preserve">policy </w:t>
      </w:r>
      <w:r w:rsidR="00C90320" w:rsidRPr="002C734F">
        <w:rPr>
          <w:rFonts w:eastAsia="Times New Roman" w:cs="Times New Roman"/>
          <w:lang w:eastAsia="en-AU"/>
        </w:rPr>
        <w:t xml:space="preserve">consequence apart from putting the </w:t>
      </w:r>
      <w:r w:rsidRPr="002C734F">
        <w:rPr>
          <w:rFonts w:eastAsia="Times New Roman" w:cs="Times New Roman"/>
          <w:lang w:eastAsia="en-AU"/>
        </w:rPr>
        <w:t xml:space="preserve">Newcastle </w:t>
      </w:r>
      <w:r w:rsidR="00C90320" w:rsidRPr="002C734F">
        <w:rPr>
          <w:rFonts w:eastAsia="Times New Roman" w:cs="Times New Roman"/>
          <w:lang w:eastAsia="en-AU"/>
        </w:rPr>
        <w:t>issue squarely with politicians – who caused and need to fix the problem.</w:t>
      </w:r>
      <w:r w:rsidRPr="002C734F">
        <w:rPr>
          <w:rFonts w:eastAsia="Times New Roman" w:cs="Times New Roman"/>
          <w:lang w:eastAsia="en-AU"/>
        </w:rPr>
        <w:t xml:space="preserve">  </w:t>
      </w:r>
    </w:p>
    <w:p w14:paraId="3B27CC0C" w14:textId="77777777" w:rsidR="00C90320" w:rsidRPr="002C734F" w:rsidRDefault="00C90320" w:rsidP="00B268B7">
      <w:pPr>
        <w:spacing w:after="0"/>
        <w:rPr>
          <w:rFonts w:eastAsia="Times New Roman" w:cs="Times New Roman"/>
          <w:lang w:eastAsia="en-AU"/>
        </w:rPr>
      </w:pPr>
    </w:p>
    <w:p w14:paraId="28494173" w14:textId="0197CF57" w:rsidR="00A4562A" w:rsidRDefault="00C90320" w:rsidP="00A4562A">
      <w:pPr>
        <w:spacing w:after="0"/>
      </w:pPr>
      <w:r w:rsidRPr="002C734F">
        <w:rPr>
          <w:rFonts w:eastAsia="Times New Roman" w:cs="Times New Roman"/>
          <w:lang w:eastAsia="en-AU"/>
        </w:rPr>
        <w:t xml:space="preserve">However, </w:t>
      </w:r>
      <w:r w:rsidR="000A4296">
        <w:rPr>
          <w:rFonts w:eastAsia="Times New Roman" w:cs="Times New Roman"/>
          <w:lang w:eastAsia="en-AU"/>
        </w:rPr>
        <w:t xml:space="preserve">her honour </w:t>
      </w:r>
      <w:r w:rsidR="00930B25">
        <w:rPr>
          <w:rFonts w:eastAsia="Times New Roman" w:cs="Times New Roman"/>
          <w:lang w:eastAsia="en-AU"/>
        </w:rPr>
        <w:t xml:space="preserve">went to some length to </w:t>
      </w:r>
      <w:r w:rsidRPr="002C734F">
        <w:rPr>
          <w:rFonts w:eastAsia="Times New Roman" w:cs="Times New Roman"/>
          <w:lang w:eastAsia="en-AU"/>
        </w:rPr>
        <w:t>rubbish</w:t>
      </w:r>
      <w:r w:rsidR="002C734F">
        <w:rPr>
          <w:rFonts w:eastAsia="Times New Roman" w:cs="Times New Roman"/>
          <w:lang w:eastAsia="en-AU"/>
        </w:rPr>
        <w:t xml:space="preserve"> the </w:t>
      </w:r>
      <w:r w:rsidRPr="002C734F">
        <w:rPr>
          <w:rFonts w:eastAsia="Times New Roman" w:cs="Times New Roman"/>
          <w:lang w:eastAsia="en-AU"/>
        </w:rPr>
        <w:t xml:space="preserve">prospects of a container terminal </w:t>
      </w:r>
      <w:r w:rsidR="005F1388" w:rsidRPr="002C734F">
        <w:rPr>
          <w:rFonts w:eastAsia="Times New Roman" w:cs="Times New Roman"/>
          <w:lang w:eastAsia="en-AU"/>
        </w:rPr>
        <w:t>in</w:t>
      </w:r>
      <w:r w:rsidRPr="002C734F">
        <w:rPr>
          <w:rFonts w:eastAsia="Times New Roman" w:cs="Times New Roman"/>
          <w:lang w:eastAsia="en-AU"/>
        </w:rPr>
        <w:t xml:space="preserve"> Newcastle.  </w:t>
      </w:r>
      <w:r w:rsidR="00A4562A">
        <w:rPr>
          <w:rFonts w:eastAsia="Times New Roman" w:cs="Times New Roman"/>
          <w:lang w:eastAsia="en-AU"/>
        </w:rPr>
        <w:t xml:space="preserve">The reason appears to </w:t>
      </w:r>
      <w:r w:rsidR="00080B77">
        <w:rPr>
          <w:rFonts w:eastAsia="Times New Roman" w:cs="Times New Roman"/>
          <w:lang w:eastAsia="en-AU"/>
        </w:rPr>
        <w:t xml:space="preserve">be </w:t>
      </w:r>
      <w:r w:rsidR="00A4562A">
        <w:rPr>
          <w:rFonts w:eastAsia="Times New Roman" w:cs="Times New Roman"/>
          <w:lang w:eastAsia="en-AU"/>
        </w:rPr>
        <w:t>a ‘need’ to overcome acceptance that the scheme did protect Port Botany from competitio</w:t>
      </w:r>
      <w:r w:rsidR="00A4562A" w:rsidRPr="00A4562A">
        <w:t xml:space="preserve">n.  </w:t>
      </w:r>
      <w:r w:rsidR="00A4562A" w:rsidRPr="00A4562A">
        <w:t xml:space="preserve">Her honour cited NSW Ports putting it: </w:t>
      </w:r>
    </w:p>
    <w:p w14:paraId="0CB6F014" w14:textId="2EE38DCF" w:rsidR="00A4562A" w:rsidRPr="00A4562A" w:rsidRDefault="00A4562A" w:rsidP="00A4562A">
      <w:pPr>
        <w:spacing w:after="0"/>
        <w:ind w:left="720"/>
        <w:rPr>
          <w:rFonts w:eastAsia="Times New Roman" w:cs="Times New Roman"/>
          <w:i/>
          <w:iCs/>
          <w:lang w:eastAsia="en-AU"/>
        </w:rPr>
      </w:pPr>
      <w:r w:rsidRPr="00A4562A">
        <w:rPr>
          <w:i/>
          <w:iCs/>
        </w:rPr>
        <w:t>‘</w:t>
      </w:r>
      <w:proofErr w:type="gramStart"/>
      <w:r w:rsidRPr="00A4562A">
        <w:rPr>
          <w:i/>
          <w:iCs/>
        </w:rPr>
        <w:t>arrangements</w:t>
      </w:r>
      <w:proofErr w:type="gramEnd"/>
      <w:r w:rsidRPr="00A4562A">
        <w:rPr>
          <w:i/>
          <w:iCs/>
        </w:rPr>
        <w:t xml:space="preserve"> entered into with the Government to protect NSW Ports from potential future competing container activity in Newcastle has been reviewed and it provides a clear and secure protection’.</w:t>
      </w:r>
      <w:r>
        <w:rPr>
          <w:rStyle w:val="FootnoteReference"/>
          <w:i/>
          <w:iCs/>
        </w:rPr>
        <w:footnoteReference w:id="8"/>
      </w:r>
    </w:p>
    <w:p w14:paraId="74127B51" w14:textId="77777777" w:rsidR="00A4562A" w:rsidRDefault="00A4562A" w:rsidP="00A4562A">
      <w:pPr>
        <w:spacing w:after="0"/>
        <w:rPr>
          <w:rFonts w:eastAsia="Times New Roman" w:cs="Times New Roman"/>
          <w:lang w:eastAsia="en-AU"/>
        </w:rPr>
      </w:pPr>
    </w:p>
    <w:p w14:paraId="50A5695C" w14:textId="7FF84F98" w:rsidR="00547B0E" w:rsidRDefault="002C734F" w:rsidP="00B268B7">
      <w:pPr>
        <w:spacing w:after="0"/>
        <w:rPr>
          <w:rFonts w:eastAsia="Times New Roman" w:cs="Times New Roman"/>
          <w:lang w:eastAsia="en-AU"/>
        </w:rPr>
      </w:pPr>
      <w:r>
        <w:rPr>
          <w:rFonts w:eastAsia="Times New Roman" w:cs="Times New Roman"/>
          <w:lang w:eastAsia="en-AU"/>
        </w:rPr>
        <w:t xml:space="preserve">Her opinion </w:t>
      </w:r>
      <w:r w:rsidR="009E1C7C">
        <w:rPr>
          <w:rFonts w:eastAsia="Times New Roman" w:cs="Times New Roman"/>
          <w:lang w:eastAsia="en-AU"/>
        </w:rPr>
        <w:t xml:space="preserve">of those prospects </w:t>
      </w:r>
      <w:r>
        <w:rPr>
          <w:rFonts w:eastAsia="Times New Roman" w:cs="Times New Roman"/>
          <w:lang w:eastAsia="en-AU"/>
        </w:rPr>
        <w:t xml:space="preserve">can be distilled into three </w:t>
      </w:r>
      <w:r w:rsidR="006F5F28">
        <w:rPr>
          <w:rFonts w:eastAsia="Times New Roman" w:cs="Times New Roman"/>
          <w:lang w:eastAsia="en-AU"/>
        </w:rPr>
        <w:t xml:space="preserve">basic </w:t>
      </w:r>
      <w:r>
        <w:rPr>
          <w:rFonts w:eastAsia="Times New Roman" w:cs="Times New Roman"/>
          <w:lang w:eastAsia="en-AU"/>
        </w:rPr>
        <w:t>propositions:</w:t>
      </w:r>
    </w:p>
    <w:p w14:paraId="08A536B8" w14:textId="2FD58EB7" w:rsidR="002C734F" w:rsidRDefault="00106C53" w:rsidP="00B268B7">
      <w:pPr>
        <w:pStyle w:val="ListParagraph"/>
        <w:numPr>
          <w:ilvl w:val="0"/>
          <w:numId w:val="16"/>
        </w:numPr>
        <w:spacing w:after="0"/>
        <w:ind w:left="340"/>
        <w:rPr>
          <w:rFonts w:eastAsia="Times New Roman" w:cs="Times New Roman"/>
          <w:lang w:eastAsia="en-AU"/>
        </w:rPr>
      </w:pPr>
      <w:r>
        <w:rPr>
          <w:rFonts w:eastAsia="Times New Roman" w:cs="Times New Roman"/>
          <w:lang w:eastAsia="en-AU"/>
        </w:rPr>
        <w:t>a</w:t>
      </w:r>
      <w:r w:rsidR="002C734F">
        <w:rPr>
          <w:rFonts w:eastAsia="Times New Roman" w:cs="Times New Roman"/>
          <w:lang w:eastAsia="en-AU"/>
        </w:rPr>
        <w:t xml:space="preserve"> container terminal at Newcastle is contrary to NSW Government policy;</w:t>
      </w:r>
    </w:p>
    <w:p w14:paraId="3BC81472" w14:textId="242C7366" w:rsidR="002C734F" w:rsidRDefault="00106C53" w:rsidP="00B268B7">
      <w:pPr>
        <w:pStyle w:val="ListParagraph"/>
        <w:numPr>
          <w:ilvl w:val="0"/>
          <w:numId w:val="16"/>
        </w:numPr>
        <w:spacing w:after="0"/>
        <w:ind w:left="340"/>
        <w:rPr>
          <w:rFonts w:eastAsia="Times New Roman" w:cs="Times New Roman"/>
          <w:lang w:eastAsia="en-AU"/>
        </w:rPr>
      </w:pPr>
      <w:r>
        <w:rPr>
          <w:rFonts w:eastAsia="Times New Roman" w:cs="Times New Roman"/>
          <w:lang w:eastAsia="en-AU"/>
        </w:rPr>
        <w:t>t</w:t>
      </w:r>
      <w:r w:rsidR="002C734F">
        <w:rPr>
          <w:rFonts w:eastAsia="Times New Roman" w:cs="Times New Roman"/>
          <w:lang w:eastAsia="en-AU"/>
        </w:rPr>
        <w:t>hat policy is justified;</w:t>
      </w:r>
    </w:p>
    <w:p w14:paraId="638CD12F" w14:textId="6EACBECC" w:rsidR="002C734F" w:rsidRDefault="00106C53" w:rsidP="00B268B7">
      <w:pPr>
        <w:pStyle w:val="ListParagraph"/>
        <w:numPr>
          <w:ilvl w:val="0"/>
          <w:numId w:val="16"/>
        </w:numPr>
        <w:spacing w:after="0"/>
        <w:ind w:left="340"/>
        <w:rPr>
          <w:rFonts w:eastAsia="Times New Roman" w:cs="Times New Roman"/>
          <w:lang w:eastAsia="en-AU"/>
        </w:rPr>
      </w:pPr>
      <w:r>
        <w:rPr>
          <w:rFonts w:eastAsia="Times New Roman" w:cs="Times New Roman"/>
          <w:lang w:eastAsia="en-AU"/>
        </w:rPr>
        <w:t>i</w:t>
      </w:r>
      <w:r w:rsidR="002C734F">
        <w:rPr>
          <w:rFonts w:eastAsia="Times New Roman" w:cs="Times New Roman"/>
          <w:lang w:eastAsia="en-AU"/>
        </w:rPr>
        <w:t>n any event, a container terminal at Newcastle is not viable.</w:t>
      </w:r>
    </w:p>
    <w:p w14:paraId="74208907" w14:textId="250FBC11" w:rsidR="006F5F28" w:rsidRDefault="006F5F28" w:rsidP="00B268B7">
      <w:pPr>
        <w:spacing w:after="0"/>
        <w:ind w:left="-20"/>
        <w:rPr>
          <w:rFonts w:eastAsia="Times New Roman" w:cs="Times New Roman"/>
          <w:lang w:eastAsia="en-AU"/>
        </w:rPr>
      </w:pPr>
    </w:p>
    <w:p w14:paraId="1DEC8D16" w14:textId="76639F93" w:rsidR="002C734F" w:rsidRDefault="00080B77" w:rsidP="00B268B7">
      <w:pPr>
        <w:spacing w:after="0"/>
        <w:ind w:left="-20"/>
        <w:rPr>
          <w:rFonts w:eastAsia="Times New Roman" w:cs="Times New Roman"/>
          <w:lang w:eastAsia="en-AU"/>
        </w:rPr>
      </w:pPr>
      <w:r>
        <w:rPr>
          <w:rFonts w:eastAsia="Times New Roman" w:cs="Times New Roman"/>
          <w:lang w:eastAsia="en-AU"/>
        </w:rPr>
        <w:t>From</w:t>
      </w:r>
      <w:r w:rsidR="006F5F28">
        <w:rPr>
          <w:rFonts w:eastAsia="Times New Roman" w:cs="Times New Roman"/>
          <w:lang w:eastAsia="en-AU"/>
        </w:rPr>
        <w:t xml:space="preserve"> these propositions, </w:t>
      </w:r>
      <w:r w:rsidR="001B1809">
        <w:rPr>
          <w:rFonts w:eastAsia="Times New Roman" w:cs="Times New Roman"/>
          <w:lang w:eastAsia="en-AU"/>
        </w:rPr>
        <w:t xml:space="preserve">the Court drew </w:t>
      </w:r>
      <w:r w:rsidR="006F5F28">
        <w:rPr>
          <w:rFonts w:eastAsia="Times New Roman" w:cs="Times New Roman"/>
          <w:lang w:eastAsia="en-AU"/>
        </w:rPr>
        <w:t xml:space="preserve">further inferences including to the effect the penalty-compensation </w:t>
      </w:r>
      <w:r w:rsidR="00537422">
        <w:rPr>
          <w:rFonts w:eastAsia="Times New Roman" w:cs="Times New Roman"/>
          <w:lang w:eastAsia="en-AU"/>
        </w:rPr>
        <w:t>scheme</w:t>
      </w:r>
      <w:r w:rsidR="006F5F28">
        <w:rPr>
          <w:rFonts w:eastAsia="Times New Roman" w:cs="Times New Roman"/>
          <w:lang w:eastAsia="en-AU"/>
        </w:rPr>
        <w:t xml:space="preserve"> did not have anti-competitive purpose or effect.</w:t>
      </w:r>
    </w:p>
    <w:p w14:paraId="7FB69F07" w14:textId="1BFFD6F1" w:rsidR="00096219" w:rsidRDefault="00096219" w:rsidP="00B268B7">
      <w:pPr>
        <w:spacing w:after="0"/>
        <w:ind w:left="-20"/>
        <w:rPr>
          <w:rFonts w:eastAsia="Times New Roman" w:cs="Times New Roman"/>
          <w:lang w:eastAsia="en-AU"/>
        </w:rPr>
      </w:pPr>
    </w:p>
    <w:p w14:paraId="0C685DDE" w14:textId="6718E52B" w:rsidR="00096219" w:rsidRDefault="00096219" w:rsidP="00B268B7">
      <w:pPr>
        <w:spacing w:after="0"/>
        <w:ind w:left="-20"/>
        <w:rPr>
          <w:rFonts w:eastAsia="Times New Roman" w:cs="Times New Roman"/>
          <w:lang w:eastAsia="en-AU"/>
        </w:rPr>
      </w:pPr>
      <w:r>
        <w:rPr>
          <w:rFonts w:eastAsia="Times New Roman" w:cs="Times New Roman"/>
          <w:lang w:eastAsia="en-AU"/>
        </w:rPr>
        <w:t xml:space="preserve">This article is primarily interested in (2); justification of a policy against a Newcastle container terminal.  </w:t>
      </w:r>
      <w:r w:rsidR="008679FA">
        <w:rPr>
          <w:rFonts w:eastAsia="Times New Roman" w:cs="Times New Roman"/>
          <w:lang w:eastAsia="en-AU"/>
        </w:rPr>
        <w:t>A</w:t>
      </w:r>
      <w:r>
        <w:rPr>
          <w:rFonts w:eastAsia="Times New Roman" w:cs="Times New Roman"/>
          <w:lang w:eastAsia="en-AU"/>
        </w:rPr>
        <w:t xml:space="preserve"> debate about whether a terminal is viable is </w:t>
      </w:r>
      <w:r w:rsidR="008679FA">
        <w:rPr>
          <w:rFonts w:eastAsia="Times New Roman" w:cs="Times New Roman"/>
          <w:lang w:eastAsia="en-AU"/>
        </w:rPr>
        <w:t>for</w:t>
      </w:r>
      <w:r>
        <w:rPr>
          <w:rFonts w:eastAsia="Times New Roman" w:cs="Times New Roman"/>
          <w:lang w:eastAsia="en-AU"/>
        </w:rPr>
        <w:t xml:space="preserve"> others.  </w:t>
      </w:r>
    </w:p>
    <w:p w14:paraId="54D67A18" w14:textId="77777777" w:rsidR="001B1809" w:rsidRDefault="001B1809" w:rsidP="00B268B7">
      <w:pPr>
        <w:spacing w:after="0"/>
        <w:ind w:left="-20"/>
        <w:rPr>
          <w:rFonts w:eastAsia="Times New Roman" w:cs="Times New Roman"/>
          <w:lang w:eastAsia="en-AU"/>
        </w:rPr>
      </w:pPr>
    </w:p>
    <w:p w14:paraId="40E597B8" w14:textId="605D1405" w:rsidR="00096219" w:rsidRDefault="001B1809" w:rsidP="00B268B7">
      <w:pPr>
        <w:spacing w:after="0"/>
        <w:ind w:left="-20"/>
        <w:rPr>
          <w:rFonts w:eastAsia="Times New Roman" w:cs="Times New Roman"/>
          <w:lang w:eastAsia="en-AU"/>
        </w:rPr>
      </w:pPr>
      <w:r>
        <w:rPr>
          <w:rFonts w:eastAsia="Times New Roman" w:cs="Times New Roman"/>
          <w:lang w:eastAsia="en-AU"/>
        </w:rPr>
        <w:t>F</w:t>
      </w:r>
      <w:r w:rsidR="00096219">
        <w:rPr>
          <w:rFonts w:eastAsia="Times New Roman" w:cs="Times New Roman"/>
          <w:lang w:eastAsia="en-AU"/>
        </w:rPr>
        <w:t>or completeness, the next sections outline</w:t>
      </w:r>
      <w:r>
        <w:rPr>
          <w:rFonts w:eastAsia="Times New Roman" w:cs="Times New Roman"/>
          <w:lang w:eastAsia="en-AU"/>
        </w:rPr>
        <w:t xml:space="preserve"> an</w:t>
      </w:r>
      <w:r w:rsidR="00096219">
        <w:rPr>
          <w:rFonts w:eastAsia="Times New Roman" w:cs="Times New Roman"/>
          <w:lang w:eastAsia="en-AU"/>
        </w:rPr>
        <w:t xml:space="preserve"> understanding of the Court’s reasons on all three </w:t>
      </w:r>
      <w:r>
        <w:rPr>
          <w:rFonts w:eastAsia="Times New Roman" w:cs="Times New Roman"/>
          <w:lang w:eastAsia="en-AU"/>
        </w:rPr>
        <w:t>propositions</w:t>
      </w:r>
      <w:r w:rsidR="00096219">
        <w:rPr>
          <w:rFonts w:eastAsia="Times New Roman" w:cs="Times New Roman"/>
          <w:lang w:eastAsia="en-AU"/>
        </w:rPr>
        <w:t xml:space="preserve">.  </w:t>
      </w:r>
    </w:p>
    <w:p w14:paraId="42E76ABB" w14:textId="77777777" w:rsidR="006F5F28" w:rsidRDefault="006F5F28" w:rsidP="00B268B7">
      <w:pPr>
        <w:spacing w:after="0"/>
        <w:ind w:left="-20"/>
        <w:rPr>
          <w:rFonts w:eastAsia="Times New Roman" w:cs="Times New Roman"/>
          <w:lang w:eastAsia="en-AU"/>
        </w:rPr>
      </w:pPr>
    </w:p>
    <w:p w14:paraId="34391B31" w14:textId="16A911AA" w:rsidR="006F5F28" w:rsidRDefault="006F5F28" w:rsidP="00B268B7">
      <w:pPr>
        <w:pStyle w:val="Heading3"/>
        <w:spacing w:before="0"/>
        <w:rPr>
          <w:rFonts w:eastAsia="Times New Roman"/>
          <w:lang w:eastAsia="en-AU"/>
        </w:rPr>
      </w:pPr>
      <w:bookmarkStart w:id="7" w:name="_Toc79490153"/>
      <w:r>
        <w:rPr>
          <w:rFonts w:eastAsia="Times New Roman"/>
          <w:lang w:eastAsia="en-AU"/>
        </w:rPr>
        <w:t>3.1</w:t>
      </w:r>
      <w:r>
        <w:rPr>
          <w:rFonts w:eastAsia="Times New Roman"/>
          <w:lang w:eastAsia="en-AU"/>
        </w:rPr>
        <w:tab/>
        <w:t>NSW policy</w:t>
      </w:r>
      <w:bookmarkEnd w:id="7"/>
    </w:p>
    <w:p w14:paraId="5A27AFFC" w14:textId="094FB515" w:rsidR="00F24D60" w:rsidRDefault="002C734F" w:rsidP="00B268B7">
      <w:pPr>
        <w:spacing w:after="0"/>
        <w:rPr>
          <w:rFonts w:eastAsia="Times New Roman" w:cs="Times New Roman"/>
          <w:lang w:eastAsia="en-AU"/>
        </w:rPr>
      </w:pPr>
      <w:r>
        <w:rPr>
          <w:rFonts w:eastAsia="Times New Roman" w:cs="Times New Roman"/>
          <w:lang w:eastAsia="en-AU"/>
        </w:rPr>
        <w:t>Regarding</w:t>
      </w:r>
      <w:r w:rsidR="006F5F28">
        <w:rPr>
          <w:rFonts w:eastAsia="Times New Roman" w:cs="Times New Roman"/>
          <w:lang w:eastAsia="en-AU"/>
        </w:rPr>
        <w:t xml:space="preserve"> (1)</w:t>
      </w:r>
      <w:r>
        <w:rPr>
          <w:rFonts w:eastAsia="Times New Roman" w:cs="Times New Roman"/>
          <w:lang w:eastAsia="en-AU"/>
        </w:rPr>
        <w:t xml:space="preserve">, </w:t>
      </w:r>
      <w:r w:rsidR="00F24D60">
        <w:rPr>
          <w:rFonts w:eastAsia="Times New Roman" w:cs="Times New Roman"/>
          <w:lang w:eastAsia="en-AU"/>
        </w:rPr>
        <w:t>her honour’s reasoning was:</w:t>
      </w:r>
    </w:p>
    <w:p w14:paraId="21D4721A" w14:textId="21941640" w:rsidR="00F24D60" w:rsidRPr="00FD09BF" w:rsidRDefault="00F24D60" w:rsidP="00B268B7">
      <w:pPr>
        <w:pStyle w:val="ListParagraph"/>
        <w:numPr>
          <w:ilvl w:val="0"/>
          <w:numId w:val="3"/>
        </w:numPr>
        <w:spacing w:after="0"/>
        <w:ind w:left="360"/>
        <w:rPr>
          <w:rFonts w:eastAsia="Times New Roman" w:cs="Times New Roman"/>
          <w:lang w:eastAsia="en-AU"/>
        </w:rPr>
      </w:pPr>
      <w:r w:rsidRPr="00FD09BF">
        <w:rPr>
          <w:rFonts w:eastAsia="Times New Roman" w:cs="Times New Roman"/>
          <w:lang w:eastAsia="en-AU"/>
        </w:rPr>
        <w:t>the relevant policy is: Botany’s container capacity should</w:t>
      </w:r>
      <w:r w:rsidR="00374321">
        <w:rPr>
          <w:rFonts w:eastAsia="Times New Roman" w:cs="Times New Roman"/>
          <w:lang w:eastAsia="en-AU"/>
        </w:rPr>
        <w:t xml:space="preserve"> be used up first</w:t>
      </w:r>
      <w:r w:rsidRPr="00FD09BF">
        <w:rPr>
          <w:rFonts w:eastAsia="Times New Roman" w:cs="Times New Roman"/>
          <w:lang w:eastAsia="en-AU"/>
        </w:rPr>
        <w:t>, then Port Kembla’s before a terminal be established at Newcastle;</w:t>
      </w:r>
    </w:p>
    <w:p w14:paraId="307F59F5" w14:textId="2305A9A4" w:rsidR="00F24D60" w:rsidRPr="00FD09BF" w:rsidRDefault="00F24D60" w:rsidP="00B268B7">
      <w:pPr>
        <w:pStyle w:val="ListParagraph"/>
        <w:numPr>
          <w:ilvl w:val="0"/>
          <w:numId w:val="3"/>
        </w:numPr>
        <w:spacing w:after="0"/>
        <w:ind w:left="360"/>
        <w:rPr>
          <w:rFonts w:eastAsia="Times New Roman" w:cs="Times New Roman"/>
          <w:lang w:eastAsia="en-AU"/>
        </w:rPr>
      </w:pPr>
      <w:r w:rsidRPr="00FD09BF">
        <w:rPr>
          <w:rFonts w:eastAsia="Times New Roman" w:cs="Times New Roman"/>
          <w:lang w:eastAsia="en-AU"/>
        </w:rPr>
        <w:t xml:space="preserve">nobody would </w:t>
      </w:r>
      <w:r w:rsidR="00FD09BF">
        <w:rPr>
          <w:rFonts w:eastAsia="Times New Roman" w:cs="Times New Roman"/>
          <w:lang w:eastAsia="en-AU"/>
        </w:rPr>
        <w:t>try</w:t>
      </w:r>
      <w:r w:rsidRPr="00FD09BF">
        <w:rPr>
          <w:rFonts w:eastAsia="Times New Roman" w:cs="Times New Roman"/>
          <w:lang w:eastAsia="en-AU"/>
        </w:rPr>
        <w:t xml:space="preserve"> to establish a container terminal at Newcastle </w:t>
      </w:r>
      <w:r w:rsidR="00FD09BF" w:rsidRPr="00FD09BF">
        <w:rPr>
          <w:rFonts w:eastAsia="Times New Roman" w:cs="Times New Roman"/>
          <w:lang w:eastAsia="en-AU"/>
        </w:rPr>
        <w:t>against</w:t>
      </w:r>
      <w:r w:rsidRPr="00FD09BF">
        <w:rPr>
          <w:rFonts w:eastAsia="Times New Roman" w:cs="Times New Roman"/>
          <w:lang w:eastAsia="en-AU"/>
        </w:rPr>
        <w:t xml:space="preserve"> </w:t>
      </w:r>
      <w:r w:rsidR="007E7EF2">
        <w:rPr>
          <w:rFonts w:eastAsia="Times New Roman" w:cs="Times New Roman"/>
          <w:lang w:eastAsia="en-AU"/>
        </w:rPr>
        <w:t>that</w:t>
      </w:r>
      <w:r w:rsidRPr="00FD09BF">
        <w:rPr>
          <w:rFonts w:eastAsia="Times New Roman" w:cs="Times New Roman"/>
          <w:lang w:eastAsia="en-AU"/>
        </w:rPr>
        <w:t xml:space="preserve"> policy;</w:t>
      </w:r>
    </w:p>
    <w:p w14:paraId="6883818C" w14:textId="45CF1051" w:rsidR="00F24D60" w:rsidRPr="00FD09BF" w:rsidRDefault="00FD09BF" w:rsidP="00B268B7">
      <w:pPr>
        <w:pStyle w:val="ListParagraph"/>
        <w:numPr>
          <w:ilvl w:val="0"/>
          <w:numId w:val="3"/>
        </w:numPr>
        <w:spacing w:after="0"/>
        <w:ind w:left="360"/>
        <w:rPr>
          <w:rFonts w:eastAsia="Times New Roman" w:cs="Times New Roman"/>
          <w:lang w:eastAsia="en-AU"/>
        </w:rPr>
      </w:pPr>
      <w:r w:rsidRPr="00FD09BF">
        <w:rPr>
          <w:rFonts w:eastAsia="Times New Roman" w:cs="Times New Roman"/>
          <w:lang w:eastAsia="en-AU"/>
        </w:rPr>
        <w:t>h</w:t>
      </w:r>
      <w:r w:rsidR="00F24D60" w:rsidRPr="00FD09BF">
        <w:rPr>
          <w:rFonts w:eastAsia="Times New Roman" w:cs="Times New Roman"/>
          <w:lang w:eastAsia="en-AU"/>
        </w:rPr>
        <w:t>owever, if they did, the Government would prevent its establishment;</w:t>
      </w:r>
    </w:p>
    <w:p w14:paraId="33B1D249" w14:textId="121AC8A7" w:rsidR="00FD09BF" w:rsidRDefault="00FD09BF" w:rsidP="00B268B7">
      <w:pPr>
        <w:pStyle w:val="ListParagraph"/>
        <w:numPr>
          <w:ilvl w:val="0"/>
          <w:numId w:val="3"/>
        </w:numPr>
        <w:spacing w:after="0"/>
        <w:ind w:left="360"/>
        <w:rPr>
          <w:rFonts w:eastAsia="Times New Roman" w:cs="Times New Roman"/>
          <w:lang w:eastAsia="en-AU"/>
        </w:rPr>
      </w:pPr>
      <w:r w:rsidRPr="00FD09BF">
        <w:rPr>
          <w:rFonts w:eastAsia="Times New Roman" w:cs="Times New Roman"/>
          <w:lang w:eastAsia="en-AU"/>
        </w:rPr>
        <w:t>mechanisms of prevention include refusal to give planning approval;</w:t>
      </w:r>
    </w:p>
    <w:p w14:paraId="175D535D" w14:textId="5701FE62" w:rsidR="00FD09BF" w:rsidRPr="00FD09BF" w:rsidRDefault="00FD09BF" w:rsidP="00B268B7">
      <w:pPr>
        <w:pStyle w:val="ListParagraph"/>
        <w:numPr>
          <w:ilvl w:val="0"/>
          <w:numId w:val="3"/>
        </w:numPr>
        <w:spacing w:after="0"/>
        <w:ind w:left="360"/>
        <w:rPr>
          <w:rFonts w:eastAsia="Times New Roman" w:cs="Times New Roman"/>
          <w:lang w:eastAsia="en-AU"/>
        </w:rPr>
      </w:pPr>
      <w:r>
        <w:rPr>
          <w:rFonts w:eastAsia="Times New Roman" w:cs="Times New Roman"/>
          <w:lang w:eastAsia="en-AU"/>
        </w:rPr>
        <w:t>in any event, establishment requires Government support which would not be forthcoming;</w:t>
      </w:r>
    </w:p>
    <w:p w14:paraId="52529CF0" w14:textId="06D8546C" w:rsidR="00F24D60" w:rsidRPr="00FD09BF" w:rsidRDefault="00FD09BF" w:rsidP="00B268B7">
      <w:pPr>
        <w:pStyle w:val="ListParagraph"/>
        <w:numPr>
          <w:ilvl w:val="0"/>
          <w:numId w:val="3"/>
        </w:numPr>
        <w:spacing w:after="0"/>
        <w:ind w:left="360"/>
        <w:rPr>
          <w:rFonts w:eastAsia="Times New Roman" w:cs="Times New Roman"/>
          <w:lang w:eastAsia="en-AU"/>
        </w:rPr>
      </w:pPr>
      <w:r w:rsidRPr="00FD09BF">
        <w:rPr>
          <w:rFonts w:eastAsia="Times New Roman" w:cs="Times New Roman"/>
          <w:lang w:eastAsia="en-AU"/>
        </w:rPr>
        <w:t>t</w:t>
      </w:r>
      <w:r w:rsidR="00F24D60" w:rsidRPr="00FD09BF">
        <w:rPr>
          <w:rFonts w:eastAsia="Times New Roman" w:cs="Times New Roman"/>
          <w:lang w:eastAsia="en-AU"/>
        </w:rPr>
        <w:t>h</w:t>
      </w:r>
      <w:r w:rsidRPr="00FD09BF">
        <w:rPr>
          <w:rFonts w:eastAsia="Times New Roman" w:cs="Times New Roman"/>
          <w:lang w:eastAsia="en-AU"/>
        </w:rPr>
        <w:t>e</w:t>
      </w:r>
      <w:r w:rsidR="00F24D60" w:rsidRPr="00FD09BF">
        <w:rPr>
          <w:rFonts w:eastAsia="Times New Roman" w:cs="Times New Roman"/>
          <w:lang w:eastAsia="en-AU"/>
        </w:rPr>
        <w:t xml:space="preserve"> policy is independent of the privatisation penalty-compensation </w:t>
      </w:r>
      <w:r w:rsidR="00080B77">
        <w:rPr>
          <w:rFonts w:eastAsia="Times New Roman" w:cs="Times New Roman"/>
          <w:lang w:eastAsia="en-AU"/>
        </w:rPr>
        <w:t>scheme</w:t>
      </w:r>
      <w:r w:rsidR="00F24D60" w:rsidRPr="00FD09BF">
        <w:rPr>
          <w:rFonts w:eastAsia="Times New Roman" w:cs="Times New Roman"/>
          <w:lang w:eastAsia="en-AU"/>
        </w:rPr>
        <w:t>;</w:t>
      </w:r>
    </w:p>
    <w:p w14:paraId="043D9DBB" w14:textId="10BE3CB5" w:rsidR="001B1809" w:rsidRPr="001B1809" w:rsidRDefault="00FD09BF" w:rsidP="00B268B7">
      <w:pPr>
        <w:pStyle w:val="ListParagraph"/>
        <w:numPr>
          <w:ilvl w:val="0"/>
          <w:numId w:val="3"/>
        </w:numPr>
        <w:spacing w:after="0"/>
        <w:ind w:left="360"/>
        <w:rPr>
          <w:rFonts w:eastAsia="Times New Roman" w:cs="Times New Roman"/>
          <w:lang w:eastAsia="en-AU"/>
        </w:rPr>
      </w:pPr>
      <w:r w:rsidRPr="006F5F28">
        <w:rPr>
          <w:rFonts w:eastAsia="Times New Roman" w:cs="Times New Roman"/>
          <w:lang w:eastAsia="en-AU"/>
        </w:rPr>
        <w:t>h</w:t>
      </w:r>
      <w:r w:rsidR="00F24D60" w:rsidRPr="006F5F28">
        <w:rPr>
          <w:rFonts w:eastAsia="Times New Roman" w:cs="Times New Roman"/>
          <w:lang w:eastAsia="en-AU"/>
        </w:rPr>
        <w:t xml:space="preserve">ence, </w:t>
      </w:r>
      <w:r w:rsidRPr="006F5F28">
        <w:rPr>
          <w:rFonts w:eastAsia="Times New Roman" w:cs="Times New Roman"/>
          <w:lang w:eastAsia="en-AU"/>
        </w:rPr>
        <w:t>abandoning</w:t>
      </w:r>
      <w:r w:rsidR="00F24D60" w:rsidRPr="006F5F28">
        <w:rPr>
          <w:rFonts w:eastAsia="Times New Roman" w:cs="Times New Roman"/>
          <w:lang w:eastAsia="en-AU"/>
        </w:rPr>
        <w:t xml:space="preserve"> the </w:t>
      </w:r>
      <w:r w:rsidR="00080B77">
        <w:rPr>
          <w:rFonts w:eastAsia="Times New Roman" w:cs="Times New Roman"/>
          <w:lang w:eastAsia="en-AU"/>
        </w:rPr>
        <w:t>scheme</w:t>
      </w:r>
      <w:r w:rsidR="00F24D60" w:rsidRPr="006F5F28">
        <w:rPr>
          <w:rFonts w:eastAsia="Times New Roman" w:cs="Times New Roman"/>
          <w:lang w:eastAsia="en-AU"/>
        </w:rPr>
        <w:t xml:space="preserve"> would not remove the constraint on establishing a terminal.</w:t>
      </w:r>
      <w:r w:rsidR="006F5F28">
        <w:rPr>
          <w:lang w:eastAsia="en-AU"/>
        </w:rPr>
        <w:t>3.2</w:t>
      </w:r>
      <w:r w:rsidR="006F5F28">
        <w:rPr>
          <w:lang w:eastAsia="en-AU"/>
        </w:rPr>
        <w:tab/>
      </w:r>
    </w:p>
    <w:p w14:paraId="775996D1" w14:textId="45234079" w:rsidR="001B1809" w:rsidRDefault="001B1809" w:rsidP="00B268B7">
      <w:pPr>
        <w:pStyle w:val="ListParagraph"/>
        <w:spacing w:after="0"/>
        <w:ind w:left="360"/>
        <w:rPr>
          <w:lang w:eastAsia="en-AU"/>
        </w:rPr>
      </w:pPr>
    </w:p>
    <w:p w14:paraId="746D3A72" w14:textId="10CD22F0" w:rsidR="00F34483" w:rsidRDefault="00F34483" w:rsidP="00B268B7">
      <w:pPr>
        <w:pStyle w:val="ListParagraph"/>
        <w:spacing w:after="0"/>
        <w:ind w:left="360"/>
        <w:rPr>
          <w:lang w:eastAsia="en-AU"/>
        </w:rPr>
      </w:pPr>
    </w:p>
    <w:p w14:paraId="28C20F9B" w14:textId="673FE086" w:rsidR="00F34483" w:rsidRDefault="00F34483" w:rsidP="00B268B7">
      <w:pPr>
        <w:pStyle w:val="ListParagraph"/>
        <w:spacing w:after="0"/>
        <w:ind w:left="360"/>
        <w:rPr>
          <w:lang w:eastAsia="en-AU"/>
        </w:rPr>
      </w:pPr>
    </w:p>
    <w:p w14:paraId="1895575D" w14:textId="77777777" w:rsidR="00F34483" w:rsidRDefault="00F34483" w:rsidP="00B268B7">
      <w:pPr>
        <w:pStyle w:val="ListParagraph"/>
        <w:spacing w:after="0"/>
        <w:ind w:left="360"/>
        <w:rPr>
          <w:lang w:eastAsia="en-AU"/>
        </w:rPr>
      </w:pPr>
    </w:p>
    <w:p w14:paraId="72AC93B3" w14:textId="3BBC76A6" w:rsidR="006F5F28" w:rsidRPr="001B1809" w:rsidRDefault="001B1809" w:rsidP="00B268B7">
      <w:pPr>
        <w:pStyle w:val="Heading3"/>
        <w:spacing w:before="0"/>
        <w:rPr>
          <w:rFonts w:eastAsia="Times New Roman" w:cs="Times New Roman"/>
          <w:lang w:eastAsia="en-AU"/>
        </w:rPr>
      </w:pPr>
      <w:bookmarkStart w:id="8" w:name="_Toc79490154"/>
      <w:r>
        <w:rPr>
          <w:rFonts w:eastAsia="Times New Roman"/>
          <w:lang w:eastAsia="en-AU"/>
        </w:rPr>
        <w:lastRenderedPageBreak/>
        <w:t>3.2</w:t>
      </w:r>
      <w:r>
        <w:rPr>
          <w:rFonts w:eastAsia="Times New Roman"/>
          <w:lang w:eastAsia="en-AU"/>
        </w:rPr>
        <w:tab/>
      </w:r>
      <w:r w:rsidR="006F5F28" w:rsidRPr="001B1809">
        <w:rPr>
          <w:rFonts w:eastAsia="Times New Roman"/>
          <w:lang w:eastAsia="en-AU"/>
        </w:rPr>
        <w:t>Policy justifi</w:t>
      </w:r>
      <w:r>
        <w:rPr>
          <w:rFonts w:eastAsia="Times New Roman"/>
          <w:lang w:eastAsia="en-AU"/>
        </w:rPr>
        <w:t>cation</w:t>
      </w:r>
      <w:bookmarkEnd w:id="8"/>
    </w:p>
    <w:p w14:paraId="767F0378" w14:textId="59694F94" w:rsidR="00FD09BF" w:rsidRPr="006F5F28" w:rsidRDefault="00F24D60" w:rsidP="00B268B7">
      <w:pPr>
        <w:spacing w:after="0"/>
        <w:rPr>
          <w:rFonts w:eastAsia="Times New Roman" w:cs="Times New Roman"/>
          <w:lang w:eastAsia="en-AU"/>
        </w:rPr>
      </w:pPr>
      <w:r w:rsidRPr="006F5F28">
        <w:rPr>
          <w:rFonts w:eastAsia="Times New Roman" w:cs="Times New Roman"/>
          <w:lang w:eastAsia="en-AU"/>
        </w:rPr>
        <w:t>Regarding (</w:t>
      </w:r>
      <w:r w:rsidR="006F5F28">
        <w:rPr>
          <w:rFonts w:eastAsia="Times New Roman" w:cs="Times New Roman"/>
          <w:lang w:eastAsia="en-AU"/>
        </w:rPr>
        <w:t>2</w:t>
      </w:r>
      <w:r w:rsidRPr="006F5F28">
        <w:rPr>
          <w:rFonts w:eastAsia="Times New Roman" w:cs="Times New Roman"/>
          <w:lang w:eastAsia="en-AU"/>
        </w:rPr>
        <w:t xml:space="preserve">), justification of policy, </w:t>
      </w:r>
      <w:r w:rsidR="00016F17" w:rsidRPr="006F5F28">
        <w:rPr>
          <w:rFonts w:eastAsia="Times New Roman" w:cs="Times New Roman"/>
          <w:lang w:eastAsia="en-AU"/>
        </w:rPr>
        <w:t xml:space="preserve">the </w:t>
      </w:r>
      <w:r w:rsidR="006F5F28">
        <w:rPr>
          <w:rFonts w:eastAsia="Times New Roman" w:cs="Times New Roman"/>
          <w:lang w:eastAsia="en-AU"/>
        </w:rPr>
        <w:t xml:space="preserve">Court </w:t>
      </w:r>
      <w:r w:rsidR="00016F17" w:rsidRPr="006F5F28">
        <w:rPr>
          <w:rFonts w:eastAsia="Times New Roman" w:cs="Times New Roman"/>
          <w:lang w:eastAsia="en-AU"/>
        </w:rPr>
        <w:t>reason</w:t>
      </w:r>
      <w:r w:rsidR="006F5F28">
        <w:rPr>
          <w:rFonts w:eastAsia="Times New Roman" w:cs="Times New Roman"/>
          <w:lang w:eastAsia="en-AU"/>
        </w:rPr>
        <w:t>ed</w:t>
      </w:r>
      <w:r w:rsidR="00FD09BF" w:rsidRPr="006F5F28">
        <w:rPr>
          <w:rFonts w:eastAsia="Times New Roman" w:cs="Times New Roman"/>
          <w:lang w:eastAsia="en-AU"/>
        </w:rPr>
        <w:t>:</w:t>
      </w:r>
    </w:p>
    <w:p w14:paraId="62E2EA9B" w14:textId="089244AC" w:rsidR="007A6765" w:rsidRPr="007E7EF2" w:rsidRDefault="007E7EF2" w:rsidP="00B268B7">
      <w:pPr>
        <w:pStyle w:val="ListParagraph"/>
        <w:numPr>
          <w:ilvl w:val="0"/>
          <w:numId w:val="4"/>
        </w:numPr>
        <w:spacing w:after="0"/>
        <w:ind w:left="360"/>
        <w:rPr>
          <w:rFonts w:eastAsia="Times New Roman" w:cs="Times New Roman"/>
          <w:lang w:eastAsia="en-AU"/>
        </w:rPr>
      </w:pPr>
      <w:r>
        <w:rPr>
          <w:rFonts w:eastAsia="Times New Roman" w:cs="Times New Roman"/>
          <w:lang w:eastAsia="en-AU"/>
        </w:rPr>
        <w:t xml:space="preserve">Port </w:t>
      </w:r>
      <w:r w:rsidR="007A6765" w:rsidRPr="007E7EF2">
        <w:rPr>
          <w:rFonts w:eastAsia="Times New Roman" w:cs="Times New Roman"/>
          <w:lang w:eastAsia="en-AU"/>
        </w:rPr>
        <w:t xml:space="preserve">Botany has very substantial excess capacity at present; </w:t>
      </w:r>
    </w:p>
    <w:p w14:paraId="4251C81F" w14:textId="20D10C2E" w:rsidR="00F24D60" w:rsidRPr="007E7EF2" w:rsidRDefault="007E7EF2" w:rsidP="00B268B7">
      <w:pPr>
        <w:pStyle w:val="ListParagraph"/>
        <w:numPr>
          <w:ilvl w:val="0"/>
          <w:numId w:val="4"/>
        </w:numPr>
        <w:spacing w:after="0"/>
        <w:ind w:left="360"/>
        <w:rPr>
          <w:rFonts w:eastAsia="Times New Roman" w:cs="Times New Roman"/>
          <w:lang w:eastAsia="en-AU"/>
        </w:rPr>
      </w:pPr>
      <w:r>
        <w:rPr>
          <w:rFonts w:eastAsia="Times New Roman" w:cs="Times New Roman"/>
          <w:lang w:eastAsia="en-AU"/>
        </w:rPr>
        <w:t>s</w:t>
      </w:r>
      <w:r w:rsidR="00FD09BF" w:rsidRPr="007E7EF2">
        <w:rPr>
          <w:rFonts w:eastAsia="Times New Roman" w:cs="Times New Roman"/>
          <w:lang w:eastAsia="en-AU"/>
        </w:rPr>
        <w:t>ubstantial Government sums have been invested in Port Botany</w:t>
      </w:r>
      <w:r w:rsidR="00016F17" w:rsidRPr="007E7EF2">
        <w:rPr>
          <w:rFonts w:eastAsia="Times New Roman" w:cs="Times New Roman"/>
          <w:lang w:eastAsia="en-AU"/>
        </w:rPr>
        <w:t>;</w:t>
      </w:r>
    </w:p>
    <w:p w14:paraId="17AC67F5" w14:textId="6A390AA8" w:rsidR="00016F17" w:rsidRPr="007E7EF2" w:rsidRDefault="007E7EF2" w:rsidP="00B268B7">
      <w:pPr>
        <w:pStyle w:val="ListParagraph"/>
        <w:numPr>
          <w:ilvl w:val="0"/>
          <w:numId w:val="4"/>
        </w:numPr>
        <w:spacing w:after="0"/>
        <w:ind w:left="360"/>
        <w:rPr>
          <w:rFonts w:eastAsia="Times New Roman" w:cs="Times New Roman"/>
          <w:lang w:eastAsia="en-AU"/>
        </w:rPr>
      </w:pPr>
      <w:r>
        <w:rPr>
          <w:rFonts w:eastAsia="Times New Roman" w:cs="Times New Roman"/>
          <w:lang w:eastAsia="en-AU"/>
        </w:rPr>
        <w:t>t</w:t>
      </w:r>
      <w:r w:rsidR="00FD09BF" w:rsidRPr="007E7EF2">
        <w:rPr>
          <w:rFonts w:eastAsia="Times New Roman" w:cs="Times New Roman"/>
          <w:lang w:eastAsia="en-AU"/>
        </w:rPr>
        <w:t xml:space="preserve">he vast majority of containers </w:t>
      </w:r>
      <w:r w:rsidR="00016F17" w:rsidRPr="007E7EF2">
        <w:rPr>
          <w:rFonts w:eastAsia="Times New Roman" w:cs="Times New Roman"/>
          <w:lang w:eastAsia="en-AU"/>
        </w:rPr>
        <w:t xml:space="preserve">through Botany </w:t>
      </w:r>
      <w:r w:rsidR="00FD09BF" w:rsidRPr="007E7EF2">
        <w:rPr>
          <w:rFonts w:eastAsia="Times New Roman" w:cs="Times New Roman"/>
          <w:lang w:eastAsia="en-AU"/>
        </w:rPr>
        <w:t xml:space="preserve">are destined within 40km of </w:t>
      </w:r>
      <w:r w:rsidR="00016F17" w:rsidRPr="007E7EF2">
        <w:rPr>
          <w:rFonts w:eastAsia="Times New Roman" w:cs="Times New Roman"/>
          <w:lang w:eastAsia="en-AU"/>
        </w:rPr>
        <w:t>the port;</w:t>
      </w:r>
    </w:p>
    <w:p w14:paraId="0DFA0F42" w14:textId="1A118C2E" w:rsidR="00FB4129" w:rsidRPr="007E7EF2" w:rsidRDefault="00FB4129" w:rsidP="00B268B7">
      <w:pPr>
        <w:pStyle w:val="ListParagraph"/>
        <w:numPr>
          <w:ilvl w:val="0"/>
          <w:numId w:val="4"/>
        </w:numPr>
        <w:spacing w:after="0"/>
        <w:ind w:left="360"/>
        <w:rPr>
          <w:rFonts w:eastAsia="Times New Roman" w:cs="Times New Roman"/>
          <w:lang w:eastAsia="en-AU"/>
        </w:rPr>
      </w:pPr>
      <w:r>
        <w:rPr>
          <w:rFonts w:eastAsia="Times New Roman" w:cs="Times New Roman"/>
          <w:lang w:eastAsia="en-AU"/>
        </w:rPr>
        <w:t xml:space="preserve">that movement </w:t>
      </w:r>
      <w:r w:rsidRPr="007E7EF2">
        <w:rPr>
          <w:rFonts w:eastAsia="Times New Roman" w:cs="Times New Roman"/>
          <w:lang w:eastAsia="en-AU"/>
        </w:rPr>
        <w:t>does not cause traffic congestion</w:t>
      </w:r>
      <w:r>
        <w:rPr>
          <w:rFonts w:eastAsia="Times New Roman" w:cs="Times New Roman"/>
          <w:lang w:eastAsia="en-AU"/>
        </w:rPr>
        <w:t>;</w:t>
      </w:r>
    </w:p>
    <w:p w14:paraId="62DB54F1" w14:textId="146450B7" w:rsidR="007A6765" w:rsidRPr="007E7EF2" w:rsidRDefault="00FB4129" w:rsidP="00B268B7">
      <w:pPr>
        <w:pStyle w:val="ListParagraph"/>
        <w:numPr>
          <w:ilvl w:val="0"/>
          <w:numId w:val="4"/>
        </w:numPr>
        <w:spacing w:after="0"/>
        <w:ind w:left="360"/>
        <w:rPr>
          <w:rFonts w:eastAsia="Times New Roman" w:cs="Times New Roman"/>
          <w:lang w:eastAsia="en-AU"/>
        </w:rPr>
      </w:pPr>
      <w:r>
        <w:rPr>
          <w:rFonts w:eastAsia="Times New Roman" w:cs="Times New Roman"/>
          <w:lang w:eastAsia="en-AU"/>
        </w:rPr>
        <w:t>major</w:t>
      </w:r>
      <w:r w:rsidR="00016F17" w:rsidRPr="007E7EF2">
        <w:rPr>
          <w:rFonts w:eastAsia="Times New Roman" w:cs="Times New Roman"/>
          <w:lang w:eastAsia="en-AU"/>
        </w:rPr>
        <w:t xml:space="preserve"> investment in land transport infrastructure </w:t>
      </w:r>
      <w:r w:rsidR="007A6765" w:rsidRPr="007E7EF2">
        <w:rPr>
          <w:rFonts w:eastAsia="Times New Roman" w:cs="Times New Roman"/>
          <w:lang w:eastAsia="en-AU"/>
        </w:rPr>
        <w:t>would be needed</w:t>
      </w:r>
      <w:r>
        <w:rPr>
          <w:rFonts w:eastAsia="Times New Roman" w:cs="Times New Roman"/>
          <w:lang w:eastAsia="en-AU"/>
        </w:rPr>
        <w:t xml:space="preserve"> for a terminal elsewhere</w:t>
      </w:r>
      <w:r w:rsidR="00016F17" w:rsidRPr="007E7EF2">
        <w:rPr>
          <w:rFonts w:eastAsia="Times New Roman" w:cs="Times New Roman"/>
          <w:lang w:eastAsia="en-AU"/>
        </w:rPr>
        <w:t>;</w:t>
      </w:r>
    </w:p>
    <w:p w14:paraId="1A805AB4" w14:textId="70EB7B04" w:rsidR="007A6765" w:rsidRPr="007E7EF2" w:rsidRDefault="007E7EF2" w:rsidP="00B268B7">
      <w:pPr>
        <w:pStyle w:val="ListParagraph"/>
        <w:numPr>
          <w:ilvl w:val="0"/>
          <w:numId w:val="4"/>
        </w:numPr>
        <w:spacing w:after="0"/>
        <w:ind w:left="360"/>
        <w:rPr>
          <w:rFonts w:eastAsia="Times New Roman" w:cs="Times New Roman"/>
          <w:lang w:eastAsia="en-AU"/>
        </w:rPr>
      </w:pPr>
      <w:r>
        <w:rPr>
          <w:rFonts w:eastAsia="Times New Roman" w:cs="Times New Roman"/>
          <w:lang w:eastAsia="en-AU"/>
        </w:rPr>
        <w:t>t</w:t>
      </w:r>
      <w:r w:rsidR="007A6765" w:rsidRPr="007E7EF2">
        <w:rPr>
          <w:rFonts w:eastAsia="Times New Roman" w:cs="Times New Roman"/>
          <w:lang w:eastAsia="en-AU"/>
        </w:rPr>
        <w:t>he policy has been in place since 2012, and was part of the basis of bids for the ports;</w:t>
      </w:r>
    </w:p>
    <w:p w14:paraId="56C72B73" w14:textId="785B6792" w:rsidR="007A6765" w:rsidRPr="00930B25" w:rsidRDefault="00930B25" w:rsidP="00B268B7">
      <w:pPr>
        <w:pStyle w:val="ListParagraph"/>
        <w:numPr>
          <w:ilvl w:val="0"/>
          <w:numId w:val="4"/>
        </w:numPr>
        <w:spacing w:after="0"/>
        <w:ind w:left="360"/>
        <w:rPr>
          <w:rFonts w:eastAsia="Times New Roman" w:cs="Times New Roman"/>
          <w:lang w:eastAsia="en-AU"/>
        </w:rPr>
      </w:pPr>
      <w:r>
        <w:rPr>
          <w:rFonts w:eastAsia="Times New Roman" w:cs="Times New Roman"/>
          <w:lang w:eastAsia="en-AU"/>
        </w:rPr>
        <w:t xml:space="preserve">nothing since has </w:t>
      </w:r>
      <w:r w:rsidR="007E7EF2">
        <w:rPr>
          <w:rFonts w:eastAsia="Times New Roman" w:cs="Times New Roman"/>
          <w:lang w:eastAsia="en-AU"/>
        </w:rPr>
        <w:t xml:space="preserve">undermined </w:t>
      </w:r>
      <w:r w:rsidR="007A6765" w:rsidRPr="007E7EF2">
        <w:rPr>
          <w:rFonts w:eastAsia="Times New Roman" w:cs="Times New Roman"/>
          <w:lang w:eastAsia="en-AU"/>
        </w:rPr>
        <w:t xml:space="preserve">the </w:t>
      </w:r>
      <w:r w:rsidR="007E7EF2">
        <w:rPr>
          <w:rFonts w:eastAsia="Times New Roman" w:cs="Times New Roman"/>
          <w:lang w:eastAsia="en-AU"/>
        </w:rPr>
        <w:t xml:space="preserve">correctness of the </w:t>
      </w:r>
      <w:r w:rsidR="007A6765" w:rsidRPr="007E7EF2">
        <w:rPr>
          <w:rFonts w:eastAsia="Times New Roman" w:cs="Times New Roman"/>
          <w:lang w:eastAsia="en-AU"/>
        </w:rPr>
        <w:t>policy</w:t>
      </w:r>
      <w:r w:rsidR="007A6765" w:rsidRPr="00930B25">
        <w:rPr>
          <w:rFonts w:eastAsia="Times New Roman" w:cs="Times New Roman"/>
          <w:lang w:eastAsia="en-AU"/>
        </w:rPr>
        <w:t>.</w:t>
      </w:r>
    </w:p>
    <w:p w14:paraId="0F476E0F" w14:textId="77777777" w:rsidR="00B268B7" w:rsidRDefault="00B268B7" w:rsidP="00B268B7">
      <w:pPr>
        <w:spacing w:after="0"/>
        <w:rPr>
          <w:rFonts w:eastAsia="Times New Roman" w:cs="Times New Roman"/>
          <w:lang w:eastAsia="en-AU"/>
        </w:rPr>
      </w:pPr>
    </w:p>
    <w:p w14:paraId="0D6563EF" w14:textId="092ECFC6" w:rsidR="006F5F28" w:rsidRDefault="006F5F28" w:rsidP="00B268B7">
      <w:pPr>
        <w:pStyle w:val="Heading3"/>
        <w:spacing w:before="0"/>
        <w:rPr>
          <w:rFonts w:eastAsia="Times New Roman"/>
          <w:lang w:eastAsia="en-AU"/>
        </w:rPr>
      </w:pPr>
      <w:bookmarkStart w:id="9" w:name="_Toc79490155"/>
      <w:r>
        <w:rPr>
          <w:rFonts w:eastAsia="Times New Roman"/>
          <w:lang w:eastAsia="en-AU"/>
        </w:rPr>
        <w:t>3.3</w:t>
      </w:r>
      <w:r>
        <w:rPr>
          <w:rFonts w:eastAsia="Times New Roman"/>
          <w:lang w:eastAsia="en-AU"/>
        </w:rPr>
        <w:tab/>
        <w:t>Terminal viability</w:t>
      </w:r>
      <w:bookmarkEnd w:id="9"/>
    </w:p>
    <w:p w14:paraId="326C436B" w14:textId="152DFA0F" w:rsidR="007A6765" w:rsidRDefault="007A6765" w:rsidP="00B268B7">
      <w:pPr>
        <w:spacing w:after="0"/>
        <w:rPr>
          <w:rFonts w:eastAsia="Times New Roman" w:cs="Times New Roman"/>
          <w:lang w:eastAsia="en-AU"/>
        </w:rPr>
      </w:pPr>
      <w:r>
        <w:rPr>
          <w:rFonts w:eastAsia="Times New Roman" w:cs="Times New Roman"/>
          <w:lang w:eastAsia="en-AU"/>
        </w:rPr>
        <w:t>Regarding (</w:t>
      </w:r>
      <w:r w:rsidR="006F5F28">
        <w:rPr>
          <w:rFonts w:eastAsia="Times New Roman" w:cs="Times New Roman"/>
          <w:lang w:eastAsia="en-AU"/>
        </w:rPr>
        <w:t>3</w:t>
      </w:r>
      <w:r>
        <w:rPr>
          <w:rFonts w:eastAsia="Times New Roman" w:cs="Times New Roman"/>
          <w:lang w:eastAsia="en-AU"/>
        </w:rPr>
        <w:t>), her honour reasoned:</w:t>
      </w:r>
    </w:p>
    <w:p w14:paraId="709D161A" w14:textId="2C077C65" w:rsidR="007A6765" w:rsidRPr="007E7EF2" w:rsidRDefault="007E7EF2" w:rsidP="00B268B7">
      <w:pPr>
        <w:pStyle w:val="ListParagraph"/>
        <w:numPr>
          <w:ilvl w:val="0"/>
          <w:numId w:val="5"/>
        </w:numPr>
        <w:spacing w:after="0"/>
        <w:ind w:left="360"/>
        <w:rPr>
          <w:rFonts w:eastAsia="Times New Roman" w:cs="Times New Roman"/>
          <w:lang w:eastAsia="en-AU"/>
        </w:rPr>
      </w:pPr>
      <w:r>
        <w:rPr>
          <w:rFonts w:eastAsia="Times New Roman" w:cs="Times New Roman"/>
          <w:lang w:eastAsia="en-AU"/>
        </w:rPr>
        <w:t>a</w:t>
      </w:r>
      <w:r w:rsidR="007A6765" w:rsidRPr="007E7EF2">
        <w:rPr>
          <w:rFonts w:eastAsia="Times New Roman" w:cs="Times New Roman"/>
          <w:lang w:eastAsia="en-AU"/>
        </w:rPr>
        <w:t xml:space="preserve">fter </w:t>
      </w:r>
      <w:r w:rsidR="000A4296">
        <w:rPr>
          <w:rFonts w:eastAsia="Times New Roman" w:cs="Times New Roman"/>
          <w:lang w:eastAsia="en-AU"/>
        </w:rPr>
        <w:t>several</w:t>
      </w:r>
      <w:r w:rsidR="007A6765" w:rsidRPr="007E7EF2">
        <w:rPr>
          <w:rFonts w:eastAsia="Times New Roman" w:cs="Times New Roman"/>
          <w:lang w:eastAsia="en-AU"/>
        </w:rPr>
        <w:t xml:space="preserve"> years of work, there is no credible business case for a terminal at Newcastle;</w:t>
      </w:r>
    </w:p>
    <w:p w14:paraId="32F40320" w14:textId="4C79D3BE" w:rsidR="007A6765" w:rsidRPr="007E7EF2" w:rsidRDefault="007E7EF2" w:rsidP="00B268B7">
      <w:pPr>
        <w:pStyle w:val="ListParagraph"/>
        <w:numPr>
          <w:ilvl w:val="0"/>
          <w:numId w:val="5"/>
        </w:numPr>
        <w:spacing w:after="0"/>
        <w:ind w:left="360"/>
        <w:rPr>
          <w:rFonts w:eastAsia="Times New Roman" w:cs="Times New Roman"/>
          <w:lang w:eastAsia="en-AU"/>
        </w:rPr>
      </w:pPr>
      <w:r>
        <w:rPr>
          <w:rFonts w:eastAsia="Times New Roman" w:cs="Times New Roman"/>
          <w:lang w:eastAsia="en-AU"/>
        </w:rPr>
        <w:t>a</w:t>
      </w:r>
      <w:r w:rsidR="007A6765" w:rsidRPr="007E7EF2">
        <w:rPr>
          <w:rFonts w:eastAsia="Times New Roman" w:cs="Times New Roman"/>
          <w:lang w:eastAsia="en-AU"/>
        </w:rPr>
        <w:t xml:space="preserve">ctions of </w:t>
      </w:r>
      <w:r>
        <w:rPr>
          <w:rFonts w:eastAsia="Times New Roman" w:cs="Times New Roman"/>
          <w:lang w:eastAsia="en-AU"/>
        </w:rPr>
        <w:t xml:space="preserve">Newcastle </w:t>
      </w:r>
      <w:r w:rsidR="007A6765" w:rsidRPr="007E7EF2">
        <w:rPr>
          <w:rFonts w:eastAsia="Times New Roman" w:cs="Times New Roman"/>
          <w:lang w:eastAsia="en-AU"/>
        </w:rPr>
        <w:t xml:space="preserve">terminal supporters are consistent with seeking to change policy rather than </w:t>
      </w:r>
      <w:r>
        <w:rPr>
          <w:rFonts w:eastAsia="Times New Roman" w:cs="Times New Roman"/>
          <w:lang w:eastAsia="en-AU"/>
        </w:rPr>
        <w:t xml:space="preserve">just establishing a </w:t>
      </w:r>
      <w:r w:rsidR="007A6765" w:rsidRPr="007E7EF2">
        <w:rPr>
          <w:rFonts w:eastAsia="Times New Roman" w:cs="Times New Roman"/>
          <w:lang w:eastAsia="en-AU"/>
        </w:rPr>
        <w:t>terminal;</w:t>
      </w:r>
    </w:p>
    <w:p w14:paraId="5492FE3B" w14:textId="34D952E1" w:rsidR="007A6765" w:rsidRPr="007E7EF2" w:rsidRDefault="007E7EF2" w:rsidP="00B268B7">
      <w:pPr>
        <w:pStyle w:val="ListParagraph"/>
        <w:numPr>
          <w:ilvl w:val="0"/>
          <w:numId w:val="5"/>
        </w:numPr>
        <w:spacing w:after="0"/>
        <w:ind w:left="360"/>
        <w:rPr>
          <w:rFonts w:eastAsia="Times New Roman" w:cs="Times New Roman"/>
          <w:lang w:eastAsia="en-AU"/>
        </w:rPr>
      </w:pPr>
      <w:r>
        <w:rPr>
          <w:rFonts w:eastAsia="Times New Roman" w:cs="Times New Roman"/>
          <w:lang w:eastAsia="en-AU"/>
        </w:rPr>
        <w:t>a</w:t>
      </w:r>
      <w:r w:rsidR="007A6765" w:rsidRPr="007E7EF2">
        <w:rPr>
          <w:rFonts w:eastAsia="Times New Roman" w:cs="Times New Roman"/>
          <w:lang w:eastAsia="en-AU"/>
        </w:rPr>
        <w:t xml:space="preserve">ttempts to attract containers to Newcastle from Botany would be largely unsuccessful due to the dominance of land transport and storage in total costs and </w:t>
      </w:r>
      <w:r w:rsidR="00930B25">
        <w:rPr>
          <w:rFonts w:eastAsia="Times New Roman" w:cs="Times New Roman"/>
          <w:lang w:eastAsia="en-AU"/>
        </w:rPr>
        <w:t xml:space="preserve">due to </w:t>
      </w:r>
      <w:r w:rsidR="007A6765" w:rsidRPr="007E7EF2">
        <w:rPr>
          <w:rFonts w:eastAsia="Times New Roman" w:cs="Times New Roman"/>
          <w:lang w:eastAsia="en-AU"/>
        </w:rPr>
        <w:t>responses from Botany;</w:t>
      </w:r>
    </w:p>
    <w:p w14:paraId="6BE55814" w14:textId="5799804F" w:rsidR="007A6765" w:rsidRDefault="007E7EF2" w:rsidP="00B268B7">
      <w:pPr>
        <w:pStyle w:val="ListParagraph"/>
        <w:numPr>
          <w:ilvl w:val="0"/>
          <w:numId w:val="5"/>
        </w:numPr>
        <w:spacing w:after="0"/>
        <w:ind w:left="360"/>
        <w:rPr>
          <w:rFonts w:eastAsia="Times New Roman" w:cs="Times New Roman"/>
          <w:lang w:eastAsia="en-AU"/>
        </w:rPr>
      </w:pPr>
      <w:r w:rsidRPr="007E7EF2">
        <w:rPr>
          <w:rFonts w:eastAsia="Times New Roman" w:cs="Times New Roman"/>
          <w:lang w:eastAsia="en-AU"/>
        </w:rPr>
        <w:t>s</w:t>
      </w:r>
      <w:r w:rsidR="007A6765" w:rsidRPr="007E7EF2">
        <w:rPr>
          <w:rFonts w:eastAsia="Times New Roman" w:cs="Times New Roman"/>
          <w:lang w:eastAsia="en-AU"/>
        </w:rPr>
        <w:t xml:space="preserve">hipping lines will not make calls at Newcastle and </w:t>
      </w:r>
      <w:r w:rsidR="0042138C" w:rsidRPr="007E7EF2">
        <w:rPr>
          <w:rFonts w:eastAsia="Times New Roman" w:cs="Times New Roman"/>
          <w:lang w:eastAsia="en-AU"/>
        </w:rPr>
        <w:t>Botany;</w:t>
      </w:r>
      <w:r w:rsidR="007A6765" w:rsidRPr="007E7EF2">
        <w:rPr>
          <w:rFonts w:eastAsia="Times New Roman" w:cs="Times New Roman"/>
          <w:lang w:eastAsia="en-AU"/>
        </w:rPr>
        <w:t xml:space="preserve"> hence Newcastle would need to attract ships from Botany.</w:t>
      </w:r>
    </w:p>
    <w:p w14:paraId="58203C76" w14:textId="64532675" w:rsidR="00C90320" w:rsidRPr="002C734F" w:rsidRDefault="00C90320" w:rsidP="00B268B7">
      <w:pPr>
        <w:spacing w:after="0"/>
        <w:rPr>
          <w:rFonts w:eastAsia="Times New Roman" w:cs="Times New Roman"/>
          <w:lang w:eastAsia="en-AU"/>
        </w:rPr>
      </w:pPr>
    </w:p>
    <w:p w14:paraId="30187EDE" w14:textId="77B5F963" w:rsidR="006F5F28" w:rsidRDefault="006F5F28" w:rsidP="00B268B7">
      <w:pPr>
        <w:pStyle w:val="Heading3"/>
        <w:spacing w:before="0"/>
        <w:rPr>
          <w:rFonts w:eastAsia="Times New Roman"/>
          <w:lang w:eastAsia="en-AU"/>
        </w:rPr>
      </w:pPr>
      <w:bookmarkStart w:id="10" w:name="_Toc79490156"/>
      <w:r>
        <w:rPr>
          <w:rFonts w:eastAsia="Times New Roman"/>
          <w:lang w:eastAsia="en-AU"/>
        </w:rPr>
        <w:t>3.4</w:t>
      </w:r>
      <w:r>
        <w:rPr>
          <w:rFonts w:eastAsia="Times New Roman"/>
          <w:lang w:eastAsia="en-AU"/>
        </w:rPr>
        <w:tab/>
        <w:t>Further inferences</w:t>
      </w:r>
      <w:bookmarkEnd w:id="10"/>
    </w:p>
    <w:p w14:paraId="4CB7B946" w14:textId="71F48560" w:rsidR="00C1063D" w:rsidRPr="002C734F" w:rsidRDefault="008A0E2D" w:rsidP="00B268B7">
      <w:pPr>
        <w:spacing w:after="0"/>
        <w:rPr>
          <w:rFonts w:eastAsia="Times New Roman" w:cs="Times New Roman"/>
          <w:lang w:eastAsia="en-AU"/>
        </w:rPr>
      </w:pPr>
      <w:r>
        <w:rPr>
          <w:rFonts w:eastAsia="Times New Roman" w:cs="Times New Roman"/>
          <w:lang w:eastAsia="en-AU"/>
        </w:rPr>
        <w:t xml:space="preserve">From this reasoning </w:t>
      </w:r>
      <w:r w:rsidR="001B1809">
        <w:rPr>
          <w:rFonts w:eastAsia="Times New Roman" w:cs="Times New Roman"/>
          <w:lang w:eastAsia="en-AU"/>
        </w:rPr>
        <w:t>the Court</w:t>
      </w:r>
      <w:r>
        <w:rPr>
          <w:rFonts w:eastAsia="Times New Roman" w:cs="Times New Roman"/>
          <w:lang w:eastAsia="en-AU"/>
        </w:rPr>
        <w:t xml:space="preserve"> concluded </w:t>
      </w:r>
      <w:r w:rsidR="000A4296">
        <w:rPr>
          <w:rFonts w:eastAsia="Times New Roman" w:cs="Times New Roman"/>
          <w:lang w:eastAsia="en-AU"/>
        </w:rPr>
        <w:t>were there a</w:t>
      </w:r>
      <w:r w:rsidR="005F1388" w:rsidRPr="002C734F">
        <w:rPr>
          <w:rFonts w:eastAsia="Times New Roman" w:cs="Times New Roman"/>
          <w:lang w:eastAsia="en-AU"/>
        </w:rPr>
        <w:t xml:space="preserve"> container terminal in Newcastle </w:t>
      </w:r>
      <w:r w:rsidR="000A4296">
        <w:rPr>
          <w:rFonts w:eastAsia="Times New Roman" w:cs="Times New Roman"/>
          <w:lang w:eastAsia="en-AU"/>
        </w:rPr>
        <w:t xml:space="preserve">it </w:t>
      </w:r>
      <w:r w:rsidR="005F1388" w:rsidRPr="002C734F">
        <w:rPr>
          <w:rFonts w:eastAsia="Times New Roman" w:cs="Times New Roman"/>
          <w:lang w:eastAsia="en-AU"/>
        </w:rPr>
        <w:t xml:space="preserve">would attract trade from Botany.   </w:t>
      </w:r>
      <w:r w:rsidR="007A7DDF" w:rsidRPr="002C734F">
        <w:rPr>
          <w:rFonts w:eastAsia="Times New Roman" w:cs="Times New Roman"/>
          <w:lang w:eastAsia="en-AU"/>
        </w:rPr>
        <w:t xml:space="preserve">But because </w:t>
      </w:r>
      <w:r>
        <w:rPr>
          <w:rFonts w:eastAsia="Times New Roman" w:cs="Times New Roman"/>
          <w:lang w:eastAsia="en-AU"/>
        </w:rPr>
        <w:t xml:space="preserve">a </w:t>
      </w:r>
      <w:r w:rsidR="000A4296">
        <w:rPr>
          <w:rFonts w:eastAsia="Times New Roman" w:cs="Times New Roman"/>
          <w:lang w:eastAsia="en-AU"/>
        </w:rPr>
        <w:t xml:space="preserve">terminal in Newcastle is not a </w:t>
      </w:r>
      <w:r>
        <w:rPr>
          <w:rFonts w:eastAsia="Times New Roman" w:cs="Times New Roman"/>
          <w:lang w:eastAsia="en-AU"/>
        </w:rPr>
        <w:t>possibility</w:t>
      </w:r>
      <w:r w:rsidR="007A7DDF" w:rsidRPr="002C734F">
        <w:rPr>
          <w:rFonts w:eastAsia="Times New Roman" w:cs="Times New Roman"/>
          <w:lang w:eastAsia="en-AU"/>
        </w:rPr>
        <w:t xml:space="preserve">, anything to </w:t>
      </w:r>
      <w:r w:rsidR="00C1063D" w:rsidRPr="002C734F">
        <w:rPr>
          <w:rFonts w:eastAsia="Times New Roman" w:cs="Times New Roman"/>
          <w:lang w:eastAsia="en-AU"/>
        </w:rPr>
        <w:t>reduce the prospect of it happening could not be anti-competitive.</w:t>
      </w:r>
    </w:p>
    <w:p w14:paraId="440BB813" w14:textId="77777777" w:rsidR="008A0E2D" w:rsidRDefault="008A0E2D" w:rsidP="00B268B7">
      <w:pPr>
        <w:spacing w:after="0"/>
        <w:rPr>
          <w:rFonts w:eastAsia="Times New Roman" w:cs="Times New Roman"/>
          <w:lang w:eastAsia="en-AU"/>
        </w:rPr>
      </w:pPr>
    </w:p>
    <w:p w14:paraId="33DFC3FE" w14:textId="4B21CD13" w:rsidR="008A0E2D" w:rsidRPr="008A0E2D" w:rsidRDefault="008A0E2D" w:rsidP="00B268B7">
      <w:pPr>
        <w:spacing w:after="0"/>
        <w:rPr>
          <w:rFonts w:eastAsia="Times New Roman" w:cs="Times New Roman"/>
          <w:lang w:eastAsia="en-AU"/>
        </w:rPr>
      </w:pPr>
      <w:r>
        <w:rPr>
          <w:rFonts w:eastAsia="Times New Roman" w:cs="Times New Roman"/>
          <w:lang w:eastAsia="en-AU"/>
        </w:rPr>
        <w:t xml:space="preserve">Her honour further ventured that Government policy </w:t>
      </w:r>
      <w:r w:rsidR="000A4296">
        <w:rPr>
          <w:rFonts w:eastAsia="Times New Roman" w:cs="Times New Roman"/>
          <w:lang w:eastAsia="en-AU"/>
        </w:rPr>
        <w:t xml:space="preserve">has </w:t>
      </w:r>
      <w:r w:rsidR="00FB4129">
        <w:rPr>
          <w:rFonts w:eastAsia="Times New Roman" w:cs="Times New Roman"/>
          <w:lang w:eastAsia="en-AU"/>
        </w:rPr>
        <w:t xml:space="preserve">not </w:t>
      </w:r>
      <w:r>
        <w:rPr>
          <w:rFonts w:eastAsia="Times New Roman" w:cs="Times New Roman"/>
          <w:lang w:eastAsia="en-AU"/>
        </w:rPr>
        <w:t xml:space="preserve">changed from the time bids were made for Botany and Newcastle.  </w:t>
      </w:r>
      <w:r w:rsidR="00F23ECD">
        <w:rPr>
          <w:rFonts w:eastAsia="Times New Roman" w:cs="Times New Roman"/>
          <w:lang w:eastAsia="en-AU"/>
        </w:rPr>
        <w:t xml:space="preserve">Indeed, from mid-2012.  </w:t>
      </w:r>
      <w:r w:rsidR="00966019">
        <w:rPr>
          <w:rFonts w:eastAsia="Times New Roman" w:cs="Times New Roman"/>
          <w:lang w:eastAsia="en-AU"/>
        </w:rPr>
        <w:t>G</w:t>
      </w:r>
      <w:r w:rsidRPr="008A0E2D">
        <w:rPr>
          <w:rFonts w:eastAsia="Times New Roman" w:cs="Times New Roman"/>
          <w:lang w:eastAsia="en-AU"/>
        </w:rPr>
        <w:t>iven that</w:t>
      </w:r>
      <w:r w:rsidR="001B1809">
        <w:rPr>
          <w:rFonts w:eastAsia="Times New Roman" w:cs="Times New Roman"/>
          <w:lang w:eastAsia="en-AU"/>
        </w:rPr>
        <w:t xml:space="preserve"> she inferred</w:t>
      </w:r>
      <w:r>
        <w:rPr>
          <w:rFonts w:eastAsia="Times New Roman" w:cs="Times New Roman"/>
          <w:lang w:eastAsia="en-AU"/>
        </w:rPr>
        <w:t>:</w:t>
      </w:r>
    </w:p>
    <w:p w14:paraId="114C9767" w14:textId="4442ED0A" w:rsidR="008A0E2D" w:rsidRPr="009E1C7C" w:rsidRDefault="008A0E2D" w:rsidP="00B268B7">
      <w:pPr>
        <w:pStyle w:val="ListParagraph"/>
        <w:numPr>
          <w:ilvl w:val="0"/>
          <w:numId w:val="9"/>
        </w:numPr>
        <w:spacing w:after="0"/>
        <w:ind w:left="360"/>
        <w:rPr>
          <w:rFonts w:eastAsia="Times New Roman" w:cs="Times New Roman"/>
          <w:lang w:eastAsia="en-AU"/>
        </w:rPr>
      </w:pPr>
      <w:r w:rsidRPr="009E1C7C">
        <w:rPr>
          <w:rFonts w:eastAsia="Times New Roman" w:cs="Times New Roman"/>
          <w:lang w:eastAsia="en-AU"/>
        </w:rPr>
        <w:t xml:space="preserve">the purpose of compensation </w:t>
      </w:r>
      <w:r w:rsidR="00FB4129">
        <w:rPr>
          <w:rFonts w:eastAsia="Times New Roman" w:cs="Times New Roman"/>
          <w:lang w:eastAsia="en-AU"/>
        </w:rPr>
        <w:t>to Botany</w:t>
      </w:r>
      <w:r w:rsidRPr="009E1C7C">
        <w:rPr>
          <w:rFonts w:eastAsia="Times New Roman" w:cs="Times New Roman"/>
          <w:lang w:eastAsia="en-AU"/>
        </w:rPr>
        <w:t xml:space="preserve"> was not to </w:t>
      </w:r>
      <w:r w:rsidR="00966019" w:rsidRPr="009E1C7C">
        <w:rPr>
          <w:rFonts w:eastAsia="Times New Roman" w:cs="Times New Roman"/>
          <w:lang w:eastAsia="en-AU"/>
        </w:rPr>
        <w:t>hinder</w:t>
      </w:r>
      <w:r w:rsidRPr="009E1C7C">
        <w:rPr>
          <w:rFonts w:eastAsia="Times New Roman" w:cs="Times New Roman"/>
          <w:lang w:eastAsia="en-AU"/>
        </w:rPr>
        <w:t xml:space="preserve"> competition – and therefore a terminal – at Newcastle;</w:t>
      </w:r>
    </w:p>
    <w:p w14:paraId="22D63AF4" w14:textId="72641B0E" w:rsidR="008A0E2D" w:rsidRPr="00966019" w:rsidRDefault="008A0E2D" w:rsidP="00B268B7">
      <w:pPr>
        <w:pStyle w:val="ListParagraph"/>
        <w:numPr>
          <w:ilvl w:val="0"/>
          <w:numId w:val="7"/>
        </w:numPr>
        <w:spacing w:after="0"/>
        <w:ind w:left="360"/>
        <w:rPr>
          <w:rFonts w:eastAsia="Times New Roman" w:cs="Times New Roman"/>
          <w:lang w:eastAsia="en-AU"/>
        </w:rPr>
      </w:pPr>
      <w:r w:rsidRPr="00966019">
        <w:rPr>
          <w:rFonts w:eastAsia="Times New Roman" w:cs="Times New Roman"/>
          <w:lang w:eastAsia="en-AU"/>
        </w:rPr>
        <w:t xml:space="preserve">rather </w:t>
      </w:r>
      <w:r w:rsidR="00966019">
        <w:rPr>
          <w:rFonts w:eastAsia="Times New Roman" w:cs="Times New Roman"/>
          <w:lang w:eastAsia="en-AU"/>
        </w:rPr>
        <w:t xml:space="preserve">it </w:t>
      </w:r>
      <w:r w:rsidRPr="00966019">
        <w:rPr>
          <w:rFonts w:eastAsia="Times New Roman" w:cs="Times New Roman"/>
          <w:lang w:eastAsia="en-AU"/>
        </w:rPr>
        <w:t>was for the Government to obtain the full sale value of Port Botany as a monopoly;</w:t>
      </w:r>
    </w:p>
    <w:p w14:paraId="32B62155" w14:textId="4BAAFB43" w:rsidR="007213CA" w:rsidRDefault="008A0E2D" w:rsidP="00B268B7">
      <w:pPr>
        <w:pStyle w:val="ListParagraph"/>
        <w:numPr>
          <w:ilvl w:val="0"/>
          <w:numId w:val="7"/>
        </w:numPr>
        <w:spacing w:after="0"/>
        <w:ind w:left="360"/>
        <w:rPr>
          <w:rFonts w:eastAsia="Times New Roman" w:cs="Times New Roman"/>
          <w:lang w:eastAsia="en-AU"/>
        </w:rPr>
      </w:pPr>
      <w:r w:rsidRPr="00966019">
        <w:rPr>
          <w:rFonts w:eastAsia="Times New Roman" w:cs="Times New Roman"/>
          <w:lang w:eastAsia="en-AU"/>
        </w:rPr>
        <w:t xml:space="preserve">the purpose of the penalty on Newcastle was not to </w:t>
      </w:r>
      <w:r w:rsidR="00966019">
        <w:rPr>
          <w:rFonts w:eastAsia="Times New Roman" w:cs="Times New Roman"/>
          <w:lang w:eastAsia="en-AU"/>
        </w:rPr>
        <w:t>hinder</w:t>
      </w:r>
      <w:r w:rsidRPr="00966019">
        <w:rPr>
          <w:rFonts w:eastAsia="Times New Roman" w:cs="Times New Roman"/>
          <w:lang w:eastAsia="en-AU"/>
        </w:rPr>
        <w:t xml:space="preserve"> competition</w:t>
      </w:r>
      <w:r w:rsidR="00966019" w:rsidRPr="00966019">
        <w:rPr>
          <w:rFonts w:eastAsia="Times New Roman" w:cs="Times New Roman"/>
          <w:lang w:eastAsia="en-AU"/>
        </w:rPr>
        <w:t>, or a terminal at Newcastle</w:t>
      </w:r>
      <w:r w:rsidR="00966019">
        <w:rPr>
          <w:rFonts w:eastAsia="Times New Roman" w:cs="Times New Roman"/>
          <w:lang w:eastAsia="en-AU"/>
        </w:rPr>
        <w:t>,</w:t>
      </w:r>
      <w:r w:rsidR="00966019" w:rsidRPr="00966019">
        <w:rPr>
          <w:rFonts w:eastAsia="Times New Roman" w:cs="Times New Roman"/>
          <w:lang w:eastAsia="en-AU"/>
        </w:rPr>
        <w:t xml:space="preserve"> but to fund the compensation </w:t>
      </w:r>
      <w:r w:rsidR="0069315E">
        <w:rPr>
          <w:rFonts w:eastAsia="Times New Roman" w:cs="Times New Roman"/>
          <w:lang w:eastAsia="en-AU"/>
        </w:rPr>
        <w:t>scheme</w:t>
      </w:r>
      <w:r w:rsidR="007213CA">
        <w:rPr>
          <w:rFonts w:eastAsia="Times New Roman" w:cs="Times New Roman"/>
          <w:lang w:eastAsia="en-AU"/>
        </w:rPr>
        <w:t>;</w:t>
      </w:r>
    </w:p>
    <w:p w14:paraId="245F00F3" w14:textId="194DDBB6" w:rsidR="008679FA" w:rsidRDefault="007213CA" w:rsidP="00B268B7">
      <w:pPr>
        <w:pStyle w:val="ListParagraph"/>
        <w:numPr>
          <w:ilvl w:val="0"/>
          <w:numId w:val="7"/>
        </w:numPr>
        <w:spacing w:after="0"/>
        <w:ind w:left="360"/>
        <w:rPr>
          <w:rFonts w:eastAsia="Times New Roman" w:cs="Times New Roman"/>
          <w:lang w:eastAsia="en-AU"/>
        </w:rPr>
      </w:pPr>
      <w:r>
        <w:rPr>
          <w:rFonts w:eastAsia="Times New Roman" w:cs="Times New Roman"/>
          <w:lang w:eastAsia="en-AU"/>
        </w:rPr>
        <w:t xml:space="preserve">the actions of Newcastle port </w:t>
      </w:r>
      <w:r w:rsidR="006F5F28">
        <w:rPr>
          <w:rFonts w:eastAsia="Times New Roman" w:cs="Times New Roman"/>
          <w:lang w:eastAsia="en-AU"/>
        </w:rPr>
        <w:t>are</w:t>
      </w:r>
      <w:r>
        <w:rPr>
          <w:rFonts w:eastAsia="Times New Roman" w:cs="Times New Roman"/>
          <w:lang w:eastAsia="en-AU"/>
        </w:rPr>
        <w:t xml:space="preserve"> consistent with seeking rights to a market it has not paid for</w:t>
      </w:r>
      <w:r w:rsidR="00966019">
        <w:rPr>
          <w:rFonts w:eastAsia="Times New Roman" w:cs="Times New Roman"/>
          <w:lang w:eastAsia="en-AU"/>
        </w:rPr>
        <w:t>.</w:t>
      </w:r>
    </w:p>
    <w:p w14:paraId="5AF29149" w14:textId="77777777" w:rsidR="008679FA" w:rsidRDefault="008679FA" w:rsidP="00B268B7">
      <w:pPr>
        <w:spacing w:after="0"/>
        <w:rPr>
          <w:rFonts w:eastAsia="Times New Roman" w:cs="Times New Roman"/>
          <w:lang w:eastAsia="en-AU"/>
        </w:rPr>
      </w:pPr>
      <w:r>
        <w:rPr>
          <w:rFonts w:eastAsia="Times New Roman" w:cs="Times New Roman"/>
          <w:lang w:eastAsia="en-AU"/>
        </w:rPr>
        <w:br w:type="page"/>
      </w:r>
    </w:p>
    <w:p w14:paraId="274E214A" w14:textId="4383767B" w:rsidR="00966019" w:rsidRDefault="000A4296" w:rsidP="00B268B7">
      <w:pPr>
        <w:pStyle w:val="Heading2"/>
        <w:spacing w:before="0"/>
        <w:rPr>
          <w:rFonts w:eastAsia="Times New Roman"/>
          <w:lang w:eastAsia="en-AU"/>
        </w:rPr>
      </w:pPr>
      <w:bookmarkStart w:id="11" w:name="_Toc79490157"/>
      <w:r>
        <w:rPr>
          <w:rFonts w:eastAsia="Times New Roman"/>
          <w:lang w:eastAsia="en-AU"/>
        </w:rPr>
        <w:lastRenderedPageBreak/>
        <w:t>4</w:t>
      </w:r>
      <w:r w:rsidR="00966019">
        <w:rPr>
          <w:rFonts w:eastAsia="Times New Roman"/>
          <w:lang w:eastAsia="en-AU"/>
        </w:rPr>
        <w:t>.</w:t>
      </w:r>
      <w:r w:rsidR="00966019">
        <w:rPr>
          <w:rFonts w:eastAsia="Times New Roman"/>
          <w:lang w:eastAsia="en-AU"/>
        </w:rPr>
        <w:tab/>
        <w:t>Discussion</w:t>
      </w:r>
      <w:bookmarkEnd w:id="11"/>
    </w:p>
    <w:p w14:paraId="1F9ABEA6" w14:textId="31B1AD88" w:rsidR="00966019" w:rsidRPr="00FB4129" w:rsidRDefault="009E1C7C" w:rsidP="00B268B7">
      <w:pPr>
        <w:spacing w:after="0"/>
        <w:rPr>
          <w:rFonts w:eastAsia="Times New Roman" w:cs="Times New Roman"/>
          <w:lang w:eastAsia="en-AU"/>
        </w:rPr>
      </w:pPr>
      <w:r>
        <w:rPr>
          <w:rFonts w:eastAsia="Times New Roman" w:cs="Times New Roman"/>
          <w:lang w:eastAsia="en-AU"/>
        </w:rPr>
        <w:t>Th</w:t>
      </w:r>
      <w:r w:rsidR="00106C53">
        <w:rPr>
          <w:rFonts w:eastAsia="Times New Roman" w:cs="Times New Roman"/>
          <w:lang w:eastAsia="en-AU"/>
        </w:rPr>
        <w:t>e</w:t>
      </w:r>
      <w:r w:rsidR="00966019">
        <w:rPr>
          <w:rFonts w:eastAsia="Times New Roman" w:cs="Times New Roman"/>
          <w:lang w:eastAsia="en-AU"/>
        </w:rPr>
        <w:t xml:space="preserve"> </w:t>
      </w:r>
      <w:r w:rsidR="00815D0A">
        <w:rPr>
          <w:rFonts w:eastAsia="Times New Roman" w:cs="Times New Roman"/>
          <w:lang w:eastAsia="en-AU"/>
        </w:rPr>
        <w:t>C</w:t>
      </w:r>
      <w:r w:rsidR="00106C53">
        <w:rPr>
          <w:rFonts w:eastAsia="Times New Roman" w:cs="Times New Roman"/>
          <w:lang w:eastAsia="en-AU"/>
        </w:rPr>
        <w:t xml:space="preserve">ourt’s </w:t>
      </w:r>
      <w:r w:rsidR="00966019">
        <w:rPr>
          <w:rFonts w:eastAsia="Times New Roman" w:cs="Times New Roman"/>
          <w:lang w:eastAsia="en-AU"/>
        </w:rPr>
        <w:t xml:space="preserve">reasoning </w:t>
      </w:r>
      <w:r>
        <w:rPr>
          <w:rFonts w:eastAsia="Times New Roman" w:cs="Times New Roman"/>
          <w:lang w:eastAsia="en-AU"/>
        </w:rPr>
        <w:t xml:space="preserve">beyond Crown indemnity – in </w:t>
      </w:r>
      <w:r w:rsidR="00926054">
        <w:rPr>
          <w:rFonts w:eastAsia="Times New Roman" w:cs="Times New Roman"/>
          <w:lang w:eastAsia="en-AU"/>
        </w:rPr>
        <w:t>3 above</w:t>
      </w:r>
      <w:r>
        <w:rPr>
          <w:rFonts w:eastAsia="Times New Roman" w:cs="Times New Roman"/>
          <w:lang w:eastAsia="en-AU"/>
        </w:rPr>
        <w:t xml:space="preserve"> </w:t>
      </w:r>
      <w:r w:rsidR="00237E9B">
        <w:rPr>
          <w:rFonts w:eastAsia="Times New Roman" w:cs="Times New Roman"/>
          <w:lang w:eastAsia="en-AU"/>
        </w:rPr>
        <w:t xml:space="preserve">- </w:t>
      </w:r>
      <w:r w:rsidR="00966019">
        <w:rPr>
          <w:rFonts w:eastAsia="Times New Roman" w:cs="Times New Roman"/>
          <w:lang w:eastAsia="en-AU"/>
        </w:rPr>
        <w:t>is problematic</w:t>
      </w:r>
      <w:r w:rsidR="00FB4129">
        <w:rPr>
          <w:rFonts w:eastAsia="Times New Roman" w:cs="Times New Roman"/>
          <w:lang w:eastAsia="en-AU"/>
        </w:rPr>
        <w:t>.  In relation to policy matters</w:t>
      </w:r>
      <w:r w:rsidR="005C3B53">
        <w:rPr>
          <w:rFonts w:eastAsia="Times New Roman" w:cs="Times New Roman"/>
          <w:lang w:eastAsia="en-AU"/>
        </w:rPr>
        <w:t xml:space="preserve"> -</w:t>
      </w:r>
      <w:r w:rsidR="00FB4129">
        <w:rPr>
          <w:rFonts w:eastAsia="Times New Roman" w:cs="Times New Roman"/>
          <w:lang w:eastAsia="en-AU"/>
        </w:rPr>
        <w:t xml:space="preserve"> 3.2 </w:t>
      </w:r>
      <w:r w:rsidR="005C3B53">
        <w:rPr>
          <w:rFonts w:eastAsia="Times New Roman" w:cs="Times New Roman"/>
          <w:lang w:eastAsia="en-AU"/>
        </w:rPr>
        <w:t xml:space="preserve">- </w:t>
      </w:r>
      <w:r w:rsidR="00FB4129">
        <w:rPr>
          <w:rFonts w:eastAsia="Times New Roman" w:cs="Times New Roman"/>
          <w:lang w:eastAsia="en-AU"/>
        </w:rPr>
        <w:t>s</w:t>
      </w:r>
      <w:r w:rsidR="00966019">
        <w:rPr>
          <w:rFonts w:eastAsia="Times New Roman" w:cs="Times New Roman"/>
          <w:lang w:eastAsia="en-AU"/>
        </w:rPr>
        <w:t xml:space="preserve">ome </w:t>
      </w:r>
      <w:r w:rsidR="001B1809">
        <w:rPr>
          <w:rFonts w:eastAsia="Times New Roman" w:cs="Times New Roman"/>
          <w:lang w:eastAsia="en-AU"/>
        </w:rPr>
        <w:t xml:space="preserve">of it </w:t>
      </w:r>
      <w:r w:rsidR="00966019">
        <w:rPr>
          <w:rFonts w:eastAsia="Times New Roman" w:cs="Times New Roman"/>
          <w:lang w:eastAsia="en-AU"/>
        </w:rPr>
        <w:t xml:space="preserve">appears </w:t>
      </w:r>
      <w:r w:rsidR="001B1809">
        <w:rPr>
          <w:rFonts w:eastAsia="Times New Roman" w:cs="Times New Roman"/>
          <w:lang w:eastAsia="en-AU"/>
        </w:rPr>
        <w:t>wrong</w:t>
      </w:r>
      <w:r w:rsidR="00966019" w:rsidRPr="00FB4129">
        <w:rPr>
          <w:rFonts w:eastAsia="Times New Roman" w:cs="Times New Roman"/>
          <w:lang w:eastAsia="en-AU"/>
        </w:rPr>
        <w:t>.</w:t>
      </w:r>
    </w:p>
    <w:p w14:paraId="4C36B168" w14:textId="77777777" w:rsidR="00815D0A" w:rsidRDefault="00815D0A" w:rsidP="00B268B7">
      <w:pPr>
        <w:spacing w:after="0"/>
        <w:rPr>
          <w:rFonts w:eastAsia="Times New Roman" w:cs="Times New Roman"/>
          <w:lang w:eastAsia="en-AU"/>
        </w:rPr>
      </w:pPr>
    </w:p>
    <w:p w14:paraId="35F66801" w14:textId="4255F237" w:rsidR="007A161D" w:rsidRDefault="00815D0A" w:rsidP="00B268B7">
      <w:pPr>
        <w:spacing w:after="0"/>
        <w:rPr>
          <w:rFonts w:eastAsia="Times New Roman" w:cs="Times New Roman"/>
          <w:lang w:eastAsia="en-AU"/>
        </w:rPr>
      </w:pPr>
      <w:r>
        <w:rPr>
          <w:rFonts w:eastAsia="Times New Roman" w:cs="Times New Roman"/>
          <w:lang w:eastAsia="en-AU"/>
        </w:rPr>
        <w:t xml:space="preserve">In particular, </w:t>
      </w:r>
      <w:r w:rsidR="00491A37">
        <w:rPr>
          <w:rFonts w:eastAsia="Times New Roman" w:cs="Times New Roman"/>
          <w:lang w:eastAsia="en-AU"/>
        </w:rPr>
        <w:t>the a</w:t>
      </w:r>
      <w:r w:rsidR="007A161D">
        <w:rPr>
          <w:rFonts w:eastAsia="Times New Roman" w:cs="Times New Roman"/>
          <w:lang w:eastAsia="en-AU"/>
        </w:rPr>
        <w:t xml:space="preserve">nalysis of </w:t>
      </w:r>
      <w:r w:rsidR="00645A15">
        <w:rPr>
          <w:rFonts w:eastAsia="Times New Roman" w:cs="Times New Roman"/>
          <w:lang w:eastAsia="en-AU"/>
        </w:rPr>
        <w:t xml:space="preserve">port </w:t>
      </w:r>
      <w:r w:rsidR="00106C53">
        <w:rPr>
          <w:rFonts w:eastAsia="Times New Roman" w:cs="Times New Roman"/>
          <w:lang w:eastAsia="en-AU"/>
        </w:rPr>
        <w:t>privatisation</w:t>
      </w:r>
      <w:r w:rsidR="0086344F">
        <w:rPr>
          <w:rFonts w:eastAsia="Times New Roman" w:cs="Times New Roman"/>
          <w:lang w:eastAsia="en-AU"/>
        </w:rPr>
        <w:t>s</w:t>
      </w:r>
      <w:r w:rsidR="007A161D">
        <w:rPr>
          <w:rFonts w:eastAsia="Times New Roman" w:cs="Times New Roman"/>
          <w:lang w:eastAsia="en-AU"/>
        </w:rPr>
        <w:t xml:space="preserve"> and land transport issues</w:t>
      </w:r>
      <w:r w:rsidR="0086344F">
        <w:rPr>
          <w:rFonts w:eastAsia="Times New Roman" w:cs="Times New Roman"/>
          <w:lang w:eastAsia="en-AU"/>
        </w:rPr>
        <w:t xml:space="preserve"> included </w:t>
      </w:r>
      <w:r w:rsidR="009C4CAD">
        <w:rPr>
          <w:rFonts w:eastAsia="Times New Roman" w:cs="Times New Roman"/>
          <w:lang w:eastAsia="en-AU"/>
        </w:rPr>
        <w:t>errors</w:t>
      </w:r>
      <w:r w:rsidR="007A161D">
        <w:rPr>
          <w:rFonts w:eastAsia="Times New Roman" w:cs="Times New Roman"/>
          <w:lang w:eastAsia="en-AU"/>
        </w:rPr>
        <w:t>.</w:t>
      </w:r>
      <w:r w:rsidR="0086344F">
        <w:rPr>
          <w:rFonts w:eastAsia="Times New Roman" w:cs="Times New Roman"/>
          <w:lang w:eastAsia="en-AU"/>
        </w:rPr>
        <w:t xml:space="preserve"> </w:t>
      </w:r>
      <w:r w:rsidR="00B268B7">
        <w:rPr>
          <w:rFonts w:eastAsia="Times New Roman" w:cs="Times New Roman"/>
          <w:lang w:eastAsia="en-AU"/>
        </w:rPr>
        <w:t xml:space="preserve"> </w:t>
      </w:r>
      <w:r w:rsidR="00491A37">
        <w:rPr>
          <w:rFonts w:eastAsia="Times New Roman" w:cs="Times New Roman"/>
          <w:lang w:eastAsia="en-AU"/>
        </w:rPr>
        <w:t>W</w:t>
      </w:r>
      <w:r w:rsidR="0086344F">
        <w:rPr>
          <w:rFonts w:eastAsia="Times New Roman" w:cs="Times New Roman"/>
          <w:lang w:eastAsia="en-AU"/>
        </w:rPr>
        <w:t xml:space="preserve">hether such </w:t>
      </w:r>
      <w:r w:rsidR="009C4CAD">
        <w:rPr>
          <w:rFonts w:eastAsia="Times New Roman" w:cs="Times New Roman"/>
          <w:lang w:eastAsia="en-AU"/>
        </w:rPr>
        <w:t>mistakes</w:t>
      </w:r>
      <w:r w:rsidR="0086344F">
        <w:rPr>
          <w:rFonts w:eastAsia="Times New Roman" w:cs="Times New Roman"/>
          <w:lang w:eastAsia="en-AU"/>
        </w:rPr>
        <w:t xml:space="preserve"> were material to the decision is not of interest here.  Rather the interest is in establishing a sound basis for policy.</w:t>
      </w:r>
    </w:p>
    <w:p w14:paraId="3B9BC682" w14:textId="621B486C" w:rsidR="00926054" w:rsidRDefault="00926054" w:rsidP="00B268B7">
      <w:pPr>
        <w:spacing w:after="0"/>
        <w:rPr>
          <w:rFonts w:eastAsia="Times New Roman" w:cs="Times New Roman"/>
          <w:lang w:eastAsia="en-AU"/>
        </w:rPr>
      </w:pPr>
    </w:p>
    <w:p w14:paraId="7B7A024F" w14:textId="4E8E3466" w:rsidR="007A161D" w:rsidRDefault="000771CB" w:rsidP="00B268B7">
      <w:pPr>
        <w:pStyle w:val="Heading3"/>
        <w:spacing w:before="0"/>
        <w:rPr>
          <w:rFonts w:eastAsia="Times New Roman"/>
          <w:lang w:eastAsia="en-AU"/>
        </w:rPr>
      </w:pPr>
      <w:bookmarkStart w:id="12" w:name="_Toc79490158"/>
      <w:r>
        <w:rPr>
          <w:rFonts w:eastAsia="Times New Roman"/>
          <w:lang w:eastAsia="en-AU"/>
        </w:rPr>
        <w:t>4</w:t>
      </w:r>
      <w:r w:rsidR="007A161D">
        <w:rPr>
          <w:rFonts w:eastAsia="Times New Roman"/>
          <w:lang w:eastAsia="en-AU"/>
        </w:rPr>
        <w:t>.</w:t>
      </w:r>
      <w:r w:rsidR="00815D0A">
        <w:rPr>
          <w:rFonts w:eastAsia="Times New Roman"/>
          <w:lang w:eastAsia="en-AU"/>
        </w:rPr>
        <w:t>1</w:t>
      </w:r>
      <w:r w:rsidR="007A161D">
        <w:rPr>
          <w:rFonts w:eastAsia="Times New Roman"/>
          <w:lang w:eastAsia="en-AU"/>
        </w:rPr>
        <w:t>.</w:t>
      </w:r>
      <w:r w:rsidR="007A161D">
        <w:rPr>
          <w:rFonts w:eastAsia="Times New Roman"/>
          <w:lang w:eastAsia="en-AU"/>
        </w:rPr>
        <w:tab/>
      </w:r>
      <w:r w:rsidR="00645A15">
        <w:rPr>
          <w:rFonts w:eastAsia="Times New Roman"/>
          <w:lang w:eastAsia="en-AU"/>
        </w:rPr>
        <w:t xml:space="preserve">Port </w:t>
      </w:r>
      <w:r w:rsidR="00106C53">
        <w:rPr>
          <w:rFonts w:eastAsia="Times New Roman"/>
          <w:lang w:eastAsia="en-AU"/>
        </w:rPr>
        <w:t>privatisations</w:t>
      </w:r>
      <w:bookmarkEnd w:id="12"/>
    </w:p>
    <w:p w14:paraId="407CFD3A" w14:textId="671EACEE" w:rsidR="00815D0A" w:rsidRDefault="00815D0A" w:rsidP="00B268B7">
      <w:pPr>
        <w:spacing w:after="0"/>
        <w:rPr>
          <w:lang w:eastAsia="en-AU"/>
        </w:rPr>
      </w:pPr>
      <w:r>
        <w:rPr>
          <w:lang w:eastAsia="en-AU"/>
        </w:rPr>
        <w:t>Issues regarding the Court</w:t>
      </w:r>
      <w:r w:rsidR="008E09AB">
        <w:rPr>
          <w:lang w:eastAsia="en-AU"/>
        </w:rPr>
        <w:t>’</w:t>
      </w:r>
      <w:r>
        <w:rPr>
          <w:lang w:eastAsia="en-AU"/>
        </w:rPr>
        <w:t xml:space="preserve">s analysis of the penalty-compensation </w:t>
      </w:r>
      <w:r w:rsidR="0069315E">
        <w:rPr>
          <w:lang w:eastAsia="en-AU"/>
        </w:rPr>
        <w:t>scheme</w:t>
      </w:r>
      <w:r>
        <w:rPr>
          <w:lang w:eastAsia="en-AU"/>
        </w:rPr>
        <w:t xml:space="preserve"> </w:t>
      </w:r>
      <w:r w:rsidR="00C11760">
        <w:rPr>
          <w:lang w:eastAsia="en-AU"/>
        </w:rPr>
        <w:t>of</w:t>
      </w:r>
      <w:r>
        <w:rPr>
          <w:lang w:eastAsia="en-AU"/>
        </w:rPr>
        <w:t xml:space="preserve"> the privatisation</w:t>
      </w:r>
      <w:r w:rsidR="00C11760">
        <w:rPr>
          <w:lang w:eastAsia="en-AU"/>
        </w:rPr>
        <w:t>s</w:t>
      </w:r>
      <w:r>
        <w:rPr>
          <w:lang w:eastAsia="en-AU"/>
        </w:rPr>
        <w:t xml:space="preserve"> include: </w:t>
      </w:r>
      <w:r w:rsidR="00437A6B">
        <w:rPr>
          <w:lang w:eastAsia="en-AU"/>
        </w:rPr>
        <w:t xml:space="preserve">policy creep; </w:t>
      </w:r>
      <w:r>
        <w:rPr>
          <w:lang w:eastAsia="en-AU"/>
        </w:rPr>
        <w:t xml:space="preserve">inconsistency </w:t>
      </w:r>
      <w:r w:rsidR="00C11760">
        <w:rPr>
          <w:lang w:eastAsia="en-AU"/>
        </w:rPr>
        <w:t>of</w:t>
      </w:r>
      <w:r>
        <w:rPr>
          <w:lang w:eastAsia="en-AU"/>
        </w:rPr>
        <w:t xml:space="preserve"> Government actions</w:t>
      </w:r>
      <w:r w:rsidR="00C11760">
        <w:rPr>
          <w:lang w:eastAsia="en-AU"/>
        </w:rPr>
        <w:t xml:space="preserve"> with its supposed views</w:t>
      </w:r>
      <w:r>
        <w:rPr>
          <w:lang w:eastAsia="en-AU"/>
        </w:rPr>
        <w:t xml:space="preserve">; purpose of the </w:t>
      </w:r>
      <w:r w:rsidR="0069315E">
        <w:rPr>
          <w:lang w:eastAsia="en-AU"/>
        </w:rPr>
        <w:t>scheme</w:t>
      </w:r>
      <w:r>
        <w:rPr>
          <w:lang w:eastAsia="en-AU"/>
        </w:rPr>
        <w:t xml:space="preserve">; </w:t>
      </w:r>
      <w:r w:rsidR="0069315E">
        <w:rPr>
          <w:lang w:eastAsia="en-AU"/>
        </w:rPr>
        <w:t>its</w:t>
      </w:r>
      <w:r>
        <w:rPr>
          <w:lang w:eastAsia="en-AU"/>
        </w:rPr>
        <w:t xml:space="preserve"> concealment.</w:t>
      </w:r>
      <w:r w:rsidR="008E09AB">
        <w:rPr>
          <w:lang w:eastAsia="en-AU"/>
        </w:rPr>
        <w:t xml:space="preserve"> </w:t>
      </w:r>
      <w:r>
        <w:rPr>
          <w:lang w:eastAsia="en-AU"/>
        </w:rPr>
        <w:t xml:space="preserve">  </w:t>
      </w:r>
    </w:p>
    <w:p w14:paraId="2C2DB266" w14:textId="726C665A" w:rsidR="00B268B7" w:rsidRDefault="00B268B7" w:rsidP="00B268B7">
      <w:pPr>
        <w:spacing w:after="0"/>
        <w:rPr>
          <w:lang w:eastAsia="en-AU"/>
        </w:rPr>
      </w:pPr>
    </w:p>
    <w:p w14:paraId="439F9144" w14:textId="5A04E5C3" w:rsidR="00437A6B" w:rsidRDefault="00437A6B" w:rsidP="00437A6B">
      <w:pPr>
        <w:pStyle w:val="Heading4"/>
        <w:rPr>
          <w:lang w:eastAsia="en-AU"/>
        </w:rPr>
      </w:pPr>
      <w:r>
        <w:rPr>
          <w:lang w:eastAsia="en-AU"/>
        </w:rPr>
        <w:t>4.1.1</w:t>
      </w:r>
      <w:r>
        <w:rPr>
          <w:lang w:eastAsia="en-AU"/>
        </w:rPr>
        <w:tab/>
      </w:r>
      <w:r w:rsidR="001A3174">
        <w:rPr>
          <w:lang w:eastAsia="en-AU"/>
        </w:rPr>
        <w:t>C</w:t>
      </w:r>
      <w:r>
        <w:rPr>
          <w:lang w:eastAsia="en-AU"/>
        </w:rPr>
        <w:t>reep</w:t>
      </w:r>
      <w:r w:rsidR="001A3174">
        <w:rPr>
          <w:lang w:eastAsia="en-AU"/>
        </w:rPr>
        <w:t>ing anti-competitiveness</w:t>
      </w:r>
    </w:p>
    <w:p w14:paraId="5298AE13" w14:textId="77777777" w:rsidR="00537422" w:rsidRDefault="00147B41" w:rsidP="00B268B7">
      <w:pPr>
        <w:spacing w:after="0"/>
        <w:rPr>
          <w:lang w:eastAsia="en-AU"/>
        </w:rPr>
      </w:pPr>
      <w:r>
        <w:rPr>
          <w:lang w:eastAsia="en-AU"/>
        </w:rPr>
        <w:t>E</w:t>
      </w:r>
      <w:r w:rsidR="00437A6B">
        <w:rPr>
          <w:lang w:eastAsia="en-AU"/>
        </w:rPr>
        <w:t xml:space="preserve">vidence cited by the Court demonstrates </w:t>
      </w:r>
      <w:r>
        <w:rPr>
          <w:lang w:eastAsia="en-AU"/>
        </w:rPr>
        <w:t xml:space="preserve">policy </w:t>
      </w:r>
      <w:r w:rsidR="00437A6B">
        <w:rPr>
          <w:lang w:eastAsia="en-AU"/>
        </w:rPr>
        <w:t xml:space="preserve">creep </w:t>
      </w:r>
      <w:r w:rsidR="000B626C">
        <w:rPr>
          <w:lang w:eastAsia="en-AU"/>
        </w:rPr>
        <w:t>during the privatisation</w:t>
      </w:r>
      <w:r w:rsidR="00537422">
        <w:rPr>
          <w:lang w:eastAsia="en-AU"/>
        </w:rPr>
        <w:t>.</w:t>
      </w:r>
      <w:r w:rsidR="00437A6B">
        <w:rPr>
          <w:lang w:eastAsia="en-AU"/>
        </w:rPr>
        <w:t xml:space="preserve">  </w:t>
      </w:r>
    </w:p>
    <w:p w14:paraId="2BD5ADB6" w14:textId="77777777" w:rsidR="00537422" w:rsidRDefault="00537422" w:rsidP="00B268B7">
      <w:pPr>
        <w:spacing w:after="0"/>
        <w:rPr>
          <w:lang w:eastAsia="en-AU"/>
        </w:rPr>
      </w:pPr>
    </w:p>
    <w:p w14:paraId="54893F99" w14:textId="70B430EC" w:rsidR="00437A6B" w:rsidRDefault="00437A6B" w:rsidP="00B268B7">
      <w:pPr>
        <w:spacing w:after="0"/>
        <w:rPr>
          <w:lang w:eastAsia="en-AU"/>
        </w:rPr>
      </w:pPr>
      <w:r>
        <w:rPr>
          <w:lang w:eastAsia="en-AU"/>
        </w:rPr>
        <w:t xml:space="preserve">The </w:t>
      </w:r>
      <w:r w:rsidR="001A3174">
        <w:rPr>
          <w:lang w:eastAsia="en-AU"/>
        </w:rPr>
        <w:t xml:space="preserve">Botany-sale-revenue </w:t>
      </w:r>
      <w:r>
        <w:rPr>
          <w:lang w:eastAsia="en-AU"/>
        </w:rPr>
        <w:t xml:space="preserve">issue initially raised by Treasury’s advisers, and </w:t>
      </w:r>
      <w:r w:rsidR="00CF1DB3">
        <w:rPr>
          <w:lang w:eastAsia="en-AU"/>
        </w:rPr>
        <w:t xml:space="preserve">Botany </w:t>
      </w:r>
      <w:r>
        <w:rPr>
          <w:lang w:eastAsia="en-AU"/>
        </w:rPr>
        <w:t xml:space="preserve">bidders, was the possibility of </w:t>
      </w:r>
      <w:r w:rsidR="00A73996">
        <w:rPr>
          <w:lang w:eastAsia="en-AU"/>
        </w:rPr>
        <w:t>the</w:t>
      </w:r>
      <w:r>
        <w:rPr>
          <w:lang w:eastAsia="en-AU"/>
        </w:rPr>
        <w:t xml:space="preserve"> Government </w:t>
      </w:r>
      <w:r w:rsidR="00A73996">
        <w:rPr>
          <w:lang w:eastAsia="en-AU"/>
        </w:rPr>
        <w:t xml:space="preserve">sponsoring or developing a </w:t>
      </w:r>
      <w:r>
        <w:rPr>
          <w:lang w:eastAsia="en-AU"/>
        </w:rPr>
        <w:t>terminal competing with Port Botany.</w:t>
      </w:r>
      <w:r w:rsidR="00A73996">
        <w:rPr>
          <w:rStyle w:val="FootnoteReference"/>
          <w:lang w:eastAsia="en-AU"/>
        </w:rPr>
        <w:footnoteReference w:id="9"/>
      </w:r>
    </w:p>
    <w:p w14:paraId="5AD5C4EF" w14:textId="55F0F5AA" w:rsidR="00A73996" w:rsidRDefault="00A73996" w:rsidP="00B268B7">
      <w:pPr>
        <w:spacing w:after="0"/>
        <w:rPr>
          <w:lang w:eastAsia="en-AU"/>
        </w:rPr>
      </w:pPr>
    </w:p>
    <w:p w14:paraId="5F70B240" w14:textId="630EF0E5" w:rsidR="001A3174" w:rsidRDefault="001A3174" w:rsidP="00B268B7">
      <w:pPr>
        <w:spacing w:after="0"/>
        <w:rPr>
          <w:lang w:eastAsia="en-AU"/>
        </w:rPr>
      </w:pPr>
      <w:r>
        <w:rPr>
          <w:lang w:eastAsia="en-AU"/>
        </w:rPr>
        <w:t xml:space="preserve">However, the Treasury </w:t>
      </w:r>
      <w:r w:rsidR="004C5B99">
        <w:rPr>
          <w:lang w:eastAsia="en-AU"/>
        </w:rPr>
        <w:t xml:space="preserve">Steering Committee </w:t>
      </w:r>
      <w:r>
        <w:rPr>
          <w:lang w:eastAsia="en-AU"/>
        </w:rPr>
        <w:t xml:space="preserve">considered </w:t>
      </w:r>
      <w:r w:rsidR="004C5B99">
        <w:rPr>
          <w:lang w:eastAsia="en-AU"/>
        </w:rPr>
        <w:t>o</w:t>
      </w:r>
      <w:r w:rsidR="00A73996">
        <w:rPr>
          <w:lang w:eastAsia="en-AU"/>
        </w:rPr>
        <w:t xml:space="preserve">ptions to address </w:t>
      </w:r>
      <w:r>
        <w:rPr>
          <w:lang w:eastAsia="en-AU"/>
        </w:rPr>
        <w:t>a broader scope</w:t>
      </w:r>
      <w:r w:rsidR="00147B41">
        <w:rPr>
          <w:lang w:eastAsia="en-AU"/>
        </w:rPr>
        <w:t xml:space="preserve"> - </w:t>
      </w:r>
      <w:r w:rsidR="00A73996">
        <w:rPr>
          <w:lang w:eastAsia="en-AU"/>
        </w:rPr>
        <w:t>Government supporting a terminal.</w:t>
      </w:r>
      <w:r w:rsidR="000B626C">
        <w:rPr>
          <w:lang w:eastAsia="en-AU"/>
        </w:rPr>
        <w:t xml:space="preserve">  </w:t>
      </w:r>
    </w:p>
    <w:p w14:paraId="3D103769" w14:textId="77777777" w:rsidR="001A3174" w:rsidRDefault="001A3174" w:rsidP="00B268B7">
      <w:pPr>
        <w:spacing w:after="0"/>
        <w:rPr>
          <w:lang w:eastAsia="en-AU"/>
        </w:rPr>
      </w:pPr>
    </w:p>
    <w:p w14:paraId="5EF214B9" w14:textId="089DB25F" w:rsidR="001A3174" w:rsidRDefault="000B626C" w:rsidP="00B268B7">
      <w:pPr>
        <w:spacing w:after="0"/>
        <w:rPr>
          <w:lang w:eastAsia="en-AU"/>
        </w:rPr>
      </w:pPr>
      <w:r>
        <w:rPr>
          <w:lang w:eastAsia="en-AU"/>
        </w:rPr>
        <w:t>A briefing note to the Treasurer expanded th</w:t>
      </w:r>
      <w:r w:rsidR="001A3174">
        <w:rPr>
          <w:lang w:eastAsia="en-AU"/>
        </w:rPr>
        <w:t>e scope</w:t>
      </w:r>
      <w:r>
        <w:rPr>
          <w:lang w:eastAsia="en-AU"/>
        </w:rPr>
        <w:t xml:space="preserve"> again adding ‘</w:t>
      </w:r>
      <w:r w:rsidRPr="000B626C">
        <w:rPr>
          <w:i/>
          <w:iCs/>
          <w:lang w:eastAsia="en-AU"/>
        </w:rPr>
        <w:t>competing developments</w:t>
      </w:r>
      <w:r>
        <w:rPr>
          <w:i/>
          <w:iCs/>
          <w:lang w:eastAsia="en-AU"/>
        </w:rPr>
        <w:t xml:space="preserve"> at Newcastle</w:t>
      </w:r>
      <w:r>
        <w:rPr>
          <w:lang w:eastAsia="en-AU"/>
        </w:rPr>
        <w:t>’</w:t>
      </w:r>
      <w:r w:rsidR="004C5B99">
        <w:rPr>
          <w:lang w:eastAsia="en-AU"/>
        </w:rPr>
        <w:t xml:space="preserve"> without reference to Government involvement</w:t>
      </w:r>
      <w:r w:rsidR="00CF1DB3">
        <w:rPr>
          <w:lang w:eastAsia="en-AU"/>
        </w:rPr>
        <w:t xml:space="preserve"> in those developments</w:t>
      </w:r>
      <w:r w:rsidR="004C5B99">
        <w:rPr>
          <w:lang w:eastAsia="en-AU"/>
        </w:rPr>
        <w:t>.</w:t>
      </w:r>
      <w:r>
        <w:rPr>
          <w:lang w:eastAsia="en-AU"/>
        </w:rPr>
        <w:t xml:space="preserve">  </w:t>
      </w:r>
    </w:p>
    <w:p w14:paraId="33F1854D" w14:textId="77777777" w:rsidR="001A3174" w:rsidRDefault="001A3174" w:rsidP="00B268B7">
      <w:pPr>
        <w:spacing w:after="0"/>
        <w:rPr>
          <w:lang w:eastAsia="en-AU"/>
        </w:rPr>
      </w:pPr>
    </w:p>
    <w:p w14:paraId="180D69BB" w14:textId="121CBED4" w:rsidR="00A73996" w:rsidRDefault="000B626C" w:rsidP="00B268B7">
      <w:pPr>
        <w:spacing w:after="0"/>
        <w:rPr>
          <w:i/>
          <w:iCs/>
          <w:lang w:eastAsia="en-AU"/>
        </w:rPr>
      </w:pPr>
      <w:r>
        <w:rPr>
          <w:lang w:eastAsia="en-AU"/>
        </w:rPr>
        <w:t xml:space="preserve">Its recommendations </w:t>
      </w:r>
      <w:r w:rsidR="00CF1DB3">
        <w:rPr>
          <w:lang w:eastAsia="en-AU"/>
        </w:rPr>
        <w:t>reinforced that expanded</w:t>
      </w:r>
      <w:r w:rsidR="001A3174">
        <w:rPr>
          <w:lang w:eastAsia="en-AU"/>
        </w:rPr>
        <w:t xml:space="preserve"> scope</w:t>
      </w:r>
      <w:r w:rsidR="00147B41">
        <w:rPr>
          <w:lang w:eastAsia="en-AU"/>
        </w:rPr>
        <w:t>, referring</w:t>
      </w:r>
      <w:r>
        <w:rPr>
          <w:lang w:eastAsia="en-AU"/>
        </w:rPr>
        <w:t xml:space="preserve"> </w:t>
      </w:r>
      <w:r w:rsidR="001A3174">
        <w:rPr>
          <w:lang w:eastAsia="en-AU"/>
        </w:rPr>
        <w:t xml:space="preserve">to </w:t>
      </w:r>
      <w:r w:rsidRPr="000B626C">
        <w:rPr>
          <w:i/>
          <w:iCs/>
          <w:lang w:eastAsia="en-AU"/>
        </w:rPr>
        <w:t>‘State sanctioned Newcastle developments that are inconsistent with current policy which Bidders are ‘buying’ today</w:t>
      </w:r>
      <w:r>
        <w:rPr>
          <w:i/>
          <w:iCs/>
          <w:lang w:eastAsia="en-AU"/>
        </w:rPr>
        <w:t>’</w:t>
      </w:r>
      <w:r w:rsidRPr="000B626C">
        <w:rPr>
          <w:i/>
          <w:iCs/>
          <w:lang w:eastAsia="en-AU"/>
        </w:rPr>
        <w:t>.</w:t>
      </w:r>
      <w:r>
        <w:rPr>
          <w:rStyle w:val="FootnoteReference"/>
          <w:lang w:eastAsia="en-AU"/>
        </w:rPr>
        <w:footnoteReference w:id="10"/>
      </w:r>
      <w:r w:rsidR="004C5B99">
        <w:rPr>
          <w:i/>
          <w:iCs/>
          <w:lang w:eastAsia="en-AU"/>
        </w:rPr>
        <w:t xml:space="preserve">  </w:t>
      </w:r>
    </w:p>
    <w:p w14:paraId="2A8CFB24" w14:textId="7D8B57E3" w:rsidR="004C5B99" w:rsidRPr="004C5B99" w:rsidRDefault="004C5B99" w:rsidP="00B268B7">
      <w:pPr>
        <w:spacing w:after="0"/>
        <w:rPr>
          <w:lang w:eastAsia="en-AU"/>
        </w:rPr>
      </w:pPr>
    </w:p>
    <w:p w14:paraId="227A7F2A" w14:textId="68C68711" w:rsidR="00147B41" w:rsidRDefault="004C5B99" w:rsidP="00B268B7">
      <w:pPr>
        <w:spacing w:after="0"/>
        <w:rPr>
          <w:lang w:eastAsia="en-AU"/>
        </w:rPr>
      </w:pPr>
      <w:r>
        <w:rPr>
          <w:lang w:eastAsia="en-AU"/>
        </w:rPr>
        <w:t xml:space="preserve">The scheme adopted in the privatisation went beyond </w:t>
      </w:r>
      <w:r w:rsidR="00CF1DB3">
        <w:rPr>
          <w:lang w:eastAsia="en-AU"/>
        </w:rPr>
        <w:t xml:space="preserve">providing ‘comfort’ about </w:t>
      </w:r>
      <w:r>
        <w:rPr>
          <w:lang w:eastAsia="en-AU"/>
        </w:rPr>
        <w:t>– was not limited by – Government sponsorship, development</w:t>
      </w:r>
      <w:r w:rsidR="00147B41">
        <w:rPr>
          <w:lang w:eastAsia="en-AU"/>
        </w:rPr>
        <w:t xml:space="preserve"> or even sanction of a terminal at Newcastle.  It went to all circumstances of the fact of a competing terminal.  It </w:t>
      </w:r>
      <w:r w:rsidR="001A3174">
        <w:rPr>
          <w:lang w:eastAsia="en-AU"/>
        </w:rPr>
        <w:t xml:space="preserve">offered </w:t>
      </w:r>
      <w:r w:rsidR="00CF1DB3">
        <w:rPr>
          <w:lang w:eastAsia="en-AU"/>
        </w:rPr>
        <w:t xml:space="preserve">to lock-in </w:t>
      </w:r>
      <w:r w:rsidR="001A3174">
        <w:rPr>
          <w:lang w:eastAsia="en-AU"/>
        </w:rPr>
        <w:t xml:space="preserve">a </w:t>
      </w:r>
      <w:r w:rsidR="00CF1DB3">
        <w:rPr>
          <w:lang w:eastAsia="en-AU"/>
        </w:rPr>
        <w:t xml:space="preserve">Treasury interpretation of ports </w:t>
      </w:r>
      <w:r w:rsidR="00147B41">
        <w:rPr>
          <w:lang w:eastAsia="en-AU"/>
        </w:rPr>
        <w:t xml:space="preserve">policy </w:t>
      </w:r>
      <w:r w:rsidR="001A3174">
        <w:rPr>
          <w:lang w:eastAsia="en-AU"/>
        </w:rPr>
        <w:t xml:space="preserve">that </w:t>
      </w:r>
      <w:r w:rsidR="00CF1DB3">
        <w:rPr>
          <w:lang w:eastAsia="en-AU"/>
        </w:rPr>
        <w:t xml:space="preserve">went considerably beyond </w:t>
      </w:r>
      <w:r w:rsidR="001A3174">
        <w:rPr>
          <w:lang w:eastAsia="en-AU"/>
        </w:rPr>
        <w:t>bidders</w:t>
      </w:r>
      <w:r w:rsidR="00CF1DB3">
        <w:rPr>
          <w:lang w:eastAsia="en-AU"/>
        </w:rPr>
        <w:t>’</w:t>
      </w:r>
      <w:r w:rsidR="001A3174">
        <w:rPr>
          <w:lang w:eastAsia="en-AU"/>
        </w:rPr>
        <w:t xml:space="preserve"> </w:t>
      </w:r>
      <w:r w:rsidR="00CF1DB3">
        <w:rPr>
          <w:lang w:eastAsia="en-AU"/>
        </w:rPr>
        <w:t>concerns</w:t>
      </w:r>
      <w:r w:rsidR="001A3174">
        <w:rPr>
          <w:lang w:eastAsia="en-AU"/>
        </w:rPr>
        <w:t xml:space="preserve"> </w:t>
      </w:r>
      <w:r w:rsidR="00CF1DB3">
        <w:rPr>
          <w:lang w:eastAsia="en-AU"/>
        </w:rPr>
        <w:t xml:space="preserve">and </w:t>
      </w:r>
      <w:r w:rsidR="00080B77">
        <w:rPr>
          <w:lang w:eastAsia="en-AU"/>
        </w:rPr>
        <w:t xml:space="preserve">usual </w:t>
      </w:r>
      <w:r w:rsidR="00CF1DB3">
        <w:rPr>
          <w:lang w:eastAsia="en-AU"/>
        </w:rPr>
        <w:t xml:space="preserve">Government roles </w:t>
      </w:r>
      <w:r w:rsidR="001A3174">
        <w:rPr>
          <w:lang w:eastAsia="en-AU"/>
        </w:rPr>
        <w:t xml:space="preserve">- </w:t>
      </w:r>
      <w:r w:rsidR="00147B41">
        <w:rPr>
          <w:lang w:eastAsia="en-AU"/>
        </w:rPr>
        <w:t>oppos</w:t>
      </w:r>
      <w:r w:rsidR="001A3174">
        <w:rPr>
          <w:lang w:eastAsia="en-AU"/>
        </w:rPr>
        <w:t>ition</w:t>
      </w:r>
      <w:r w:rsidR="00147B41">
        <w:rPr>
          <w:lang w:eastAsia="en-AU"/>
        </w:rPr>
        <w:t xml:space="preserve"> to a terminal at Newcastle irrespective of the Government’s role</w:t>
      </w:r>
      <w:r w:rsidR="001A3174">
        <w:rPr>
          <w:lang w:eastAsia="en-AU"/>
        </w:rPr>
        <w:t xml:space="preserve"> </w:t>
      </w:r>
      <w:r w:rsidR="00CF1DB3">
        <w:rPr>
          <w:lang w:eastAsia="en-AU"/>
        </w:rPr>
        <w:t>in it</w:t>
      </w:r>
      <w:r w:rsidR="00147B41">
        <w:rPr>
          <w:lang w:eastAsia="en-AU"/>
        </w:rPr>
        <w:t xml:space="preserve">.  </w:t>
      </w:r>
    </w:p>
    <w:p w14:paraId="07F2E11B" w14:textId="77777777" w:rsidR="00147B41" w:rsidRDefault="00147B41" w:rsidP="00B268B7">
      <w:pPr>
        <w:spacing w:after="0"/>
        <w:rPr>
          <w:lang w:eastAsia="en-AU"/>
        </w:rPr>
      </w:pPr>
    </w:p>
    <w:p w14:paraId="65B78810" w14:textId="6D8A394E" w:rsidR="004C5B99" w:rsidRPr="004C5B99" w:rsidRDefault="00147B41" w:rsidP="00B268B7">
      <w:pPr>
        <w:spacing w:after="0"/>
        <w:rPr>
          <w:lang w:eastAsia="en-AU"/>
        </w:rPr>
      </w:pPr>
      <w:r>
        <w:rPr>
          <w:lang w:eastAsia="en-AU"/>
        </w:rPr>
        <w:t>Curiously, while th</w:t>
      </w:r>
      <w:r w:rsidR="00537422">
        <w:rPr>
          <w:lang w:eastAsia="en-AU"/>
        </w:rPr>
        <w:t>e</w:t>
      </w:r>
      <w:r>
        <w:rPr>
          <w:lang w:eastAsia="en-AU"/>
        </w:rPr>
        <w:t xml:space="preserve"> policy </w:t>
      </w:r>
      <w:r w:rsidR="00537422">
        <w:rPr>
          <w:lang w:eastAsia="en-AU"/>
        </w:rPr>
        <w:t xml:space="preserve">‘bought’ </w:t>
      </w:r>
      <w:r>
        <w:rPr>
          <w:lang w:eastAsia="en-AU"/>
        </w:rPr>
        <w:t>was the responsibility of the Transport portfolio, i</w:t>
      </w:r>
      <w:r w:rsidR="004C5B99" w:rsidRPr="004C5B99">
        <w:rPr>
          <w:lang w:eastAsia="en-AU"/>
        </w:rPr>
        <w:t xml:space="preserve">t appears Transport for NSW were </w:t>
      </w:r>
      <w:r>
        <w:rPr>
          <w:lang w:eastAsia="en-AU"/>
        </w:rPr>
        <w:t xml:space="preserve">not </w:t>
      </w:r>
      <w:r w:rsidR="004C5B99" w:rsidRPr="004C5B99">
        <w:rPr>
          <w:lang w:eastAsia="en-AU"/>
        </w:rPr>
        <w:t xml:space="preserve">aware of </w:t>
      </w:r>
      <w:r>
        <w:rPr>
          <w:lang w:eastAsia="en-AU"/>
        </w:rPr>
        <w:t>its interpretation by Treasury – implying, among other things, the portfolio was not on the Steering Committee.</w:t>
      </w:r>
      <w:r>
        <w:rPr>
          <w:rStyle w:val="FootnoteReference"/>
          <w:lang w:eastAsia="en-AU"/>
        </w:rPr>
        <w:footnoteReference w:id="11"/>
      </w:r>
    </w:p>
    <w:p w14:paraId="020A130D" w14:textId="25FC95F6" w:rsidR="00437A6B" w:rsidRPr="00815D0A" w:rsidRDefault="00437A6B" w:rsidP="00B268B7">
      <w:pPr>
        <w:spacing w:after="0"/>
        <w:rPr>
          <w:lang w:eastAsia="en-AU"/>
        </w:rPr>
      </w:pPr>
      <w:r>
        <w:rPr>
          <w:lang w:eastAsia="en-AU"/>
        </w:rPr>
        <w:t xml:space="preserve">   </w:t>
      </w:r>
    </w:p>
    <w:p w14:paraId="4F013E28" w14:textId="7D2AAEFE" w:rsidR="00926054" w:rsidRPr="00926054" w:rsidRDefault="00926054" w:rsidP="00B268B7">
      <w:pPr>
        <w:pStyle w:val="Heading4"/>
        <w:spacing w:before="0"/>
        <w:rPr>
          <w:lang w:eastAsia="en-AU"/>
        </w:rPr>
      </w:pPr>
      <w:r>
        <w:rPr>
          <w:lang w:eastAsia="en-AU"/>
        </w:rPr>
        <w:t>4.</w:t>
      </w:r>
      <w:r w:rsidR="00815D0A">
        <w:rPr>
          <w:lang w:eastAsia="en-AU"/>
        </w:rPr>
        <w:t>1</w:t>
      </w:r>
      <w:r>
        <w:rPr>
          <w:lang w:eastAsia="en-AU"/>
        </w:rPr>
        <w:t>.</w:t>
      </w:r>
      <w:r w:rsidR="00147B41">
        <w:rPr>
          <w:lang w:eastAsia="en-AU"/>
        </w:rPr>
        <w:t>2</w:t>
      </w:r>
      <w:r>
        <w:rPr>
          <w:lang w:eastAsia="en-AU"/>
        </w:rPr>
        <w:tab/>
      </w:r>
      <w:r w:rsidR="00B1556F">
        <w:rPr>
          <w:lang w:eastAsia="en-AU"/>
        </w:rPr>
        <w:t>Inconsistency</w:t>
      </w:r>
      <w:r>
        <w:rPr>
          <w:lang w:eastAsia="en-AU"/>
        </w:rPr>
        <w:t xml:space="preserve"> Government views</w:t>
      </w:r>
      <w:r w:rsidR="00B1556F">
        <w:rPr>
          <w:lang w:eastAsia="en-AU"/>
        </w:rPr>
        <w:t xml:space="preserve"> and actions</w:t>
      </w:r>
    </w:p>
    <w:p w14:paraId="603B616C" w14:textId="4ABE50CF" w:rsidR="00535B96" w:rsidRPr="002C734F" w:rsidRDefault="005F1388" w:rsidP="00B268B7">
      <w:pPr>
        <w:spacing w:after="0"/>
        <w:rPr>
          <w:rFonts w:eastAsia="Times New Roman" w:cs="Times New Roman"/>
          <w:lang w:eastAsia="en-AU"/>
        </w:rPr>
      </w:pPr>
      <w:r w:rsidRPr="002C734F">
        <w:rPr>
          <w:rFonts w:eastAsia="Times New Roman" w:cs="Times New Roman"/>
          <w:lang w:eastAsia="en-AU"/>
        </w:rPr>
        <w:t xml:space="preserve">Bidders </w:t>
      </w:r>
      <w:r w:rsidR="008E09AB">
        <w:rPr>
          <w:rFonts w:eastAsia="Times New Roman" w:cs="Times New Roman"/>
          <w:lang w:eastAsia="en-AU"/>
        </w:rPr>
        <w:t>for</w:t>
      </w:r>
      <w:r w:rsidRPr="002C734F">
        <w:rPr>
          <w:rFonts w:eastAsia="Times New Roman" w:cs="Times New Roman"/>
          <w:lang w:eastAsia="en-AU"/>
        </w:rPr>
        <w:t xml:space="preserve"> Port Botany</w:t>
      </w:r>
      <w:r w:rsidR="00AA6624" w:rsidRPr="002C734F">
        <w:rPr>
          <w:rFonts w:eastAsia="Times New Roman" w:cs="Times New Roman"/>
          <w:lang w:eastAsia="en-AU"/>
        </w:rPr>
        <w:t xml:space="preserve"> considered </w:t>
      </w:r>
      <w:r w:rsidR="001B1809">
        <w:rPr>
          <w:rFonts w:eastAsia="Times New Roman" w:cs="Times New Roman"/>
          <w:lang w:eastAsia="en-AU"/>
        </w:rPr>
        <w:t xml:space="preserve">the prospect of </w:t>
      </w:r>
      <w:r w:rsidR="00C1063D" w:rsidRPr="002C734F">
        <w:rPr>
          <w:rFonts w:eastAsia="Times New Roman" w:cs="Times New Roman"/>
          <w:lang w:eastAsia="en-AU"/>
        </w:rPr>
        <w:t>a Newcastle terminal</w:t>
      </w:r>
      <w:r w:rsidR="00AA6624" w:rsidRPr="002C734F">
        <w:rPr>
          <w:rFonts w:eastAsia="Times New Roman" w:cs="Times New Roman"/>
          <w:lang w:eastAsia="en-AU"/>
        </w:rPr>
        <w:t xml:space="preserve"> </w:t>
      </w:r>
      <w:r w:rsidR="00080B77">
        <w:rPr>
          <w:rFonts w:eastAsia="Times New Roman" w:cs="Times New Roman"/>
          <w:lang w:eastAsia="en-AU"/>
        </w:rPr>
        <w:t xml:space="preserve">a </w:t>
      </w:r>
      <w:r w:rsidR="00AA6624" w:rsidRPr="002C734F">
        <w:rPr>
          <w:rFonts w:eastAsia="Times New Roman" w:cs="Times New Roman"/>
          <w:lang w:eastAsia="en-AU"/>
        </w:rPr>
        <w:t xml:space="preserve">sufficient </w:t>
      </w:r>
      <w:r w:rsidR="00645A15">
        <w:rPr>
          <w:rFonts w:eastAsia="Times New Roman" w:cs="Times New Roman"/>
          <w:lang w:eastAsia="en-AU"/>
        </w:rPr>
        <w:t>competiti</w:t>
      </w:r>
      <w:r w:rsidR="001B1809">
        <w:rPr>
          <w:rFonts w:eastAsia="Times New Roman" w:cs="Times New Roman"/>
          <w:lang w:eastAsia="en-AU"/>
        </w:rPr>
        <w:t>ve threat</w:t>
      </w:r>
      <w:r w:rsidR="00645A15">
        <w:rPr>
          <w:rFonts w:eastAsia="Times New Roman" w:cs="Times New Roman"/>
          <w:lang w:eastAsia="en-AU"/>
        </w:rPr>
        <w:t xml:space="preserve"> t</w:t>
      </w:r>
      <w:r w:rsidR="00AA6624" w:rsidRPr="002C734F">
        <w:rPr>
          <w:rFonts w:eastAsia="Times New Roman" w:cs="Times New Roman"/>
          <w:lang w:eastAsia="en-AU"/>
        </w:rPr>
        <w:t xml:space="preserve">o reduce </w:t>
      </w:r>
      <w:r w:rsidR="001B1809">
        <w:rPr>
          <w:rFonts w:eastAsia="Times New Roman" w:cs="Times New Roman"/>
          <w:lang w:eastAsia="en-AU"/>
        </w:rPr>
        <w:t>bids unles</w:t>
      </w:r>
      <w:r w:rsidR="00AA6624" w:rsidRPr="002C734F">
        <w:rPr>
          <w:rFonts w:eastAsia="Times New Roman" w:cs="Times New Roman"/>
          <w:lang w:eastAsia="en-AU"/>
        </w:rPr>
        <w:t>s there was s</w:t>
      </w:r>
      <w:r w:rsidR="0099771C">
        <w:rPr>
          <w:rFonts w:eastAsia="Times New Roman" w:cs="Times New Roman"/>
          <w:lang w:eastAsia="en-AU"/>
        </w:rPr>
        <w:t>ubstantial</w:t>
      </w:r>
      <w:r w:rsidR="00AA6624" w:rsidRPr="002C734F">
        <w:rPr>
          <w:rFonts w:eastAsia="Times New Roman" w:cs="Times New Roman"/>
          <w:lang w:eastAsia="en-AU"/>
        </w:rPr>
        <w:t xml:space="preserve"> compensation </w:t>
      </w:r>
      <w:r w:rsidR="0099771C">
        <w:rPr>
          <w:rFonts w:eastAsia="Times New Roman" w:cs="Times New Roman"/>
          <w:lang w:eastAsia="en-AU"/>
        </w:rPr>
        <w:t>if</w:t>
      </w:r>
      <w:r w:rsidR="00AA6624" w:rsidRPr="002C734F">
        <w:rPr>
          <w:rFonts w:eastAsia="Times New Roman" w:cs="Times New Roman"/>
          <w:lang w:eastAsia="en-AU"/>
        </w:rPr>
        <w:t xml:space="preserve"> </w:t>
      </w:r>
      <w:r w:rsidR="00CC6E43">
        <w:rPr>
          <w:rFonts w:eastAsia="Times New Roman" w:cs="Times New Roman"/>
          <w:lang w:eastAsia="en-AU"/>
        </w:rPr>
        <w:t>competition</w:t>
      </w:r>
      <w:r w:rsidR="00AA6624" w:rsidRPr="002C734F">
        <w:rPr>
          <w:rFonts w:eastAsia="Times New Roman" w:cs="Times New Roman"/>
          <w:lang w:eastAsia="en-AU"/>
        </w:rPr>
        <w:t xml:space="preserve"> </w:t>
      </w:r>
      <w:r w:rsidR="0099771C">
        <w:rPr>
          <w:rFonts w:eastAsia="Times New Roman" w:cs="Times New Roman"/>
          <w:lang w:eastAsia="en-AU"/>
        </w:rPr>
        <w:t>eventuated</w:t>
      </w:r>
      <w:r w:rsidR="00AA6624" w:rsidRPr="002C734F">
        <w:rPr>
          <w:rFonts w:eastAsia="Times New Roman" w:cs="Times New Roman"/>
          <w:lang w:eastAsia="en-AU"/>
        </w:rPr>
        <w:t xml:space="preserve">.  </w:t>
      </w:r>
    </w:p>
    <w:p w14:paraId="0C10ABD5" w14:textId="77777777" w:rsidR="00535B96" w:rsidRPr="002C734F" w:rsidRDefault="00535B96" w:rsidP="00B268B7">
      <w:pPr>
        <w:spacing w:after="0"/>
        <w:rPr>
          <w:rFonts w:eastAsia="Times New Roman" w:cs="Times New Roman"/>
          <w:lang w:eastAsia="en-AU"/>
        </w:rPr>
      </w:pPr>
    </w:p>
    <w:p w14:paraId="747681A7" w14:textId="4D6253B8" w:rsidR="00547B0E" w:rsidRPr="002C734F" w:rsidRDefault="00547B0E" w:rsidP="00B268B7">
      <w:pPr>
        <w:spacing w:after="0"/>
        <w:rPr>
          <w:rFonts w:eastAsia="Times New Roman" w:cs="Times New Roman"/>
          <w:lang w:eastAsia="en-AU"/>
        </w:rPr>
      </w:pPr>
      <w:r w:rsidRPr="002C734F">
        <w:rPr>
          <w:rFonts w:eastAsia="Times New Roman" w:cs="Times New Roman"/>
          <w:lang w:eastAsia="en-AU"/>
        </w:rPr>
        <w:lastRenderedPageBreak/>
        <w:t>T</w:t>
      </w:r>
      <w:r w:rsidR="00AA6624" w:rsidRPr="002C734F">
        <w:rPr>
          <w:rFonts w:eastAsia="Times New Roman" w:cs="Times New Roman"/>
          <w:lang w:eastAsia="en-AU"/>
        </w:rPr>
        <w:t xml:space="preserve">he Government </w:t>
      </w:r>
      <w:r w:rsidR="00535B96" w:rsidRPr="002C734F">
        <w:rPr>
          <w:rFonts w:eastAsia="Times New Roman" w:cs="Times New Roman"/>
          <w:lang w:eastAsia="en-AU"/>
        </w:rPr>
        <w:t>claim</w:t>
      </w:r>
      <w:r w:rsidR="007A161D">
        <w:rPr>
          <w:rFonts w:eastAsia="Times New Roman" w:cs="Times New Roman"/>
          <w:lang w:eastAsia="en-AU"/>
        </w:rPr>
        <w:t xml:space="preserve">ed </w:t>
      </w:r>
      <w:r w:rsidR="00535B96" w:rsidRPr="002C734F">
        <w:rPr>
          <w:rFonts w:eastAsia="Times New Roman" w:cs="Times New Roman"/>
          <w:lang w:eastAsia="en-AU"/>
        </w:rPr>
        <w:t xml:space="preserve">it </w:t>
      </w:r>
      <w:r w:rsidR="00AA6624" w:rsidRPr="002C734F">
        <w:rPr>
          <w:rFonts w:eastAsia="Times New Roman" w:cs="Times New Roman"/>
          <w:lang w:eastAsia="en-AU"/>
        </w:rPr>
        <w:t>had a different opinion</w:t>
      </w:r>
      <w:r w:rsidR="001B1809">
        <w:rPr>
          <w:rFonts w:eastAsia="Times New Roman" w:cs="Times New Roman"/>
          <w:lang w:eastAsia="en-AU"/>
        </w:rPr>
        <w:t>:</w:t>
      </w:r>
      <w:r w:rsidR="00AA6624" w:rsidRPr="002C734F">
        <w:rPr>
          <w:rFonts w:eastAsia="Times New Roman" w:cs="Times New Roman"/>
          <w:lang w:eastAsia="en-AU"/>
        </w:rPr>
        <w:t xml:space="preserve"> </w:t>
      </w:r>
      <w:r w:rsidR="001B1809">
        <w:rPr>
          <w:rFonts w:eastAsia="Times New Roman" w:cs="Times New Roman"/>
          <w:lang w:eastAsia="en-AU"/>
        </w:rPr>
        <w:t>Botany did not face such a</w:t>
      </w:r>
      <w:r w:rsidR="00AA6624" w:rsidRPr="002C734F">
        <w:rPr>
          <w:rFonts w:eastAsia="Times New Roman" w:cs="Times New Roman"/>
          <w:lang w:eastAsia="en-AU"/>
        </w:rPr>
        <w:t xml:space="preserve"> </w:t>
      </w:r>
      <w:r w:rsidR="001B1809">
        <w:rPr>
          <w:rFonts w:eastAsia="Times New Roman" w:cs="Times New Roman"/>
          <w:lang w:eastAsia="en-AU"/>
        </w:rPr>
        <w:t xml:space="preserve">threat of competition because there was no </w:t>
      </w:r>
      <w:r w:rsidR="00AA6624" w:rsidRPr="002C734F">
        <w:rPr>
          <w:rFonts w:eastAsia="Times New Roman" w:cs="Times New Roman"/>
          <w:lang w:eastAsia="en-AU"/>
        </w:rPr>
        <w:t xml:space="preserve">prospect of a terminal in Newcastle.  Nonetheless, the Government arranged for compensation of Botany were </w:t>
      </w:r>
      <w:r w:rsidR="0099771C">
        <w:rPr>
          <w:rFonts w:eastAsia="Times New Roman" w:cs="Times New Roman"/>
          <w:lang w:eastAsia="en-AU"/>
        </w:rPr>
        <w:t xml:space="preserve">such </w:t>
      </w:r>
      <w:r w:rsidR="00AA6624" w:rsidRPr="002C734F">
        <w:rPr>
          <w:rFonts w:eastAsia="Times New Roman" w:cs="Times New Roman"/>
          <w:lang w:eastAsia="en-AU"/>
        </w:rPr>
        <w:t>a terminal constructed</w:t>
      </w:r>
      <w:r w:rsidR="006F5F28">
        <w:rPr>
          <w:rFonts w:eastAsia="Times New Roman" w:cs="Times New Roman"/>
          <w:lang w:eastAsia="en-AU"/>
        </w:rPr>
        <w:t>.  It later arranged for</w:t>
      </w:r>
      <w:r w:rsidR="007213CA">
        <w:rPr>
          <w:rFonts w:eastAsia="Times New Roman" w:cs="Times New Roman"/>
          <w:lang w:eastAsia="en-AU"/>
        </w:rPr>
        <w:t xml:space="preserve"> Newcastle </w:t>
      </w:r>
      <w:r w:rsidR="001B1809">
        <w:rPr>
          <w:rFonts w:eastAsia="Times New Roman" w:cs="Times New Roman"/>
          <w:lang w:eastAsia="en-AU"/>
        </w:rPr>
        <w:t xml:space="preserve">port </w:t>
      </w:r>
      <w:r w:rsidR="007213CA">
        <w:rPr>
          <w:rFonts w:eastAsia="Times New Roman" w:cs="Times New Roman"/>
          <w:lang w:eastAsia="en-AU"/>
        </w:rPr>
        <w:t xml:space="preserve">to fund </w:t>
      </w:r>
      <w:r w:rsidR="001B1809">
        <w:rPr>
          <w:rFonts w:eastAsia="Times New Roman" w:cs="Times New Roman"/>
          <w:lang w:eastAsia="en-AU"/>
        </w:rPr>
        <w:t>any</w:t>
      </w:r>
      <w:r w:rsidR="006F5F28">
        <w:rPr>
          <w:rFonts w:eastAsia="Times New Roman" w:cs="Times New Roman"/>
          <w:lang w:eastAsia="en-AU"/>
        </w:rPr>
        <w:t xml:space="preserve"> compensation</w:t>
      </w:r>
      <w:r w:rsidR="00AA6624" w:rsidRPr="002C734F">
        <w:rPr>
          <w:rFonts w:eastAsia="Times New Roman" w:cs="Times New Roman"/>
          <w:lang w:eastAsia="en-AU"/>
        </w:rPr>
        <w:t xml:space="preserve">.  </w:t>
      </w:r>
    </w:p>
    <w:p w14:paraId="47C4FF55" w14:textId="77777777" w:rsidR="00547B0E" w:rsidRPr="002C734F" w:rsidRDefault="00547B0E" w:rsidP="00B268B7">
      <w:pPr>
        <w:spacing w:after="0"/>
        <w:rPr>
          <w:rFonts w:eastAsia="Times New Roman" w:cs="Times New Roman"/>
          <w:lang w:eastAsia="en-AU"/>
        </w:rPr>
      </w:pPr>
    </w:p>
    <w:p w14:paraId="6F1FE408" w14:textId="5BD776B4" w:rsidR="00535B96" w:rsidRPr="002C734F" w:rsidRDefault="00AA6624" w:rsidP="00B268B7">
      <w:pPr>
        <w:spacing w:after="0"/>
        <w:rPr>
          <w:rFonts w:eastAsia="Times New Roman" w:cs="Times New Roman"/>
          <w:lang w:eastAsia="en-AU"/>
        </w:rPr>
      </w:pPr>
      <w:r w:rsidRPr="002C734F">
        <w:rPr>
          <w:rFonts w:eastAsia="Times New Roman" w:cs="Times New Roman"/>
          <w:lang w:eastAsia="en-AU"/>
        </w:rPr>
        <w:t>Th</w:t>
      </w:r>
      <w:r w:rsidR="00535B96" w:rsidRPr="002C734F">
        <w:rPr>
          <w:rFonts w:eastAsia="Times New Roman" w:cs="Times New Roman"/>
          <w:lang w:eastAsia="en-AU"/>
        </w:rPr>
        <w:t>e only way th</w:t>
      </w:r>
      <w:r w:rsidR="00C1063D" w:rsidRPr="002C734F">
        <w:rPr>
          <w:rFonts w:eastAsia="Times New Roman" w:cs="Times New Roman"/>
          <w:lang w:eastAsia="en-AU"/>
        </w:rPr>
        <w:t xml:space="preserve">e Government’s </w:t>
      </w:r>
      <w:r w:rsidR="00535B96" w:rsidRPr="002C734F">
        <w:rPr>
          <w:rFonts w:eastAsia="Times New Roman" w:cs="Times New Roman"/>
          <w:lang w:eastAsia="en-AU"/>
        </w:rPr>
        <w:t>action</w:t>
      </w:r>
      <w:r w:rsidR="006F5F28">
        <w:rPr>
          <w:rFonts w:eastAsia="Times New Roman" w:cs="Times New Roman"/>
          <w:lang w:eastAsia="en-AU"/>
        </w:rPr>
        <w:t>s</w:t>
      </w:r>
      <w:r w:rsidR="00535B96" w:rsidRPr="002C734F">
        <w:rPr>
          <w:rFonts w:eastAsia="Times New Roman" w:cs="Times New Roman"/>
          <w:lang w:eastAsia="en-AU"/>
        </w:rPr>
        <w:t xml:space="preserve"> could be consistent with </w:t>
      </w:r>
      <w:r w:rsidR="00C1063D" w:rsidRPr="002C734F">
        <w:rPr>
          <w:rFonts w:eastAsia="Times New Roman" w:cs="Times New Roman"/>
          <w:lang w:eastAsia="en-AU"/>
        </w:rPr>
        <w:t xml:space="preserve">its </w:t>
      </w:r>
      <w:r w:rsidR="00535B96" w:rsidRPr="002C734F">
        <w:rPr>
          <w:rFonts w:eastAsia="Times New Roman" w:cs="Times New Roman"/>
          <w:lang w:eastAsia="en-AU"/>
        </w:rPr>
        <w:t>claim</w:t>
      </w:r>
      <w:r w:rsidR="004B59EC" w:rsidRPr="002C734F">
        <w:rPr>
          <w:rFonts w:eastAsia="Times New Roman" w:cs="Times New Roman"/>
          <w:lang w:eastAsia="en-AU"/>
        </w:rPr>
        <w:t>ed opinion</w:t>
      </w:r>
      <w:r w:rsidR="00535B96" w:rsidRPr="002C734F">
        <w:rPr>
          <w:rFonts w:eastAsia="Times New Roman" w:cs="Times New Roman"/>
          <w:lang w:eastAsia="en-AU"/>
        </w:rPr>
        <w:t xml:space="preserve"> is</w:t>
      </w:r>
      <w:r w:rsidR="00C1063D" w:rsidRPr="002C734F">
        <w:rPr>
          <w:rFonts w:eastAsia="Times New Roman" w:cs="Times New Roman"/>
          <w:lang w:eastAsia="en-AU"/>
        </w:rPr>
        <w:t>:</w:t>
      </w:r>
      <w:r w:rsidR="00535B96" w:rsidRPr="002C734F">
        <w:rPr>
          <w:rFonts w:eastAsia="Times New Roman" w:cs="Times New Roman"/>
          <w:lang w:eastAsia="en-AU"/>
        </w:rPr>
        <w:t xml:space="preserve"> </w:t>
      </w:r>
      <w:r w:rsidR="006F5F28">
        <w:rPr>
          <w:rFonts w:eastAsia="Times New Roman" w:cs="Times New Roman"/>
          <w:lang w:eastAsia="en-AU"/>
        </w:rPr>
        <w:t>it</w:t>
      </w:r>
      <w:r w:rsidRPr="002C734F">
        <w:rPr>
          <w:rFonts w:eastAsia="Times New Roman" w:cs="Times New Roman"/>
          <w:lang w:eastAsia="en-AU"/>
        </w:rPr>
        <w:t xml:space="preserve"> could not </w:t>
      </w:r>
      <w:r w:rsidR="00535B96" w:rsidRPr="002C734F">
        <w:rPr>
          <w:rFonts w:eastAsia="Times New Roman" w:cs="Times New Roman"/>
          <w:lang w:eastAsia="en-AU"/>
        </w:rPr>
        <w:t>persuade</w:t>
      </w:r>
      <w:r w:rsidRPr="002C734F">
        <w:rPr>
          <w:rFonts w:eastAsia="Times New Roman" w:cs="Times New Roman"/>
          <w:lang w:eastAsia="en-AU"/>
        </w:rPr>
        <w:t xml:space="preserve"> parties who put their own money at risk that a terminal at Newcastle w</w:t>
      </w:r>
      <w:r w:rsidR="00C1063D" w:rsidRPr="002C734F">
        <w:rPr>
          <w:rFonts w:eastAsia="Times New Roman" w:cs="Times New Roman"/>
          <w:lang w:eastAsia="en-AU"/>
        </w:rPr>
        <w:t>ould not be built.</w:t>
      </w:r>
      <w:r w:rsidR="00547B0E" w:rsidRPr="002C734F">
        <w:rPr>
          <w:rFonts w:eastAsia="Times New Roman" w:cs="Times New Roman"/>
          <w:lang w:eastAsia="en-AU"/>
        </w:rPr>
        <w:t xml:space="preserve"> </w:t>
      </w:r>
      <w:r w:rsidR="00B268B7">
        <w:rPr>
          <w:rFonts w:eastAsia="Times New Roman" w:cs="Times New Roman"/>
          <w:lang w:eastAsia="en-AU"/>
        </w:rPr>
        <w:t xml:space="preserve"> </w:t>
      </w:r>
      <w:r w:rsidR="0099771C">
        <w:rPr>
          <w:rFonts w:eastAsia="Times New Roman" w:cs="Times New Roman"/>
          <w:lang w:eastAsia="en-AU"/>
        </w:rPr>
        <w:t xml:space="preserve">If so, the </w:t>
      </w:r>
      <w:r w:rsidR="00C1063D" w:rsidRPr="002C734F">
        <w:rPr>
          <w:rFonts w:eastAsia="Times New Roman" w:cs="Times New Roman"/>
          <w:lang w:eastAsia="en-AU"/>
        </w:rPr>
        <w:t xml:space="preserve">Government </w:t>
      </w:r>
      <w:r w:rsidR="0099771C">
        <w:rPr>
          <w:rFonts w:eastAsia="Times New Roman" w:cs="Times New Roman"/>
          <w:lang w:eastAsia="en-AU"/>
        </w:rPr>
        <w:t>thought</w:t>
      </w:r>
      <w:r w:rsidR="00C1063D" w:rsidRPr="002C734F">
        <w:rPr>
          <w:rFonts w:eastAsia="Times New Roman" w:cs="Times New Roman"/>
          <w:lang w:eastAsia="en-AU"/>
        </w:rPr>
        <w:t xml:space="preserve"> a </w:t>
      </w:r>
      <w:r w:rsidR="0086344F">
        <w:rPr>
          <w:rFonts w:eastAsia="Times New Roman" w:cs="Times New Roman"/>
          <w:lang w:eastAsia="en-AU"/>
        </w:rPr>
        <w:t xml:space="preserve">Newcastle </w:t>
      </w:r>
      <w:r w:rsidR="00C1063D" w:rsidRPr="002C734F">
        <w:rPr>
          <w:rFonts w:eastAsia="Times New Roman" w:cs="Times New Roman"/>
          <w:lang w:eastAsia="en-AU"/>
        </w:rPr>
        <w:t>terminal</w:t>
      </w:r>
      <w:r w:rsidR="004B59EC" w:rsidRPr="002C734F">
        <w:rPr>
          <w:rFonts w:eastAsia="Times New Roman" w:cs="Times New Roman"/>
          <w:lang w:eastAsia="en-AU"/>
        </w:rPr>
        <w:t>:</w:t>
      </w:r>
    </w:p>
    <w:p w14:paraId="17E21209" w14:textId="311B4094" w:rsidR="00535B96" w:rsidRPr="007A161D" w:rsidRDefault="00C1063D" w:rsidP="00B268B7">
      <w:pPr>
        <w:pStyle w:val="ListParagraph"/>
        <w:numPr>
          <w:ilvl w:val="0"/>
          <w:numId w:val="10"/>
        </w:numPr>
        <w:spacing w:after="0"/>
        <w:ind w:left="360"/>
        <w:rPr>
          <w:rFonts w:eastAsia="Times New Roman" w:cs="Times New Roman"/>
          <w:lang w:eastAsia="en-AU"/>
        </w:rPr>
      </w:pPr>
      <w:r w:rsidRPr="007A161D">
        <w:rPr>
          <w:rFonts w:eastAsia="Times New Roman" w:cs="Times New Roman"/>
          <w:lang w:eastAsia="en-AU"/>
        </w:rPr>
        <w:t xml:space="preserve">is </w:t>
      </w:r>
      <w:r w:rsidR="00AA6624" w:rsidRPr="007A161D">
        <w:rPr>
          <w:rFonts w:eastAsia="Times New Roman" w:cs="Times New Roman"/>
          <w:lang w:eastAsia="en-AU"/>
        </w:rPr>
        <w:t xml:space="preserve">not </w:t>
      </w:r>
      <w:r w:rsidR="00535B96" w:rsidRPr="007A161D">
        <w:rPr>
          <w:rFonts w:eastAsia="Times New Roman" w:cs="Times New Roman"/>
          <w:lang w:eastAsia="en-AU"/>
        </w:rPr>
        <w:t xml:space="preserve">financially viable – </w:t>
      </w:r>
      <w:r w:rsidR="0099771C">
        <w:rPr>
          <w:rFonts w:eastAsia="Times New Roman" w:cs="Times New Roman"/>
          <w:lang w:eastAsia="en-AU"/>
        </w:rPr>
        <w:t>and assumed it</w:t>
      </w:r>
      <w:r w:rsidR="00535B96" w:rsidRPr="007A161D">
        <w:rPr>
          <w:rFonts w:eastAsia="Times New Roman" w:cs="Times New Roman"/>
          <w:lang w:eastAsia="en-AU"/>
        </w:rPr>
        <w:t xml:space="preserve"> knows more about container terminal</w:t>
      </w:r>
      <w:r w:rsidR="0099771C">
        <w:rPr>
          <w:rFonts w:eastAsia="Times New Roman" w:cs="Times New Roman"/>
          <w:lang w:eastAsia="en-AU"/>
        </w:rPr>
        <w:t xml:space="preserve"> operations,</w:t>
      </w:r>
      <w:r w:rsidR="00535B96" w:rsidRPr="007A161D">
        <w:rPr>
          <w:rFonts w:eastAsia="Times New Roman" w:cs="Times New Roman"/>
          <w:lang w:eastAsia="en-AU"/>
        </w:rPr>
        <w:t xml:space="preserve"> economics and financing than those bidding for a business </w:t>
      </w:r>
      <w:r w:rsidR="0099771C">
        <w:rPr>
          <w:rFonts w:eastAsia="Times New Roman" w:cs="Times New Roman"/>
          <w:lang w:eastAsia="en-AU"/>
        </w:rPr>
        <w:t xml:space="preserve">(Port Botany) </w:t>
      </w:r>
      <w:r w:rsidR="00535B96" w:rsidRPr="007A161D">
        <w:rPr>
          <w:rFonts w:eastAsia="Times New Roman" w:cs="Times New Roman"/>
          <w:lang w:eastAsia="en-AU"/>
        </w:rPr>
        <w:t xml:space="preserve">reliant on such terminals; </w:t>
      </w:r>
      <w:r w:rsidR="00547B0E" w:rsidRPr="007A161D">
        <w:rPr>
          <w:rFonts w:eastAsia="Times New Roman" w:cs="Times New Roman"/>
          <w:lang w:eastAsia="en-AU"/>
        </w:rPr>
        <w:t>or</w:t>
      </w:r>
    </w:p>
    <w:p w14:paraId="7BFF846B" w14:textId="0087C519" w:rsidR="00535B96" w:rsidRPr="007A161D" w:rsidRDefault="00C1063D" w:rsidP="00B268B7">
      <w:pPr>
        <w:pStyle w:val="ListParagraph"/>
        <w:numPr>
          <w:ilvl w:val="0"/>
          <w:numId w:val="10"/>
        </w:numPr>
        <w:spacing w:after="0"/>
        <w:ind w:left="360"/>
        <w:rPr>
          <w:rFonts w:eastAsia="Times New Roman" w:cs="Times New Roman"/>
          <w:lang w:eastAsia="en-AU"/>
        </w:rPr>
      </w:pPr>
      <w:r w:rsidRPr="007A161D">
        <w:rPr>
          <w:rFonts w:eastAsia="Times New Roman" w:cs="Times New Roman"/>
          <w:lang w:eastAsia="en-AU"/>
        </w:rPr>
        <w:t xml:space="preserve">would be prevented by </w:t>
      </w:r>
      <w:r w:rsidR="00535B96" w:rsidRPr="007A161D">
        <w:rPr>
          <w:rFonts w:eastAsia="Times New Roman" w:cs="Times New Roman"/>
          <w:lang w:eastAsia="en-AU"/>
        </w:rPr>
        <w:t xml:space="preserve">Government </w:t>
      </w:r>
      <w:r w:rsidRPr="007A161D">
        <w:rPr>
          <w:rFonts w:eastAsia="Times New Roman" w:cs="Times New Roman"/>
          <w:lang w:eastAsia="en-AU"/>
        </w:rPr>
        <w:t>regulation</w:t>
      </w:r>
      <w:r w:rsidR="00AA6624" w:rsidRPr="007A161D">
        <w:rPr>
          <w:rFonts w:eastAsia="Times New Roman" w:cs="Times New Roman"/>
          <w:lang w:eastAsia="en-AU"/>
        </w:rPr>
        <w:t>.</w:t>
      </w:r>
    </w:p>
    <w:p w14:paraId="32F289D2" w14:textId="1D9DFD0E" w:rsidR="004B59EC" w:rsidRPr="002C734F" w:rsidRDefault="004B59EC" w:rsidP="00B268B7">
      <w:pPr>
        <w:spacing w:after="0"/>
        <w:rPr>
          <w:rFonts w:eastAsia="Times New Roman" w:cs="Times New Roman"/>
          <w:lang w:eastAsia="en-AU"/>
        </w:rPr>
      </w:pPr>
    </w:p>
    <w:p w14:paraId="5101CBAA" w14:textId="5F7DCE51" w:rsidR="004B59EC" w:rsidRPr="002C734F" w:rsidRDefault="009C4CAD" w:rsidP="00B268B7">
      <w:pPr>
        <w:spacing w:after="0"/>
        <w:rPr>
          <w:rFonts w:eastAsia="Times New Roman" w:cs="Times New Roman"/>
          <w:lang w:eastAsia="en-AU"/>
        </w:rPr>
      </w:pPr>
      <w:r>
        <w:rPr>
          <w:rFonts w:eastAsia="Times New Roman" w:cs="Times New Roman"/>
          <w:lang w:eastAsia="en-AU"/>
        </w:rPr>
        <w:t>B</w:t>
      </w:r>
      <w:r w:rsidR="004B59EC" w:rsidRPr="002C734F">
        <w:rPr>
          <w:rFonts w:eastAsia="Times New Roman" w:cs="Times New Roman"/>
          <w:lang w:eastAsia="en-AU"/>
        </w:rPr>
        <w:t xml:space="preserve">idders for Botany saw and acted as if </w:t>
      </w:r>
      <w:r w:rsidR="00E45E3B">
        <w:rPr>
          <w:rFonts w:eastAsia="Times New Roman" w:cs="Times New Roman"/>
          <w:lang w:eastAsia="en-AU"/>
        </w:rPr>
        <w:t xml:space="preserve">a </w:t>
      </w:r>
      <w:proofErr w:type="gramStart"/>
      <w:r w:rsidR="00E45E3B">
        <w:rPr>
          <w:rFonts w:eastAsia="Times New Roman" w:cs="Times New Roman"/>
          <w:lang w:eastAsia="en-AU"/>
        </w:rPr>
        <w:t>Government</w:t>
      </w:r>
      <w:proofErr w:type="gramEnd"/>
      <w:r w:rsidR="00080B77">
        <w:rPr>
          <w:rFonts w:eastAsia="Times New Roman" w:cs="Times New Roman"/>
          <w:lang w:eastAsia="en-AU"/>
        </w:rPr>
        <w:t>-</w:t>
      </w:r>
      <w:r w:rsidR="00E45E3B">
        <w:rPr>
          <w:rFonts w:eastAsia="Times New Roman" w:cs="Times New Roman"/>
          <w:lang w:eastAsia="en-AU"/>
        </w:rPr>
        <w:t xml:space="preserve">developed terminal at </w:t>
      </w:r>
      <w:r w:rsidR="004B59EC" w:rsidRPr="002C734F">
        <w:rPr>
          <w:rFonts w:eastAsia="Times New Roman" w:cs="Times New Roman"/>
          <w:lang w:eastAsia="en-AU"/>
        </w:rPr>
        <w:t xml:space="preserve">Newcastle </w:t>
      </w:r>
      <w:r w:rsidR="00106C53">
        <w:rPr>
          <w:rFonts w:eastAsia="Times New Roman" w:cs="Times New Roman"/>
          <w:lang w:eastAsia="en-AU"/>
        </w:rPr>
        <w:t>could be</w:t>
      </w:r>
      <w:r w:rsidR="004B59EC" w:rsidRPr="002C734F">
        <w:rPr>
          <w:rFonts w:eastAsia="Times New Roman" w:cs="Times New Roman"/>
          <w:lang w:eastAsia="en-AU"/>
        </w:rPr>
        <w:t xml:space="preserve"> a direct competitor.  The Government </w:t>
      </w:r>
      <w:r w:rsidR="00E45E3B">
        <w:rPr>
          <w:rFonts w:eastAsia="Times New Roman" w:cs="Times New Roman"/>
          <w:lang w:eastAsia="en-AU"/>
        </w:rPr>
        <w:t>went further acting as if any terminal in Newcastle could compete.</w:t>
      </w:r>
      <w:r w:rsidR="00C1063D" w:rsidRPr="002C734F">
        <w:rPr>
          <w:rFonts w:eastAsia="Times New Roman" w:cs="Times New Roman"/>
          <w:lang w:eastAsia="en-AU"/>
        </w:rPr>
        <w:t xml:space="preserve">  The </w:t>
      </w:r>
      <w:r w:rsidR="004B59EC" w:rsidRPr="002C734F">
        <w:rPr>
          <w:rFonts w:eastAsia="Times New Roman" w:cs="Times New Roman"/>
          <w:lang w:eastAsia="en-AU"/>
        </w:rPr>
        <w:t xml:space="preserve">proposition </w:t>
      </w:r>
      <w:r w:rsidR="001B1809">
        <w:rPr>
          <w:rFonts w:eastAsia="Times New Roman" w:cs="Times New Roman"/>
          <w:lang w:eastAsia="en-AU"/>
        </w:rPr>
        <w:t>Government</w:t>
      </w:r>
      <w:r w:rsidR="0086344F">
        <w:rPr>
          <w:rFonts w:eastAsia="Times New Roman" w:cs="Times New Roman"/>
          <w:lang w:eastAsia="en-AU"/>
        </w:rPr>
        <w:t xml:space="preserve"> actions were</w:t>
      </w:r>
      <w:r w:rsidR="004B59EC" w:rsidRPr="002C734F">
        <w:rPr>
          <w:rFonts w:eastAsia="Times New Roman" w:cs="Times New Roman"/>
          <w:lang w:eastAsia="en-AU"/>
        </w:rPr>
        <w:t xml:space="preserve"> </w:t>
      </w:r>
      <w:r w:rsidR="001B1809">
        <w:rPr>
          <w:rFonts w:eastAsia="Times New Roman" w:cs="Times New Roman"/>
          <w:lang w:eastAsia="en-AU"/>
        </w:rPr>
        <w:t>n</w:t>
      </w:r>
      <w:r w:rsidR="004B59EC" w:rsidRPr="002C734F">
        <w:rPr>
          <w:rFonts w:eastAsia="Times New Roman" w:cs="Times New Roman"/>
          <w:lang w:eastAsia="en-AU"/>
        </w:rPr>
        <w:t xml:space="preserve">ot anti-competitive resolves to a claim </w:t>
      </w:r>
      <w:r w:rsidR="001B1809">
        <w:rPr>
          <w:rFonts w:eastAsia="Times New Roman" w:cs="Times New Roman"/>
          <w:lang w:eastAsia="en-AU"/>
        </w:rPr>
        <w:t xml:space="preserve">its </w:t>
      </w:r>
      <w:r w:rsidR="004B59EC" w:rsidRPr="002C734F">
        <w:rPr>
          <w:rFonts w:eastAsia="Times New Roman" w:cs="Times New Roman"/>
          <w:lang w:eastAsia="en-AU"/>
        </w:rPr>
        <w:t xml:space="preserve">views </w:t>
      </w:r>
      <w:r w:rsidR="007E11BC">
        <w:rPr>
          <w:rFonts w:eastAsia="Times New Roman" w:cs="Times New Roman"/>
          <w:lang w:eastAsia="en-AU"/>
        </w:rPr>
        <w:t xml:space="preserve">conflicted </w:t>
      </w:r>
      <w:r w:rsidR="004B59EC" w:rsidRPr="002C734F">
        <w:rPr>
          <w:rFonts w:eastAsia="Times New Roman" w:cs="Times New Roman"/>
          <w:lang w:eastAsia="en-AU"/>
        </w:rPr>
        <w:t xml:space="preserve">with </w:t>
      </w:r>
      <w:r w:rsidR="007A7DDF" w:rsidRPr="002C734F">
        <w:rPr>
          <w:rFonts w:eastAsia="Times New Roman" w:cs="Times New Roman"/>
          <w:lang w:eastAsia="en-AU"/>
        </w:rPr>
        <w:t>its</w:t>
      </w:r>
      <w:r w:rsidR="004B59EC" w:rsidRPr="002C734F">
        <w:rPr>
          <w:rFonts w:eastAsia="Times New Roman" w:cs="Times New Roman"/>
          <w:lang w:eastAsia="en-AU"/>
        </w:rPr>
        <w:t xml:space="preserve"> actions</w:t>
      </w:r>
      <w:r w:rsidR="00C1063D" w:rsidRPr="002C734F">
        <w:rPr>
          <w:rFonts w:eastAsia="Times New Roman" w:cs="Times New Roman"/>
          <w:lang w:eastAsia="en-AU"/>
        </w:rPr>
        <w:t xml:space="preserve"> – and </w:t>
      </w:r>
      <w:r w:rsidR="0086344F">
        <w:rPr>
          <w:rFonts w:eastAsia="Times New Roman" w:cs="Times New Roman"/>
          <w:lang w:eastAsia="en-AU"/>
        </w:rPr>
        <w:t xml:space="preserve">with </w:t>
      </w:r>
      <w:r w:rsidR="00C1063D" w:rsidRPr="002C734F">
        <w:rPr>
          <w:rFonts w:eastAsia="Times New Roman" w:cs="Times New Roman"/>
          <w:lang w:eastAsia="en-AU"/>
        </w:rPr>
        <w:t>the words and actions of bidders</w:t>
      </w:r>
      <w:r w:rsidR="0086344F">
        <w:rPr>
          <w:rFonts w:eastAsia="Times New Roman" w:cs="Times New Roman"/>
          <w:lang w:eastAsia="en-AU"/>
        </w:rPr>
        <w:t xml:space="preserve"> who, being market participants, held more knowledge of relevant matters.</w:t>
      </w:r>
      <w:r w:rsidR="004B59EC" w:rsidRPr="002C734F">
        <w:rPr>
          <w:rFonts w:eastAsia="Times New Roman" w:cs="Times New Roman"/>
          <w:lang w:eastAsia="en-AU"/>
        </w:rPr>
        <w:t xml:space="preserve"> </w:t>
      </w:r>
    </w:p>
    <w:p w14:paraId="3303F17C" w14:textId="76315B34" w:rsidR="004B59EC" w:rsidRPr="002C734F" w:rsidRDefault="004B59EC" w:rsidP="00B268B7">
      <w:pPr>
        <w:spacing w:after="0"/>
        <w:rPr>
          <w:rFonts w:eastAsia="Times New Roman" w:cs="Times New Roman"/>
          <w:lang w:eastAsia="en-AU"/>
        </w:rPr>
      </w:pPr>
    </w:p>
    <w:p w14:paraId="6309771B" w14:textId="0AD28A01" w:rsidR="00106C53" w:rsidRDefault="004B59EC" w:rsidP="00B268B7">
      <w:pPr>
        <w:spacing w:after="0"/>
        <w:rPr>
          <w:rFonts w:eastAsia="Times New Roman" w:cs="Times New Roman"/>
          <w:lang w:eastAsia="en-AU"/>
        </w:rPr>
      </w:pPr>
      <w:r w:rsidRPr="002C734F">
        <w:rPr>
          <w:rFonts w:eastAsia="Times New Roman" w:cs="Times New Roman"/>
          <w:lang w:eastAsia="en-AU"/>
        </w:rPr>
        <w:t xml:space="preserve">Even </w:t>
      </w:r>
      <w:r w:rsidR="001767B2">
        <w:rPr>
          <w:rFonts w:eastAsia="Times New Roman" w:cs="Times New Roman"/>
          <w:lang w:eastAsia="en-AU"/>
        </w:rPr>
        <w:t xml:space="preserve">were </w:t>
      </w:r>
      <w:r w:rsidR="0099771C">
        <w:rPr>
          <w:rFonts w:eastAsia="Times New Roman" w:cs="Times New Roman"/>
          <w:lang w:eastAsia="en-AU"/>
        </w:rPr>
        <w:t xml:space="preserve">the Government’s ‘no potential </w:t>
      </w:r>
      <w:r w:rsidR="007E11BC">
        <w:rPr>
          <w:rFonts w:eastAsia="Times New Roman" w:cs="Times New Roman"/>
          <w:lang w:eastAsia="en-AU"/>
        </w:rPr>
        <w:t xml:space="preserve">for </w:t>
      </w:r>
      <w:r w:rsidR="0099771C">
        <w:rPr>
          <w:rFonts w:eastAsia="Times New Roman" w:cs="Times New Roman"/>
          <w:lang w:eastAsia="en-AU"/>
        </w:rPr>
        <w:t>competition’</w:t>
      </w:r>
      <w:r w:rsidR="0086344F">
        <w:rPr>
          <w:rFonts w:eastAsia="Times New Roman" w:cs="Times New Roman"/>
          <w:lang w:eastAsia="en-AU"/>
        </w:rPr>
        <w:t xml:space="preserve"> claim</w:t>
      </w:r>
      <w:r w:rsidRPr="002C734F">
        <w:rPr>
          <w:rFonts w:eastAsia="Times New Roman" w:cs="Times New Roman"/>
          <w:lang w:eastAsia="en-AU"/>
        </w:rPr>
        <w:t xml:space="preserve"> </w:t>
      </w:r>
      <w:r w:rsidR="009C4CAD">
        <w:rPr>
          <w:rFonts w:eastAsia="Times New Roman" w:cs="Times New Roman"/>
          <w:lang w:eastAsia="en-AU"/>
        </w:rPr>
        <w:t xml:space="preserve">believed </w:t>
      </w:r>
      <w:r w:rsidR="007E11BC">
        <w:rPr>
          <w:rFonts w:eastAsia="Times New Roman" w:cs="Times New Roman"/>
          <w:lang w:eastAsia="en-AU"/>
        </w:rPr>
        <w:t>at</w:t>
      </w:r>
      <w:r w:rsidRPr="002C734F">
        <w:rPr>
          <w:rFonts w:eastAsia="Times New Roman" w:cs="Times New Roman"/>
          <w:lang w:eastAsia="en-AU"/>
        </w:rPr>
        <w:t xml:space="preserve"> the time of the transaction</w:t>
      </w:r>
      <w:r w:rsidR="00C11760">
        <w:rPr>
          <w:rFonts w:eastAsia="Times New Roman" w:cs="Times New Roman"/>
          <w:lang w:eastAsia="en-AU"/>
        </w:rPr>
        <w:t xml:space="preserve"> in</w:t>
      </w:r>
      <w:r w:rsidRPr="002C734F">
        <w:rPr>
          <w:rFonts w:eastAsia="Times New Roman" w:cs="Times New Roman"/>
          <w:lang w:eastAsia="en-AU"/>
        </w:rPr>
        <w:t xml:space="preserve"> </w:t>
      </w:r>
      <w:r w:rsidR="0086344F">
        <w:rPr>
          <w:rFonts w:eastAsia="Times New Roman" w:cs="Times New Roman"/>
          <w:lang w:eastAsia="en-AU"/>
        </w:rPr>
        <w:t>2013</w:t>
      </w:r>
      <w:r w:rsidR="0099771C">
        <w:rPr>
          <w:rFonts w:eastAsia="Times New Roman" w:cs="Times New Roman"/>
          <w:lang w:eastAsia="en-AU"/>
        </w:rPr>
        <w:t>,</w:t>
      </w:r>
      <w:r w:rsidRPr="002C734F">
        <w:rPr>
          <w:rFonts w:eastAsia="Times New Roman" w:cs="Times New Roman"/>
          <w:lang w:eastAsia="en-AU"/>
        </w:rPr>
        <w:t xml:space="preserve"> </w:t>
      </w:r>
      <w:r w:rsidR="00106C53">
        <w:rPr>
          <w:rFonts w:eastAsia="Times New Roman" w:cs="Times New Roman"/>
          <w:lang w:eastAsia="en-AU"/>
        </w:rPr>
        <w:t xml:space="preserve">the differences between </w:t>
      </w:r>
      <w:r w:rsidRPr="002C734F">
        <w:rPr>
          <w:rFonts w:eastAsia="Times New Roman" w:cs="Times New Roman"/>
          <w:lang w:eastAsia="en-AU"/>
        </w:rPr>
        <w:t>Government</w:t>
      </w:r>
      <w:r w:rsidR="00106C53">
        <w:rPr>
          <w:rFonts w:eastAsia="Times New Roman" w:cs="Times New Roman"/>
          <w:lang w:eastAsia="en-AU"/>
        </w:rPr>
        <w:t xml:space="preserve"> and </w:t>
      </w:r>
      <w:r w:rsidRPr="002C734F">
        <w:rPr>
          <w:rFonts w:eastAsia="Times New Roman" w:cs="Times New Roman"/>
          <w:lang w:eastAsia="en-AU"/>
        </w:rPr>
        <w:t>(former) bidder view</w:t>
      </w:r>
      <w:r w:rsidR="00106C53">
        <w:rPr>
          <w:rFonts w:eastAsia="Times New Roman" w:cs="Times New Roman"/>
          <w:lang w:eastAsia="en-AU"/>
        </w:rPr>
        <w:t>s</w:t>
      </w:r>
      <w:r w:rsidRPr="002C734F">
        <w:rPr>
          <w:rFonts w:eastAsia="Times New Roman" w:cs="Times New Roman"/>
          <w:lang w:eastAsia="en-AU"/>
        </w:rPr>
        <w:t xml:space="preserve"> would have narrowed </w:t>
      </w:r>
      <w:r w:rsidR="008B421D">
        <w:rPr>
          <w:rFonts w:eastAsia="Times New Roman" w:cs="Times New Roman"/>
          <w:lang w:eastAsia="en-AU"/>
        </w:rPr>
        <w:t>subsequently</w:t>
      </w:r>
      <w:r w:rsidRPr="002C734F">
        <w:rPr>
          <w:rFonts w:eastAsia="Times New Roman" w:cs="Times New Roman"/>
          <w:lang w:eastAsia="en-AU"/>
        </w:rPr>
        <w:t xml:space="preserve">.  </w:t>
      </w:r>
    </w:p>
    <w:p w14:paraId="13D9B94C" w14:textId="77777777" w:rsidR="001767B2" w:rsidRDefault="001767B2" w:rsidP="00B268B7">
      <w:pPr>
        <w:spacing w:after="0"/>
        <w:rPr>
          <w:rFonts w:eastAsia="Times New Roman" w:cs="Times New Roman"/>
          <w:lang w:eastAsia="en-AU"/>
        </w:rPr>
      </w:pPr>
    </w:p>
    <w:p w14:paraId="19574104" w14:textId="732A3AB9" w:rsidR="004B59EC" w:rsidRDefault="008B421D" w:rsidP="00B268B7">
      <w:pPr>
        <w:spacing w:after="0"/>
        <w:rPr>
          <w:rFonts w:eastAsia="Times New Roman" w:cs="Times New Roman"/>
          <w:lang w:eastAsia="en-AU"/>
        </w:rPr>
      </w:pPr>
      <w:r>
        <w:rPr>
          <w:rFonts w:eastAsia="Times New Roman" w:cs="Times New Roman"/>
          <w:lang w:eastAsia="en-AU"/>
        </w:rPr>
        <w:t xml:space="preserve">Up to the present, Government behaviour continues to be </w:t>
      </w:r>
      <w:r w:rsidR="007E11BC">
        <w:rPr>
          <w:rFonts w:eastAsia="Times New Roman" w:cs="Times New Roman"/>
          <w:lang w:eastAsia="en-AU"/>
        </w:rPr>
        <w:t>in</w:t>
      </w:r>
      <w:r>
        <w:rPr>
          <w:rFonts w:eastAsia="Times New Roman" w:cs="Times New Roman"/>
          <w:lang w:eastAsia="en-AU"/>
        </w:rPr>
        <w:t xml:space="preserve">consistent with </w:t>
      </w:r>
      <w:r w:rsidR="00C11760">
        <w:rPr>
          <w:rFonts w:eastAsia="Times New Roman" w:cs="Times New Roman"/>
          <w:lang w:eastAsia="en-AU"/>
        </w:rPr>
        <w:t>believing</w:t>
      </w:r>
      <w:r>
        <w:rPr>
          <w:rFonts w:eastAsia="Times New Roman" w:cs="Times New Roman"/>
          <w:lang w:eastAsia="en-AU"/>
        </w:rPr>
        <w:t xml:space="preserve"> Newcastle </w:t>
      </w:r>
      <w:r w:rsidR="0099771C">
        <w:rPr>
          <w:rFonts w:eastAsia="Times New Roman" w:cs="Times New Roman"/>
          <w:lang w:eastAsia="en-AU"/>
        </w:rPr>
        <w:t>c</w:t>
      </w:r>
      <w:r>
        <w:rPr>
          <w:rFonts w:eastAsia="Times New Roman" w:cs="Times New Roman"/>
          <w:lang w:eastAsia="en-AU"/>
        </w:rPr>
        <w:t xml:space="preserve">ould </w:t>
      </w:r>
      <w:r w:rsidR="007E11BC">
        <w:rPr>
          <w:rFonts w:eastAsia="Times New Roman" w:cs="Times New Roman"/>
          <w:lang w:eastAsia="en-AU"/>
        </w:rPr>
        <w:t xml:space="preserve">not </w:t>
      </w:r>
      <w:r>
        <w:rPr>
          <w:rFonts w:eastAsia="Times New Roman" w:cs="Times New Roman"/>
          <w:lang w:eastAsia="en-AU"/>
        </w:rPr>
        <w:t>compete with Botany.  Th</w:t>
      </w:r>
      <w:r w:rsidR="001767B2">
        <w:rPr>
          <w:rFonts w:eastAsia="Times New Roman" w:cs="Times New Roman"/>
          <w:lang w:eastAsia="en-AU"/>
        </w:rPr>
        <w:t>e Government</w:t>
      </w:r>
      <w:r w:rsidR="00C1063D" w:rsidRPr="002C734F">
        <w:rPr>
          <w:rFonts w:eastAsia="Times New Roman" w:cs="Times New Roman"/>
          <w:lang w:eastAsia="en-AU"/>
        </w:rPr>
        <w:t xml:space="preserve"> has</w:t>
      </w:r>
      <w:r>
        <w:rPr>
          <w:rFonts w:eastAsia="Times New Roman" w:cs="Times New Roman"/>
          <w:lang w:eastAsia="en-AU"/>
        </w:rPr>
        <w:t xml:space="preserve"> </w:t>
      </w:r>
      <w:r w:rsidR="00E05D71" w:rsidRPr="002C734F">
        <w:rPr>
          <w:rFonts w:eastAsia="Times New Roman" w:cs="Times New Roman"/>
          <w:lang w:eastAsia="en-AU"/>
        </w:rPr>
        <w:t xml:space="preserve">ardently </w:t>
      </w:r>
      <w:r w:rsidR="00C1063D" w:rsidRPr="002C734F">
        <w:rPr>
          <w:rFonts w:eastAsia="Times New Roman" w:cs="Times New Roman"/>
          <w:lang w:eastAsia="en-AU"/>
        </w:rPr>
        <w:t>defended mechanisms to artificially prevent co</w:t>
      </w:r>
      <w:r>
        <w:rPr>
          <w:rFonts w:eastAsia="Times New Roman" w:cs="Times New Roman"/>
          <w:lang w:eastAsia="en-AU"/>
        </w:rPr>
        <w:t>mpetition</w:t>
      </w:r>
      <w:r w:rsidR="004B59EC" w:rsidRPr="002C734F">
        <w:rPr>
          <w:rFonts w:eastAsia="Times New Roman" w:cs="Times New Roman"/>
          <w:lang w:eastAsia="en-AU"/>
        </w:rPr>
        <w:t>.</w:t>
      </w:r>
      <w:r>
        <w:rPr>
          <w:rFonts w:eastAsia="Times New Roman" w:cs="Times New Roman"/>
          <w:lang w:eastAsia="en-AU"/>
        </w:rPr>
        <w:t xml:space="preserve">  </w:t>
      </w:r>
    </w:p>
    <w:p w14:paraId="435F05CD" w14:textId="2F6E5587" w:rsidR="001767B2" w:rsidRDefault="001767B2" w:rsidP="00B268B7">
      <w:pPr>
        <w:spacing w:after="0"/>
        <w:rPr>
          <w:rFonts w:eastAsia="Times New Roman" w:cs="Times New Roman"/>
          <w:lang w:eastAsia="en-AU"/>
        </w:rPr>
      </w:pPr>
    </w:p>
    <w:p w14:paraId="36D3DD88" w14:textId="43D1CE9D" w:rsidR="001767B2" w:rsidRDefault="001767B2" w:rsidP="00B268B7">
      <w:pPr>
        <w:pStyle w:val="Heading4"/>
        <w:spacing w:before="0"/>
        <w:rPr>
          <w:rFonts w:eastAsia="Times New Roman"/>
          <w:lang w:eastAsia="en-AU"/>
        </w:rPr>
      </w:pPr>
      <w:r>
        <w:rPr>
          <w:rFonts w:eastAsia="Times New Roman"/>
          <w:lang w:eastAsia="en-AU"/>
        </w:rPr>
        <w:t>4.</w:t>
      </w:r>
      <w:r w:rsidR="00815D0A">
        <w:rPr>
          <w:rFonts w:eastAsia="Times New Roman"/>
          <w:lang w:eastAsia="en-AU"/>
        </w:rPr>
        <w:t>1</w:t>
      </w:r>
      <w:r>
        <w:rPr>
          <w:rFonts w:eastAsia="Times New Roman"/>
          <w:lang w:eastAsia="en-AU"/>
        </w:rPr>
        <w:t>.</w:t>
      </w:r>
      <w:r w:rsidR="00E45E3B">
        <w:rPr>
          <w:rFonts w:eastAsia="Times New Roman"/>
          <w:lang w:eastAsia="en-AU"/>
        </w:rPr>
        <w:t>3</w:t>
      </w:r>
      <w:r>
        <w:rPr>
          <w:rFonts w:eastAsia="Times New Roman"/>
          <w:lang w:eastAsia="en-AU"/>
        </w:rPr>
        <w:tab/>
        <w:t xml:space="preserve">Purpose of </w:t>
      </w:r>
      <w:r w:rsidR="00FE3E2B">
        <w:rPr>
          <w:rFonts w:eastAsia="Times New Roman"/>
          <w:lang w:eastAsia="en-AU"/>
        </w:rPr>
        <w:t>penalty-</w:t>
      </w:r>
      <w:r>
        <w:rPr>
          <w:rFonts w:eastAsia="Times New Roman"/>
          <w:lang w:eastAsia="en-AU"/>
        </w:rPr>
        <w:t>compensation</w:t>
      </w:r>
    </w:p>
    <w:p w14:paraId="7A45E588" w14:textId="42BACC70" w:rsidR="005C29F3" w:rsidRDefault="007A161D" w:rsidP="00B268B7">
      <w:pPr>
        <w:spacing w:after="0"/>
        <w:rPr>
          <w:rFonts w:eastAsia="Times New Roman" w:cs="Times New Roman"/>
          <w:lang w:eastAsia="en-AU"/>
        </w:rPr>
      </w:pPr>
      <w:r>
        <w:rPr>
          <w:rFonts w:eastAsia="Times New Roman" w:cs="Times New Roman"/>
          <w:lang w:eastAsia="en-AU"/>
        </w:rPr>
        <w:t xml:space="preserve">The </w:t>
      </w:r>
      <w:r w:rsidR="001767B2">
        <w:rPr>
          <w:rFonts w:eastAsia="Times New Roman" w:cs="Times New Roman"/>
          <w:lang w:eastAsia="en-AU"/>
        </w:rPr>
        <w:t>C</w:t>
      </w:r>
      <w:r>
        <w:rPr>
          <w:rFonts w:eastAsia="Times New Roman" w:cs="Times New Roman"/>
          <w:lang w:eastAsia="en-AU"/>
        </w:rPr>
        <w:t xml:space="preserve">ourt </w:t>
      </w:r>
      <w:r w:rsidR="008B421D">
        <w:rPr>
          <w:rFonts w:eastAsia="Times New Roman" w:cs="Times New Roman"/>
          <w:lang w:eastAsia="en-AU"/>
        </w:rPr>
        <w:t xml:space="preserve">said </w:t>
      </w:r>
      <w:r>
        <w:rPr>
          <w:rFonts w:eastAsia="Times New Roman" w:cs="Times New Roman"/>
          <w:lang w:eastAsia="en-AU"/>
        </w:rPr>
        <w:t xml:space="preserve">the purpose of the compensation provisions was to </w:t>
      </w:r>
      <w:r w:rsidR="0099771C">
        <w:rPr>
          <w:rFonts w:eastAsia="Times New Roman" w:cs="Times New Roman"/>
          <w:lang w:eastAsia="en-AU"/>
        </w:rPr>
        <w:t>prevent</w:t>
      </w:r>
      <w:r w:rsidR="00825938">
        <w:rPr>
          <w:rFonts w:eastAsia="Times New Roman" w:cs="Times New Roman"/>
          <w:lang w:eastAsia="en-AU"/>
        </w:rPr>
        <w:t xml:space="preserve"> reduc</w:t>
      </w:r>
      <w:r w:rsidR="0099771C">
        <w:rPr>
          <w:rFonts w:eastAsia="Times New Roman" w:cs="Times New Roman"/>
          <w:lang w:eastAsia="en-AU"/>
        </w:rPr>
        <w:t>tion of</w:t>
      </w:r>
      <w:r w:rsidR="00825938">
        <w:rPr>
          <w:rFonts w:eastAsia="Times New Roman" w:cs="Times New Roman"/>
          <w:lang w:eastAsia="en-AU"/>
        </w:rPr>
        <w:t xml:space="preserve"> revenue from the </w:t>
      </w:r>
      <w:r>
        <w:rPr>
          <w:rFonts w:eastAsia="Times New Roman" w:cs="Times New Roman"/>
          <w:lang w:eastAsia="en-AU"/>
        </w:rPr>
        <w:t xml:space="preserve">Botany sale rather than protect </w:t>
      </w:r>
      <w:r w:rsidR="00825938">
        <w:rPr>
          <w:rFonts w:eastAsia="Times New Roman" w:cs="Times New Roman"/>
          <w:lang w:eastAsia="en-AU"/>
        </w:rPr>
        <w:t>Botany</w:t>
      </w:r>
      <w:r>
        <w:rPr>
          <w:rFonts w:eastAsia="Times New Roman" w:cs="Times New Roman"/>
          <w:lang w:eastAsia="en-AU"/>
        </w:rPr>
        <w:t xml:space="preserve"> from competition.  </w:t>
      </w:r>
      <w:r w:rsidR="005C29F3">
        <w:rPr>
          <w:rFonts w:eastAsia="Times New Roman" w:cs="Times New Roman"/>
          <w:lang w:eastAsia="en-AU"/>
        </w:rPr>
        <w:t xml:space="preserve">  </w:t>
      </w:r>
      <w:r w:rsidR="00E45E3B">
        <w:rPr>
          <w:rFonts w:eastAsia="Times New Roman" w:cs="Times New Roman"/>
          <w:lang w:eastAsia="en-AU"/>
        </w:rPr>
        <w:t>To do so it drew a difference between that purpose and the Government’s motive – to maximise profit.</w:t>
      </w:r>
      <w:r w:rsidR="00AE7FBE">
        <w:rPr>
          <w:rStyle w:val="FootnoteReference"/>
          <w:rFonts w:eastAsia="Times New Roman" w:cs="Times New Roman"/>
          <w:lang w:eastAsia="en-AU"/>
        </w:rPr>
        <w:footnoteReference w:id="12"/>
      </w:r>
    </w:p>
    <w:p w14:paraId="5ED8F0CC" w14:textId="77777777" w:rsidR="005C29F3" w:rsidRDefault="005C29F3" w:rsidP="00B268B7">
      <w:pPr>
        <w:spacing w:after="0"/>
        <w:rPr>
          <w:rFonts w:eastAsia="Times New Roman" w:cs="Times New Roman"/>
          <w:lang w:eastAsia="en-AU"/>
        </w:rPr>
      </w:pPr>
    </w:p>
    <w:p w14:paraId="27BEDBD1" w14:textId="77777777" w:rsidR="00E45E3B" w:rsidRDefault="002C049B" w:rsidP="00B268B7">
      <w:pPr>
        <w:spacing w:after="0"/>
        <w:rPr>
          <w:rFonts w:eastAsia="Times New Roman" w:cs="Times New Roman"/>
          <w:lang w:eastAsia="en-AU"/>
        </w:rPr>
      </w:pPr>
      <w:r>
        <w:rPr>
          <w:rFonts w:eastAsia="Times New Roman" w:cs="Times New Roman"/>
          <w:lang w:eastAsia="en-AU"/>
        </w:rPr>
        <w:t>That does not make sense.</w:t>
      </w:r>
      <w:r w:rsidR="00E45E3B">
        <w:rPr>
          <w:rFonts w:eastAsia="Times New Roman" w:cs="Times New Roman"/>
          <w:lang w:eastAsia="en-AU"/>
        </w:rPr>
        <w:t xml:space="preserve">  </w:t>
      </w:r>
    </w:p>
    <w:p w14:paraId="0A3AA1B7" w14:textId="77777777" w:rsidR="00E45E3B" w:rsidRDefault="00E45E3B" w:rsidP="00B268B7">
      <w:pPr>
        <w:spacing w:after="0"/>
        <w:rPr>
          <w:rFonts w:eastAsia="Times New Roman" w:cs="Times New Roman"/>
          <w:lang w:eastAsia="en-AU"/>
        </w:rPr>
      </w:pPr>
    </w:p>
    <w:p w14:paraId="3D1E2EC0" w14:textId="3D294604" w:rsidR="002C049B" w:rsidRDefault="00E45E3B" w:rsidP="00B268B7">
      <w:pPr>
        <w:spacing w:after="0"/>
        <w:rPr>
          <w:rFonts w:eastAsia="Times New Roman" w:cs="Times New Roman"/>
          <w:lang w:eastAsia="en-AU"/>
        </w:rPr>
      </w:pPr>
      <w:r>
        <w:rPr>
          <w:rFonts w:eastAsia="Times New Roman" w:cs="Times New Roman"/>
          <w:lang w:eastAsia="en-AU"/>
        </w:rPr>
        <w:t>For a start, it may not have been necessary to go to the lengths of compensating bidders for any competition from Newcastle, as their concern was a terminal developed by the Government.  This suggests Government or bureaucratic motive</w:t>
      </w:r>
      <w:r w:rsidR="00C4632B">
        <w:rPr>
          <w:rFonts w:eastAsia="Times New Roman" w:cs="Times New Roman"/>
          <w:lang w:eastAsia="en-AU"/>
        </w:rPr>
        <w:t>s</w:t>
      </w:r>
      <w:r>
        <w:rPr>
          <w:rFonts w:eastAsia="Times New Roman" w:cs="Times New Roman"/>
          <w:lang w:eastAsia="en-AU"/>
        </w:rPr>
        <w:t xml:space="preserve"> beyond profit maximisation.  </w:t>
      </w:r>
      <w:r w:rsidR="002C049B">
        <w:rPr>
          <w:rFonts w:eastAsia="Times New Roman" w:cs="Times New Roman"/>
          <w:lang w:eastAsia="en-AU"/>
        </w:rPr>
        <w:t xml:space="preserve">  </w:t>
      </w:r>
    </w:p>
    <w:p w14:paraId="1B9605AF" w14:textId="77777777" w:rsidR="00B268B7" w:rsidRDefault="00B268B7" w:rsidP="00B268B7">
      <w:pPr>
        <w:spacing w:after="0"/>
        <w:rPr>
          <w:rFonts w:eastAsia="Times New Roman" w:cs="Times New Roman"/>
          <w:lang w:eastAsia="en-AU"/>
        </w:rPr>
      </w:pPr>
    </w:p>
    <w:p w14:paraId="25C48B82" w14:textId="3335D15B" w:rsidR="007E11BC" w:rsidRDefault="00E45E3B" w:rsidP="00B268B7">
      <w:pPr>
        <w:spacing w:after="0"/>
        <w:rPr>
          <w:rFonts w:eastAsia="Times New Roman" w:cs="Times New Roman"/>
          <w:lang w:eastAsia="en-AU"/>
        </w:rPr>
      </w:pPr>
      <w:r>
        <w:rPr>
          <w:rFonts w:eastAsia="Times New Roman" w:cs="Times New Roman"/>
          <w:lang w:eastAsia="en-AU"/>
        </w:rPr>
        <w:t>More basically, t</w:t>
      </w:r>
      <w:r w:rsidR="001767B2">
        <w:rPr>
          <w:rFonts w:eastAsia="Times New Roman" w:cs="Times New Roman"/>
          <w:lang w:eastAsia="en-AU"/>
        </w:rPr>
        <w:t xml:space="preserve">he </w:t>
      </w:r>
      <w:r w:rsidR="002C049B">
        <w:rPr>
          <w:rFonts w:eastAsia="Times New Roman" w:cs="Times New Roman"/>
          <w:lang w:eastAsia="en-AU"/>
        </w:rPr>
        <w:t xml:space="preserve">threat to </w:t>
      </w:r>
      <w:r w:rsidR="007E11BC">
        <w:rPr>
          <w:rFonts w:eastAsia="Times New Roman" w:cs="Times New Roman"/>
          <w:lang w:eastAsia="en-AU"/>
        </w:rPr>
        <w:t xml:space="preserve">Botany </w:t>
      </w:r>
      <w:r w:rsidR="002C049B">
        <w:rPr>
          <w:rFonts w:eastAsia="Times New Roman" w:cs="Times New Roman"/>
          <w:lang w:eastAsia="en-AU"/>
        </w:rPr>
        <w:t xml:space="preserve">sale revenue arose from the threat to Botany of competition from Newcastle.  The threat of competition was perceived notwithstanding existing NSW policy and regulatory potential.  The </w:t>
      </w:r>
      <w:r w:rsidR="007A161D" w:rsidRPr="007A161D">
        <w:rPr>
          <w:rFonts w:eastAsia="Times New Roman" w:cs="Times New Roman"/>
          <w:lang w:eastAsia="en-AU"/>
        </w:rPr>
        <w:t>only</w:t>
      </w:r>
      <w:r w:rsidR="001767B2">
        <w:rPr>
          <w:rFonts w:eastAsia="Times New Roman" w:cs="Times New Roman"/>
          <w:lang w:eastAsia="en-AU"/>
        </w:rPr>
        <w:t xml:space="preserve"> </w:t>
      </w:r>
      <w:r w:rsidR="002C049B">
        <w:rPr>
          <w:rFonts w:eastAsia="Times New Roman" w:cs="Times New Roman"/>
          <w:lang w:eastAsia="en-AU"/>
        </w:rPr>
        <w:t xml:space="preserve">way to prevent reduction of </w:t>
      </w:r>
      <w:r w:rsidR="007A161D" w:rsidRPr="007A161D">
        <w:rPr>
          <w:rFonts w:eastAsia="Times New Roman" w:cs="Times New Roman"/>
          <w:lang w:eastAsia="en-AU"/>
        </w:rPr>
        <w:t xml:space="preserve">the Botany sale </w:t>
      </w:r>
      <w:r w:rsidR="001767B2">
        <w:rPr>
          <w:rFonts w:eastAsia="Times New Roman" w:cs="Times New Roman"/>
          <w:lang w:eastAsia="en-AU"/>
        </w:rPr>
        <w:t>revenue w</w:t>
      </w:r>
      <w:r w:rsidR="008B421D">
        <w:rPr>
          <w:rFonts w:eastAsia="Times New Roman" w:cs="Times New Roman"/>
          <w:lang w:eastAsia="en-AU"/>
        </w:rPr>
        <w:t>as</w:t>
      </w:r>
      <w:r w:rsidR="001767B2">
        <w:rPr>
          <w:rFonts w:eastAsia="Times New Roman" w:cs="Times New Roman"/>
          <w:lang w:eastAsia="en-AU"/>
        </w:rPr>
        <w:t xml:space="preserve"> to reduce the threat of competition</w:t>
      </w:r>
      <w:r w:rsidR="002C049B">
        <w:rPr>
          <w:rFonts w:eastAsia="Times New Roman" w:cs="Times New Roman"/>
          <w:lang w:eastAsia="en-AU"/>
        </w:rPr>
        <w:t xml:space="preserve"> by </w:t>
      </w:r>
      <w:r w:rsidR="007E11BC">
        <w:rPr>
          <w:rFonts w:eastAsia="Times New Roman" w:cs="Times New Roman"/>
          <w:lang w:eastAsia="en-AU"/>
        </w:rPr>
        <w:t>new</w:t>
      </w:r>
      <w:r w:rsidR="002C049B">
        <w:rPr>
          <w:rFonts w:eastAsia="Times New Roman" w:cs="Times New Roman"/>
          <w:lang w:eastAsia="en-AU"/>
        </w:rPr>
        <w:t xml:space="preserve"> mechanisms.  </w:t>
      </w:r>
      <w:r w:rsidR="001767B2">
        <w:rPr>
          <w:rFonts w:eastAsia="Times New Roman" w:cs="Times New Roman"/>
          <w:lang w:eastAsia="en-AU"/>
        </w:rPr>
        <w:t xml:space="preserve"> </w:t>
      </w:r>
    </w:p>
    <w:p w14:paraId="352F11F5" w14:textId="77777777" w:rsidR="007E11BC" w:rsidRDefault="007E11BC" w:rsidP="00B268B7">
      <w:pPr>
        <w:spacing w:after="0"/>
        <w:rPr>
          <w:rFonts w:eastAsia="Times New Roman" w:cs="Times New Roman"/>
          <w:lang w:eastAsia="en-AU"/>
        </w:rPr>
      </w:pPr>
    </w:p>
    <w:p w14:paraId="02978E98" w14:textId="162377C8" w:rsidR="001767B2" w:rsidRDefault="005C29F3" w:rsidP="00B268B7">
      <w:pPr>
        <w:spacing w:after="0"/>
        <w:rPr>
          <w:rFonts w:eastAsia="Times New Roman" w:cs="Times New Roman"/>
          <w:lang w:eastAsia="en-AU"/>
        </w:rPr>
      </w:pPr>
      <w:r>
        <w:rPr>
          <w:rFonts w:eastAsia="Times New Roman" w:cs="Times New Roman"/>
          <w:lang w:eastAsia="en-AU"/>
        </w:rPr>
        <w:t>T</w:t>
      </w:r>
      <w:r w:rsidR="007A161D" w:rsidRPr="007A161D">
        <w:rPr>
          <w:rFonts w:eastAsia="Times New Roman" w:cs="Times New Roman"/>
          <w:lang w:eastAsia="en-AU"/>
        </w:rPr>
        <w:t xml:space="preserve">he fact of </w:t>
      </w:r>
      <w:r>
        <w:rPr>
          <w:rFonts w:eastAsia="Times New Roman" w:cs="Times New Roman"/>
          <w:lang w:eastAsia="en-AU"/>
        </w:rPr>
        <w:t xml:space="preserve">an offer of </w:t>
      </w:r>
      <w:r w:rsidR="007A161D" w:rsidRPr="007A161D">
        <w:rPr>
          <w:rFonts w:eastAsia="Times New Roman" w:cs="Times New Roman"/>
          <w:lang w:eastAsia="en-AU"/>
        </w:rPr>
        <w:t xml:space="preserve">compensation </w:t>
      </w:r>
      <w:r w:rsidR="001767B2">
        <w:rPr>
          <w:rFonts w:eastAsia="Times New Roman" w:cs="Times New Roman"/>
          <w:lang w:eastAsia="en-AU"/>
        </w:rPr>
        <w:t xml:space="preserve">to Botany bidders </w:t>
      </w:r>
      <w:r w:rsidR="007E11BC">
        <w:rPr>
          <w:rFonts w:eastAsia="Times New Roman" w:cs="Times New Roman"/>
          <w:lang w:eastAsia="en-AU"/>
        </w:rPr>
        <w:t>proves</w:t>
      </w:r>
      <w:r w:rsidR="007A161D" w:rsidRPr="007A161D">
        <w:rPr>
          <w:rFonts w:eastAsia="Times New Roman" w:cs="Times New Roman"/>
          <w:lang w:eastAsia="en-AU"/>
        </w:rPr>
        <w:t xml:space="preserve"> </w:t>
      </w:r>
      <w:r w:rsidR="007516D1">
        <w:rPr>
          <w:rFonts w:eastAsia="Times New Roman" w:cs="Times New Roman"/>
          <w:lang w:eastAsia="en-AU"/>
        </w:rPr>
        <w:t xml:space="preserve">Government </w:t>
      </w:r>
      <w:r w:rsidR="007A161D" w:rsidRPr="007A161D">
        <w:rPr>
          <w:rFonts w:eastAsia="Times New Roman" w:cs="Times New Roman"/>
          <w:lang w:eastAsia="en-AU"/>
        </w:rPr>
        <w:t xml:space="preserve">intent to protect </w:t>
      </w:r>
      <w:r w:rsidR="007516D1">
        <w:rPr>
          <w:rFonts w:eastAsia="Times New Roman" w:cs="Times New Roman"/>
          <w:lang w:eastAsia="en-AU"/>
        </w:rPr>
        <w:t xml:space="preserve">Botany </w:t>
      </w:r>
      <w:r w:rsidR="007A161D" w:rsidRPr="007A161D">
        <w:rPr>
          <w:rFonts w:eastAsia="Times New Roman" w:cs="Times New Roman"/>
          <w:lang w:eastAsia="en-AU"/>
        </w:rPr>
        <w:t xml:space="preserve">from </w:t>
      </w:r>
      <w:r w:rsidR="001767B2">
        <w:rPr>
          <w:rFonts w:eastAsia="Times New Roman" w:cs="Times New Roman"/>
          <w:lang w:eastAsia="en-AU"/>
        </w:rPr>
        <w:t xml:space="preserve">the effect of </w:t>
      </w:r>
      <w:r w:rsidR="007A161D" w:rsidRPr="007A161D">
        <w:rPr>
          <w:rFonts w:eastAsia="Times New Roman" w:cs="Times New Roman"/>
          <w:lang w:eastAsia="en-AU"/>
        </w:rPr>
        <w:t>competition</w:t>
      </w:r>
      <w:r w:rsidR="002C049B">
        <w:rPr>
          <w:rFonts w:eastAsia="Times New Roman" w:cs="Times New Roman"/>
          <w:lang w:eastAsia="en-AU"/>
        </w:rPr>
        <w:t xml:space="preserve"> by mechanisms extending beyond </w:t>
      </w:r>
      <w:r w:rsidR="00080B77">
        <w:rPr>
          <w:rFonts w:eastAsia="Times New Roman" w:cs="Times New Roman"/>
          <w:lang w:eastAsia="en-AU"/>
        </w:rPr>
        <w:t xml:space="preserve">its </w:t>
      </w:r>
      <w:r w:rsidR="002C049B">
        <w:rPr>
          <w:rFonts w:eastAsia="Times New Roman" w:cs="Times New Roman"/>
          <w:lang w:eastAsia="en-AU"/>
        </w:rPr>
        <w:t>existing</w:t>
      </w:r>
      <w:r w:rsidR="007E11BC">
        <w:rPr>
          <w:rFonts w:eastAsia="Times New Roman" w:cs="Times New Roman"/>
          <w:lang w:eastAsia="en-AU"/>
        </w:rPr>
        <w:t xml:space="preserve"> </w:t>
      </w:r>
      <w:r w:rsidR="002C049B">
        <w:rPr>
          <w:rFonts w:eastAsia="Times New Roman" w:cs="Times New Roman"/>
          <w:lang w:eastAsia="en-AU"/>
        </w:rPr>
        <w:t>policy</w:t>
      </w:r>
      <w:r w:rsidR="001767B2">
        <w:rPr>
          <w:rFonts w:eastAsia="Times New Roman" w:cs="Times New Roman"/>
          <w:lang w:eastAsia="en-AU"/>
        </w:rPr>
        <w:t>.</w:t>
      </w:r>
    </w:p>
    <w:p w14:paraId="47B50A89" w14:textId="53DD6049" w:rsidR="005C29F3" w:rsidRDefault="00825938" w:rsidP="00B268B7">
      <w:pPr>
        <w:spacing w:after="0"/>
        <w:rPr>
          <w:rFonts w:eastAsia="Times New Roman" w:cs="Times New Roman"/>
          <w:lang w:eastAsia="en-AU"/>
        </w:rPr>
      </w:pPr>
      <w:r>
        <w:rPr>
          <w:rFonts w:eastAsia="Times New Roman" w:cs="Times New Roman"/>
          <w:lang w:eastAsia="en-AU"/>
        </w:rPr>
        <w:lastRenderedPageBreak/>
        <w:t>T</w:t>
      </w:r>
      <w:r w:rsidR="001767B2">
        <w:rPr>
          <w:rFonts w:eastAsia="Times New Roman" w:cs="Times New Roman"/>
          <w:lang w:eastAsia="en-AU"/>
        </w:rPr>
        <w:t xml:space="preserve">he offer </w:t>
      </w:r>
      <w:r>
        <w:rPr>
          <w:rFonts w:eastAsia="Times New Roman" w:cs="Times New Roman"/>
          <w:lang w:eastAsia="en-AU"/>
        </w:rPr>
        <w:t xml:space="preserve">further </w:t>
      </w:r>
      <w:r w:rsidR="001767B2">
        <w:rPr>
          <w:rFonts w:eastAsia="Times New Roman" w:cs="Times New Roman"/>
          <w:lang w:eastAsia="en-AU"/>
        </w:rPr>
        <w:t>implies an</w:t>
      </w:r>
      <w:r w:rsidR="007516D1">
        <w:rPr>
          <w:rFonts w:eastAsia="Times New Roman" w:cs="Times New Roman"/>
          <w:lang w:eastAsia="en-AU"/>
        </w:rPr>
        <w:t xml:space="preserve"> assessment </w:t>
      </w:r>
      <w:r w:rsidR="00106C53">
        <w:rPr>
          <w:rFonts w:eastAsia="Times New Roman" w:cs="Times New Roman"/>
          <w:lang w:eastAsia="en-AU"/>
        </w:rPr>
        <w:t xml:space="preserve">that </w:t>
      </w:r>
      <w:r w:rsidR="007516D1">
        <w:rPr>
          <w:rFonts w:eastAsia="Times New Roman" w:cs="Times New Roman"/>
          <w:lang w:eastAsia="en-AU"/>
        </w:rPr>
        <w:t xml:space="preserve">compensation was </w:t>
      </w:r>
      <w:r w:rsidR="001767B2">
        <w:rPr>
          <w:rFonts w:eastAsia="Times New Roman" w:cs="Times New Roman"/>
          <w:lang w:eastAsia="en-AU"/>
        </w:rPr>
        <w:t xml:space="preserve">at most </w:t>
      </w:r>
      <w:r>
        <w:rPr>
          <w:rFonts w:eastAsia="Times New Roman" w:cs="Times New Roman"/>
          <w:lang w:eastAsia="en-AU"/>
        </w:rPr>
        <w:t>equal to</w:t>
      </w:r>
      <w:r w:rsidR="007516D1">
        <w:rPr>
          <w:rFonts w:eastAsia="Times New Roman" w:cs="Times New Roman"/>
          <w:lang w:eastAsia="en-AU"/>
        </w:rPr>
        <w:t xml:space="preserve"> </w:t>
      </w:r>
      <w:r>
        <w:rPr>
          <w:rFonts w:eastAsia="Times New Roman" w:cs="Times New Roman"/>
          <w:lang w:eastAsia="en-AU"/>
        </w:rPr>
        <w:t xml:space="preserve">the otherwise expected reduction in </w:t>
      </w:r>
      <w:r w:rsidR="007516D1">
        <w:rPr>
          <w:rFonts w:eastAsia="Times New Roman" w:cs="Times New Roman"/>
          <w:lang w:eastAsia="en-AU"/>
        </w:rPr>
        <w:t>sale revenue</w:t>
      </w:r>
      <w:r w:rsidR="005C29F3">
        <w:rPr>
          <w:rFonts w:eastAsia="Times New Roman" w:cs="Times New Roman"/>
          <w:lang w:eastAsia="en-AU"/>
        </w:rPr>
        <w:t xml:space="preserve">.  </w:t>
      </w:r>
      <w:r>
        <w:rPr>
          <w:rFonts w:eastAsia="Times New Roman" w:cs="Times New Roman"/>
          <w:lang w:eastAsia="en-AU"/>
        </w:rPr>
        <w:t>The</w:t>
      </w:r>
      <w:r w:rsidR="00645A15">
        <w:rPr>
          <w:rFonts w:eastAsia="Times New Roman" w:cs="Times New Roman"/>
          <w:lang w:eastAsia="en-AU"/>
        </w:rPr>
        <w:t xml:space="preserve"> </w:t>
      </w:r>
      <w:r w:rsidR="00FE3E2B">
        <w:rPr>
          <w:rFonts w:eastAsia="Times New Roman" w:cs="Times New Roman"/>
          <w:lang w:eastAsia="en-AU"/>
        </w:rPr>
        <w:t>(</w:t>
      </w:r>
      <w:r>
        <w:rPr>
          <w:rFonts w:eastAsia="Times New Roman" w:cs="Times New Roman"/>
          <w:lang w:eastAsia="en-AU"/>
        </w:rPr>
        <w:t>change in</w:t>
      </w:r>
      <w:r w:rsidR="00FE3E2B">
        <w:rPr>
          <w:rFonts w:eastAsia="Times New Roman" w:cs="Times New Roman"/>
          <w:lang w:eastAsia="en-AU"/>
        </w:rPr>
        <w:t>)</w:t>
      </w:r>
      <w:r>
        <w:rPr>
          <w:rFonts w:eastAsia="Times New Roman" w:cs="Times New Roman"/>
          <w:lang w:eastAsia="en-AU"/>
        </w:rPr>
        <w:t xml:space="preserve"> revenue from the </w:t>
      </w:r>
      <w:r w:rsidR="00106C53">
        <w:rPr>
          <w:rFonts w:eastAsia="Times New Roman" w:cs="Times New Roman"/>
          <w:lang w:eastAsia="en-AU"/>
        </w:rPr>
        <w:t xml:space="preserve">Botany </w:t>
      </w:r>
      <w:r w:rsidR="00645A15">
        <w:rPr>
          <w:rFonts w:eastAsia="Times New Roman" w:cs="Times New Roman"/>
          <w:lang w:eastAsia="en-AU"/>
        </w:rPr>
        <w:t>sale could cover</w:t>
      </w:r>
      <w:r w:rsidR="007516D1">
        <w:rPr>
          <w:rFonts w:eastAsia="Times New Roman" w:cs="Times New Roman"/>
          <w:lang w:eastAsia="en-AU"/>
        </w:rPr>
        <w:t xml:space="preserve"> compensation</w:t>
      </w:r>
      <w:r>
        <w:rPr>
          <w:rFonts w:eastAsia="Times New Roman" w:cs="Times New Roman"/>
          <w:lang w:eastAsia="en-AU"/>
        </w:rPr>
        <w:t>.  Nonetheless</w:t>
      </w:r>
      <w:r w:rsidR="00645A15">
        <w:rPr>
          <w:rFonts w:eastAsia="Times New Roman" w:cs="Times New Roman"/>
          <w:lang w:eastAsia="en-AU"/>
        </w:rPr>
        <w:t>, the</w:t>
      </w:r>
      <w:r w:rsidR="007516D1">
        <w:rPr>
          <w:rFonts w:eastAsia="Times New Roman" w:cs="Times New Roman"/>
          <w:lang w:eastAsia="en-AU"/>
        </w:rPr>
        <w:t xml:space="preserve"> Government </w:t>
      </w:r>
      <w:r w:rsidR="00106C53">
        <w:rPr>
          <w:rFonts w:eastAsia="Times New Roman" w:cs="Times New Roman"/>
          <w:lang w:eastAsia="en-AU"/>
        </w:rPr>
        <w:t xml:space="preserve">had </w:t>
      </w:r>
      <w:r w:rsidR="007516D1">
        <w:rPr>
          <w:rFonts w:eastAsia="Times New Roman" w:cs="Times New Roman"/>
          <w:lang w:eastAsia="en-AU"/>
        </w:rPr>
        <w:t xml:space="preserve">a financial incentive to restrict competition </w:t>
      </w:r>
      <w:r w:rsidR="00CF1DB3">
        <w:rPr>
          <w:rFonts w:eastAsia="Times New Roman" w:cs="Times New Roman"/>
          <w:lang w:eastAsia="en-AU"/>
        </w:rPr>
        <w:t xml:space="preserve">to avoid paying </w:t>
      </w:r>
      <w:r>
        <w:rPr>
          <w:rFonts w:eastAsia="Times New Roman" w:cs="Times New Roman"/>
          <w:lang w:eastAsia="en-AU"/>
        </w:rPr>
        <w:t>compensation</w:t>
      </w:r>
      <w:r w:rsidR="00106C53">
        <w:rPr>
          <w:rFonts w:eastAsia="Times New Roman" w:cs="Times New Roman"/>
          <w:lang w:eastAsia="en-AU"/>
        </w:rPr>
        <w:t xml:space="preserve"> </w:t>
      </w:r>
      <w:r w:rsidR="007E11BC">
        <w:rPr>
          <w:rFonts w:eastAsia="Times New Roman" w:cs="Times New Roman"/>
          <w:lang w:eastAsia="en-AU"/>
        </w:rPr>
        <w:t xml:space="preserve">- </w:t>
      </w:r>
      <w:r w:rsidR="00305B25">
        <w:rPr>
          <w:rFonts w:eastAsia="Times New Roman" w:cs="Times New Roman"/>
          <w:lang w:eastAsia="en-AU"/>
        </w:rPr>
        <w:t xml:space="preserve">at </w:t>
      </w:r>
      <w:r w:rsidR="00106C53">
        <w:rPr>
          <w:rFonts w:eastAsia="Times New Roman" w:cs="Times New Roman"/>
          <w:lang w:eastAsia="en-AU"/>
        </w:rPr>
        <w:t xml:space="preserve">least until </w:t>
      </w:r>
      <w:r w:rsidR="00EE56E6">
        <w:rPr>
          <w:rFonts w:eastAsia="Times New Roman" w:cs="Times New Roman"/>
          <w:lang w:eastAsia="en-AU"/>
        </w:rPr>
        <w:t xml:space="preserve">Newcastle was sold </w:t>
      </w:r>
      <w:r w:rsidR="00305B25">
        <w:rPr>
          <w:rFonts w:eastAsia="Times New Roman" w:cs="Times New Roman"/>
          <w:lang w:eastAsia="en-AU"/>
        </w:rPr>
        <w:t xml:space="preserve">on condition it </w:t>
      </w:r>
      <w:r>
        <w:rPr>
          <w:rFonts w:eastAsia="Times New Roman" w:cs="Times New Roman"/>
          <w:lang w:eastAsia="en-AU"/>
        </w:rPr>
        <w:t>foot</w:t>
      </w:r>
      <w:r w:rsidR="00305B25">
        <w:rPr>
          <w:rFonts w:eastAsia="Times New Roman" w:cs="Times New Roman"/>
          <w:lang w:eastAsia="en-AU"/>
        </w:rPr>
        <w:t>s</w:t>
      </w:r>
      <w:r>
        <w:rPr>
          <w:rFonts w:eastAsia="Times New Roman" w:cs="Times New Roman"/>
          <w:lang w:eastAsia="en-AU"/>
        </w:rPr>
        <w:t xml:space="preserve"> any </w:t>
      </w:r>
      <w:r w:rsidR="007E11BC">
        <w:rPr>
          <w:rFonts w:eastAsia="Times New Roman" w:cs="Times New Roman"/>
          <w:lang w:eastAsia="en-AU"/>
        </w:rPr>
        <w:t xml:space="preserve">compensation </w:t>
      </w:r>
      <w:r>
        <w:rPr>
          <w:rFonts w:eastAsia="Times New Roman" w:cs="Times New Roman"/>
          <w:lang w:eastAsia="en-AU"/>
        </w:rPr>
        <w:t>bill</w:t>
      </w:r>
      <w:r w:rsidR="005C29F3">
        <w:rPr>
          <w:rFonts w:eastAsia="Times New Roman" w:cs="Times New Roman"/>
          <w:lang w:eastAsia="en-AU"/>
        </w:rPr>
        <w:t>.</w:t>
      </w:r>
    </w:p>
    <w:p w14:paraId="4AF47DB7" w14:textId="77777777" w:rsidR="005C29F3" w:rsidRDefault="005C29F3" w:rsidP="00B268B7">
      <w:pPr>
        <w:spacing w:after="0"/>
        <w:rPr>
          <w:rFonts w:eastAsia="Times New Roman" w:cs="Times New Roman"/>
          <w:lang w:eastAsia="en-AU"/>
        </w:rPr>
      </w:pPr>
    </w:p>
    <w:p w14:paraId="1775339E" w14:textId="1128538A" w:rsidR="00305B25" w:rsidRDefault="002C049B" w:rsidP="00B268B7">
      <w:pPr>
        <w:spacing w:after="0"/>
        <w:rPr>
          <w:rFonts w:eastAsia="Times New Roman" w:cs="Times New Roman"/>
          <w:lang w:eastAsia="en-AU"/>
        </w:rPr>
      </w:pPr>
      <w:r>
        <w:rPr>
          <w:rFonts w:eastAsia="Times New Roman" w:cs="Times New Roman"/>
          <w:lang w:eastAsia="en-AU"/>
        </w:rPr>
        <w:t xml:space="preserve">As the </w:t>
      </w:r>
      <w:r w:rsidR="005C29F3">
        <w:rPr>
          <w:rFonts w:eastAsia="Times New Roman" w:cs="Times New Roman"/>
          <w:lang w:eastAsia="en-AU"/>
        </w:rPr>
        <w:t>Government w</w:t>
      </w:r>
      <w:r>
        <w:rPr>
          <w:rFonts w:eastAsia="Times New Roman" w:cs="Times New Roman"/>
          <w:lang w:eastAsia="en-AU"/>
        </w:rPr>
        <w:t xml:space="preserve">as concerned with </w:t>
      </w:r>
      <w:r w:rsidR="005C29F3">
        <w:rPr>
          <w:rFonts w:eastAsia="Times New Roman" w:cs="Times New Roman"/>
          <w:lang w:eastAsia="en-AU"/>
        </w:rPr>
        <w:t xml:space="preserve">the sale revenue from </w:t>
      </w:r>
      <w:r>
        <w:rPr>
          <w:rFonts w:eastAsia="Times New Roman" w:cs="Times New Roman"/>
          <w:lang w:eastAsia="en-AU"/>
        </w:rPr>
        <w:t xml:space="preserve">the </w:t>
      </w:r>
      <w:r w:rsidR="005C29F3">
        <w:rPr>
          <w:rFonts w:eastAsia="Times New Roman" w:cs="Times New Roman"/>
          <w:lang w:eastAsia="en-AU"/>
        </w:rPr>
        <w:t>Botany</w:t>
      </w:r>
      <w:r>
        <w:rPr>
          <w:rFonts w:eastAsia="Times New Roman" w:cs="Times New Roman"/>
          <w:lang w:eastAsia="en-AU"/>
        </w:rPr>
        <w:t xml:space="preserve"> privatisation it also would have been concerned with sale revenue from the </w:t>
      </w:r>
      <w:r w:rsidR="005C29F3">
        <w:rPr>
          <w:rFonts w:eastAsia="Times New Roman" w:cs="Times New Roman"/>
          <w:lang w:eastAsia="en-AU"/>
        </w:rPr>
        <w:t>Newcastle</w:t>
      </w:r>
      <w:r>
        <w:rPr>
          <w:rFonts w:eastAsia="Times New Roman" w:cs="Times New Roman"/>
          <w:lang w:eastAsia="en-AU"/>
        </w:rPr>
        <w:t xml:space="preserve"> privatisation</w:t>
      </w:r>
      <w:r w:rsidR="005C29F3">
        <w:rPr>
          <w:rFonts w:eastAsia="Times New Roman" w:cs="Times New Roman"/>
          <w:lang w:eastAsia="en-AU"/>
        </w:rPr>
        <w:t>.</w:t>
      </w:r>
    </w:p>
    <w:p w14:paraId="104BCD75" w14:textId="0E7AC8C7" w:rsidR="00825938" w:rsidRDefault="005C29F3" w:rsidP="00B268B7">
      <w:pPr>
        <w:spacing w:after="0"/>
        <w:rPr>
          <w:rFonts w:eastAsia="Times New Roman" w:cs="Times New Roman"/>
          <w:lang w:eastAsia="en-AU"/>
        </w:rPr>
      </w:pPr>
      <w:r>
        <w:rPr>
          <w:rFonts w:eastAsia="Times New Roman" w:cs="Times New Roman"/>
          <w:lang w:eastAsia="en-AU"/>
        </w:rPr>
        <w:t xml:space="preserve">  </w:t>
      </w:r>
    </w:p>
    <w:p w14:paraId="1F3B70FA" w14:textId="3E7CE4DF" w:rsidR="002C049B" w:rsidRDefault="005C29F3" w:rsidP="00B268B7">
      <w:pPr>
        <w:spacing w:after="0"/>
        <w:rPr>
          <w:rFonts w:eastAsia="Times New Roman" w:cs="Times New Roman"/>
          <w:lang w:eastAsia="en-AU"/>
        </w:rPr>
      </w:pPr>
      <w:r>
        <w:rPr>
          <w:rFonts w:eastAsia="Times New Roman" w:cs="Times New Roman"/>
          <w:lang w:eastAsia="en-AU"/>
        </w:rPr>
        <w:t>Th</w:t>
      </w:r>
      <w:r w:rsidR="00EE56E6">
        <w:rPr>
          <w:rFonts w:eastAsia="Times New Roman" w:cs="Times New Roman"/>
          <w:lang w:eastAsia="en-AU"/>
        </w:rPr>
        <w:t xml:space="preserve">e </w:t>
      </w:r>
      <w:r w:rsidR="00106C53">
        <w:rPr>
          <w:rFonts w:eastAsia="Times New Roman" w:cs="Times New Roman"/>
          <w:lang w:eastAsia="en-AU"/>
        </w:rPr>
        <w:t>p</w:t>
      </w:r>
      <w:r w:rsidR="007516D1">
        <w:rPr>
          <w:rFonts w:eastAsia="Times New Roman" w:cs="Times New Roman"/>
          <w:lang w:eastAsia="en-AU"/>
        </w:rPr>
        <w:t xml:space="preserve">enalty provisions </w:t>
      </w:r>
      <w:r w:rsidR="002C049B">
        <w:rPr>
          <w:rFonts w:eastAsia="Times New Roman" w:cs="Times New Roman"/>
          <w:lang w:eastAsia="en-AU"/>
        </w:rPr>
        <w:t xml:space="preserve">- </w:t>
      </w:r>
      <w:r w:rsidR="00825938">
        <w:rPr>
          <w:rFonts w:eastAsia="Times New Roman" w:cs="Times New Roman"/>
          <w:lang w:eastAsia="en-AU"/>
        </w:rPr>
        <w:t xml:space="preserve">for Newcastle </w:t>
      </w:r>
      <w:r w:rsidR="002C049B">
        <w:rPr>
          <w:rFonts w:eastAsia="Times New Roman" w:cs="Times New Roman"/>
          <w:lang w:eastAsia="en-AU"/>
        </w:rPr>
        <w:t xml:space="preserve">to fund </w:t>
      </w:r>
      <w:r w:rsidR="007E11BC">
        <w:rPr>
          <w:rFonts w:eastAsia="Times New Roman" w:cs="Times New Roman"/>
          <w:lang w:eastAsia="en-AU"/>
        </w:rPr>
        <w:t xml:space="preserve">any </w:t>
      </w:r>
      <w:r w:rsidR="002C049B">
        <w:rPr>
          <w:rFonts w:eastAsia="Times New Roman" w:cs="Times New Roman"/>
          <w:lang w:eastAsia="en-AU"/>
        </w:rPr>
        <w:t xml:space="preserve">compensation for Botany - </w:t>
      </w:r>
      <w:r w:rsidR="00907DCF">
        <w:rPr>
          <w:rFonts w:eastAsia="Times New Roman" w:cs="Times New Roman"/>
          <w:lang w:eastAsia="en-AU"/>
        </w:rPr>
        <w:t>must</w:t>
      </w:r>
      <w:r w:rsidR="007516D1">
        <w:rPr>
          <w:rFonts w:eastAsia="Times New Roman" w:cs="Times New Roman"/>
          <w:lang w:eastAsia="en-AU"/>
        </w:rPr>
        <w:t xml:space="preserve"> </w:t>
      </w:r>
      <w:r w:rsidR="00907DCF">
        <w:rPr>
          <w:rFonts w:eastAsia="Times New Roman" w:cs="Times New Roman"/>
          <w:lang w:eastAsia="en-AU"/>
        </w:rPr>
        <w:t xml:space="preserve">have </w:t>
      </w:r>
      <w:r w:rsidR="007516D1">
        <w:rPr>
          <w:rFonts w:eastAsia="Times New Roman" w:cs="Times New Roman"/>
          <w:lang w:eastAsia="en-AU"/>
        </w:rPr>
        <w:t>reduce</w:t>
      </w:r>
      <w:r w:rsidR="00907DCF">
        <w:rPr>
          <w:rFonts w:eastAsia="Times New Roman" w:cs="Times New Roman"/>
          <w:lang w:eastAsia="en-AU"/>
        </w:rPr>
        <w:t>d</w:t>
      </w:r>
      <w:r w:rsidR="007516D1">
        <w:rPr>
          <w:rFonts w:eastAsia="Times New Roman" w:cs="Times New Roman"/>
          <w:lang w:eastAsia="en-AU"/>
        </w:rPr>
        <w:t xml:space="preserve"> </w:t>
      </w:r>
      <w:r w:rsidR="00907DCF">
        <w:rPr>
          <w:rFonts w:eastAsia="Times New Roman" w:cs="Times New Roman"/>
          <w:lang w:eastAsia="en-AU"/>
        </w:rPr>
        <w:t>revenue from th</w:t>
      </w:r>
      <w:r w:rsidR="002C049B">
        <w:rPr>
          <w:rFonts w:eastAsia="Times New Roman" w:cs="Times New Roman"/>
          <w:lang w:eastAsia="en-AU"/>
        </w:rPr>
        <w:t>e</w:t>
      </w:r>
      <w:r w:rsidR="00907DCF">
        <w:rPr>
          <w:rFonts w:eastAsia="Times New Roman" w:cs="Times New Roman"/>
          <w:lang w:eastAsia="en-AU"/>
        </w:rPr>
        <w:t xml:space="preserve"> </w:t>
      </w:r>
      <w:r w:rsidR="002C049B">
        <w:rPr>
          <w:rFonts w:eastAsia="Times New Roman" w:cs="Times New Roman"/>
          <w:lang w:eastAsia="en-AU"/>
        </w:rPr>
        <w:t xml:space="preserve">Newcastle </w:t>
      </w:r>
      <w:r w:rsidR="00907DCF">
        <w:rPr>
          <w:rFonts w:eastAsia="Times New Roman" w:cs="Times New Roman"/>
          <w:lang w:eastAsia="en-AU"/>
        </w:rPr>
        <w:t>sale</w:t>
      </w:r>
      <w:r w:rsidR="00825938">
        <w:rPr>
          <w:rFonts w:eastAsia="Times New Roman" w:cs="Times New Roman"/>
          <w:lang w:eastAsia="en-AU"/>
        </w:rPr>
        <w:t xml:space="preserve">.  </w:t>
      </w:r>
    </w:p>
    <w:p w14:paraId="66FF3ABC" w14:textId="77777777" w:rsidR="002C049B" w:rsidRDefault="002C049B" w:rsidP="00B268B7">
      <w:pPr>
        <w:spacing w:after="0"/>
        <w:rPr>
          <w:rFonts w:eastAsia="Times New Roman" w:cs="Times New Roman"/>
          <w:lang w:eastAsia="en-AU"/>
        </w:rPr>
      </w:pPr>
    </w:p>
    <w:p w14:paraId="2689277C" w14:textId="0E414498" w:rsidR="005C29F3" w:rsidRDefault="00825938" w:rsidP="00B268B7">
      <w:pPr>
        <w:spacing w:after="0"/>
        <w:rPr>
          <w:rFonts w:eastAsia="Times New Roman" w:cs="Times New Roman"/>
          <w:lang w:eastAsia="en-AU"/>
        </w:rPr>
      </w:pPr>
      <w:r>
        <w:rPr>
          <w:rFonts w:eastAsia="Times New Roman" w:cs="Times New Roman"/>
          <w:lang w:eastAsia="en-AU"/>
        </w:rPr>
        <w:t xml:space="preserve">In ‘theory’ that </w:t>
      </w:r>
      <w:r w:rsidR="002C049B">
        <w:rPr>
          <w:rFonts w:eastAsia="Times New Roman" w:cs="Times New Roman"/>
          <w:lang w:eastAsia="en-AU"/>
        </w:rPr>
        <w:t xml:space="preserve">reduced revenue from </w:t>
      </w:r>
      <w:r w:rsidR="00BF3B14">
        <w:rPr>
          <w:rFonts w:eastAsia="Times New Roman" w:cs="Times New Roman"/>
          <w:lang w:eastAsia="en-AU"/>
        </w:rPr>
        <w:t xml:space="preserve">the </w:t>
      </w:r>
      <w:r w:rsidR="002C049B">
        <w:rPr>
          <w:rFonts w:eastAsia="Times New Roman" w:cs="Times New Roman"/>
          <w:lang w:eastAsia="en-AU"/>
        </w:rPr>
        <w:t xml:space="preserve">Newcastle </w:t>
      </w:r>
      <w:r w:rsidR="007E11BC">
        <w:rPr>
          <w:rFonts w:eastAsia="Times New Roman" w:cs="Times New Roman"/>
          <w:lang w:eastAsia="en-AU"/>
        </w:rPr>
        <w:t>sale</w:t>
      </w:r>
      <w:r w:rsidR="00BF3B14">
        <w:rPr>
          <w:rFonts w:eastAsia="Times New Roman" w:cs="Times New Roman"/>
          <w:lang w:eastAsia="en-AU"/>
        </w:rPr>
        <w:t xml:space="preserve"> </w:t>
      </w:r>
      <w:r>
        <w:rPr>
          <w:rFonts w:eastAsia="Times New Roman" w:cs="Times New Roman"/>
          <w:lang w:eastAsia="en-AU"/>
        </w:rPr>
        <w:t xml:space="preserve">would </w:t>
      </w:r>
      <w:r w:rsidR="002C049B">
        <w:rPr>
          <w:rFonts w:eastAsia="Times New Roman" w:cs="Times New Roman"/>
          <w:lang w:eastAsia="en-AU"/>
        </w:rPr>
        <w:t xml:space="preserve">equal </w:t>
      </w:r>
      <w:r w:rsidR="00907DCF">
        <w:rPr>
          <w:rFonts w:eastAsia="Times New Roman" w:cs="Times New Roman"/>
          <w:lang w:eastAsia="en-AU"/>
        </w:rPr>
        <w:t xml:space="preserve">the revenue </w:t>
      </w:r>
      <w:r w:rsidR="002C049B">
        <w:rPr>
          <w:rFonts w:eastAsia="Times New Roman" w:cs="Times New Roman"/>
          <w:lang w:eastAsia="en-AU"/>
        </w:rPr>
        <w:t>‘</w:t>
      </w:r>
      <w:r w:rsidR="00907DCF">
        <w:rPr>
          <w:rFonts w:eastAsia="Times New Roman" w:cs="Times New Roman"/>
          <w:lang w:eastAsia="en-AU"/>
        </w:rPr>
        <w:t>increase</w:t>
      </w:r>
      <w:r w:rsidR="002C049B">
        <w:rPr>
          <w:rFonts w:eastAsia="Times New Roman" w:cs="Times New Roman"/>
          <w:lang w:eastAsia="en-AU"/>
        </w:rPr>
        <w:t>’</w:t>
      </w:r>
      <w:r w:rsidR="00907DCF">
        <w:rPr>
          <w:rFonts w:eastAsia="Times New Roman" w:cs="Times New Roman"/>
          <w:lang w:eastAsia="en-AU"/>
        </w:rPr>
        <w:t xml:space="preserve"> from </w:t>
      </w:r>
      <w:r w:rsidR="00BF3B14">
        <w:rPr>
          <w:rFonts w:eastAsia="Times New Roman" w:cs="Times New Roman"/>
          <w:lang w:eastAsia="en-AU"/>
        </w:rPr>
        <w:t xml:space="preserve">the </w:t>
      </w:r>
      <w:r w:rsidR="002C049B">
        <w:rPr>
          <w:rFonts w:eastAsia="Times New Roman" w:cs="Times New Roman"/>
          <w:lang w:eastAsia="en-AU"/>
        </w:rPr>
        <w:t>B</w:t>
      </w:r>
      <w:r w:rsidR="007516D1">
        <w:rPr>
          <w:rFonts w:eastAsia="Times New Roman" w:cs="Times New Roman"/>
          <w:lang w:eastAsia="en-AU"/>
        </w:rPr>
        <w:t>otany</w:t>
      </w:r>
      <w:r w:rsidR="00BF3B14">
        <w:rPr>
          <w:rFonts w:eastAsia="Times New Roman" w:cs="Times New Roman"/>
          <w:lang w:eastAsia="en-AU"/>
        </w:rPr>
        <w:t xml:space="preserve"> </w:t>
      </w:r>
      <w:r w:rsidR="007E11BC">
        <w:rPr>
          <w:rFonts w:eastAsia="Times New Roman" w:cs="Times New Roman"/>
          <w:lang w:eastAsia="en-AU"/>
        </w:rPr>
        <w:t>sale</w:t>
      </w:r>
      <w:r w:rsidR="005C29F3">
        <w:rPr>
          <w:rFonts w:eastAsia="Times New Roman" w:cs="Times New Roman"/>
          <w:lang w:eastAsia="en-AU"/>
        </w:rPr>
        <w:t>.</w:t>
      </w:r>
      <w:r w:rsidR="00BF3B14">
        <w:rPr>
          <w:rFonts w:eastAsia="Times New Roman" w:cs="Times New Roman"/>
          <w:lang w:eastAsia="en-AU"/>
        </w:rPr>
        <w:t xml:space="preserve">  Such </w:t>
      </w:r>
      <w:r w:rsidR="00944656">
        <w:rPr>
          <w:rFonts w:eastAsia="Times New Roman" w:cs="Times New Roman"/>
          <w:lang w:eastAsia="en-AU"/>
        </w:rPr>
        <w:t xml:space="preserve">equivalence </w:t>
      </w:r>
      <w:r w:rsidR="005C29F3">
        <w:rPr>
          <w:rFonts w:eastAsia="Times New Roman" w:cs="Times New Roman"/>
          <w:lang w:eastAsia="en-AU"/>
        </w:rPr>
        <w:t xml:space="preserve">implies </w:t>
      </w:r>
      <w:r w:rsidR="007E11BC">
        <w:rPr>
          <w:rFonts w:eastAsia="Times New Roman" w:cs="Times New Roman"/>
          <w:lang w:eastAsia="en-AU"/>
        </w:rPr>
        <w:t xml:space="preserve">only two possible Government purposes for </w:t>
      </w:r>
      <w:r>
        <w:rPr>
          <w:rFonts w:eastAsia="Times New Roman" w:cs="Times New Roman"/>
          <w:lang w:eastAsia="en-AU"/>
        </w:rPr>
        <w:t>the</w:t>
      </w:r>
      <w:r w:rsidR="007E11BC" w:rsidRPr="007E11BC">
        <w:rPr>
          <w:rFonts w:eastAsia="Times New Roman" w:cs="Times New Roman"/>
          <w:lang w:eastAsia="en-AU"/>
        </w:rPr>
        <w:t xml:space="preserve"> </w:t>
      </w:r>
      <w:r w:rsidR="007E11BC">
        <w:rPr>
          <w:rFonts w:eastAsia="Times New Roman" w:cs="Times New Roman"/>
          <w:lang w:eastAsia="en-AU"/>
        </w:rPr>
        <w:t>penalty on Newcastle</w:t>
      </w:r>
      <w:r w:rsidR="00305B25">
        <w:rPr>
          <w:rFonts w:eastAsia="Times New Roman" w:cs="Times New Roman"/>
          <w:lang w:eastAsia="en-AU"/>
        </w:rPr>
        <w:t>.  The first</w:t>
      </w:r>
      <w:r w:rsidR="007E11BC">
        <w:rPr>
          <w:rFonts w:eastAsia="Times New Roman" w:cs="Times New Roman"/>
          <w:lang w:eastAsia="en-AU"/>
        </w:rPr>
        <w:t>,</w:t>
      </w:r>
      <w:r w:rsidR="00305B25">
        <w:rPr>
          <w:rFonts w:eastAsia="Times New Roman" w:cs="Times New Roman"/>
          <w:lang w:eastAsia="en-AU"/>
        </w:rPr>
        <w:t xml:space="preserve"> </w:t>
      </w:r>
      <w:r w:rsidR="004A0BBB">
        <w:rPr>
          <w:rFonts w:eastAsia="Times New Roman" w:cs="Times New Roman"/>
          <w:lang w:eastAsia="en-AU"/>
        </w:rPr>
        <w:t>financial</w:t>
      </w:r>
      <w:r w:rsidR="007E11BC">
        <w:rPr>
          <w:rFonts w:eastAsia="Times New Roman" w:cs="Times New Roman"/>
          <w:lang w:eastAsia="en-AU"/>
        </w:rPr>
        <w:t xml:space="preserve"> gain, arises only</w:t>
      </w:r>
      <w:r w:rsidR="004A0BBB">
        <w:rPr>
          <w:rFonts w:eastAsia="Times New Roman" w:cs="Times New Roman"/>
          <w:lang w:eastAsia="en-AU"/>
        </w:rPr>
        <w:t xml:space="preserve"> </w:t>
      </w:r>
      <w:r w:rsidR="00305B25">
        <w:rPr>
          <w:rFonts w:eastAsia="Times New Roman" w:cs="Times New Roman"/>
          <w:lang w:eastAsia="en-AU"/>
        </w:rPr>
        <w:t xml:space="preserve">if </w:t>
      </w:r>
      <w:r w:rsidR="004A0BBB">
        <w:rPr>
          <w:rFonts w:eastAsia="Times New Roman" w:cs="Times New Roman"/>
          <w:lang w:eastAsia="en-AU"/>
        </w:rPr>
        <w:t>the Government</w:t>
      </w:r>
      <w:r>
        <w:rPr>
          <w:rFonts w:eastAsia="Times New Roman" w:cs="Times New Roman"/>
          <w:lang w:eastAsia="en-AU"/>
        </w:rPr>
        <w:t xml:space="preserve"> </w:t>
      </w:r>
      <w:r w:rsidR="00EE56E6" w:rsidRPr="00EE56E6">
        <w:rPr>
          <w:rFonts w:eastAsia="Times New Roman" w:cs="Times New Roman"/>
          <w:lang w:eastAsia="en-AU"/>
        </w:rPr>
        <w:t xml:space="preserve">was </w:t>
      </w:r>
      <w:r w:rsidR="004A0BBB">
        <w:rPr>
          <w:rFonts w:eastAsia="Times New Roman" w:cs="Times New Roman"/>
          <w:lang w:eastAsia="en-AU"/>
        </w:rPr>
        <w:t>arbitraging</w:t>
      </w:r>
      <w:r w:rsidR="005C29F3">
        <w:rPr>
          <w:rFonts w:eastAsia="Times New Roman" w:cs="Times New Roman"/>
          <w:lang w:eastAsia="en-AU"/>
        </w:rPr>
        <w:t xml:space="preserve"> different perceptions of </w:t>
      </w:r>
      <w:r w:rsidR="00944656">
        <w:rPr>
          <w:rFonts w:eastAsia="Times New Roman" w:cs="Times New Roman"/>
          <w:lang w:eastAsia="en-AU"/>
        </w:rPr>
        <w:t xml:space="preserve">potential </w:t>
      </w:r>
      <w:r w:rsidR="005C29F3">
        <w:rPr>
          <w:rFonts w:eastAsia="Times New Roman" w:cs="Times New Roman"/>
          <w:lang w:eastAsia="en-AU"/>
        </w:rPr>
        <w:t>competition</w:t>
      </w:r>
      <w:r w:rsidR="00BF3B14">
        <w:rPr>
          <w:rFonts w:eastAsia="Times New Roman" w:cs="Times New Roman"/>
          <w:lang w:eastAsia="en-AU"/>
        </w:rPr>
        <w:t xml:space="preserve"> by bidders</w:t>
      </w:r>
      <w:r w:rsidR="007E11BC">
        <w:rPr>
          <w:rFonts w:eastAsia="Times New Roman" w:cs="Times New Roman"/>
          <w:lang w:eastAsia="en-AU"/>
        </w:rPr>
        <w:t xml:space="preserve"> in different privatisations</w:t>
      </w:r>
      <w:r w:rsidR="005C29F3">
        <w:rPr>
          <w:rFonts w:eastAsia="Times New Roman" w:cs="Times New Roman"/>
          <w:lang w:eastAsia="en-AU"/>
        </w:rPr>
        <w:t>.</w:t>
      </w:r>
      <w:r w:rsidR="00305B25">
        <w:rPr>
          <w:rFonts w:eastAsia="Times New Roman" w:cs="Times New Roman"/>
          <w:lang w:eastAsia="en-AU"/>
        </w:rPr>
        <w:t xml:space="preserve">  </w:t>
      </w:r>
    </w:p>
    <w:p w14:paraId="7B7ECAF7" w14:textId="4A3D5466" w:rsidR="00305B25" w:rsidRDefault="00305B25" w:rsidP="00B268B7">
      <w:pPr>
        <w:spacing w:after="0"/>
        <w:rPr>
          <w:rFonts w:eastAsia="Times New Roman" w:cs="Times New Roman"/>
          <w:lang w:eastAsia="en-AU"/>
        </w:rPr>
      </w:pPr>
    </w:p>
    <w:p w14:paraId="2DDBB1D6" w14:textId="37AB9348" w:rsidR="00305B25" w:rsidRDefault="00305B25" w:rsidP="00B268B7">
      <w:pPr>
        <w:spacing w:after="0"/>
        <w:rPr>
          <w:rFonts w:eastAsia="Times New Roman" w:cs="Times New Roman"/>
          <w:lang w:eastAsia="en-AU"/>
        </w:rPr>
      </w:pPr>
      <w:r>
        <w:rPr>
          <w:rFonts w:eastAsia="Times New Roman" w:cs="Times New Roman"/>
          <w:lang w:eastAsia="en-AU"/>
        </w:rPr>
        <w:t xml:space="preserve">The </w:t>
      </w:r>
      <w:r w:rsidR="00BF3B14">
        <w:rPr>
          <w:rFonts w:eastAsia="Times New Roman" w:cs="Times New Roman"/>
          <w:lang w:eastAsia="en-AU"/>
        </w:rPr>
        <w:t xml:space="preserve">other possible </w:t>
      </w:r>
      <w:r w:rsidR="007E11BC">
        <w:rPr>
          <w:rFonts w:eastAsia="Times New Roman" w:cs="Times New Roman"/>
          <w:lang w:eastAsia="en-AU"/>
        </w:rPr>
        <w:t>p</w:t>
      </w:r>
      <w:r w:rsidR="00BF3B14">
        <w:rPr>
          <w:rFonts w:eastAsia="Times New Roman" w:cs="Times New Roman"/>
          <w:lang w:eastAsia="en-AU"/>
        </w:rPr>
        <w:t xml:space="preserve">urpose of the penalty on Newcastle </w:t>
      </w:r>
      <w:r>
        <w:rPr>
          <w:rFonts w:eastAsia="Times New Roman" w:cs="Times New Roman"/>
          <w:lang w:eastAsia="en-AU"/>
        </w:rPr>
        <w:t>would be conceal</w:t>
      </w:r>
      <w:r w:rsidR="00BF3B14">
        <w:rPr>
          <w:rFonts w:eastAsia="Times New Roman" w:cs="Times New Roman"/>
          <w:lang w:eastAsia="en-AU"/>
        </w:rPr>
        <w:t xml:space="preserve">ment </w:t>
      </w:r>
      <w:r>
        <w:rPr>
          <w:rFonts w:eastAsia="Times New Roman" w:cs="Times New Roman"/>
          <w:lang w:eastAsia="en-AU"/>
        </w:rPr>
        <w:t>of</w:t>
      </w:r>
      <w:r w:rsidR="00BF3B14">
        <w:rPr>
          <w:rFonts w:eastAsia="Times New Roman" w:cs="Times New Roman"/>
          <w:lang w:eastAsia="en-AU"/>
        </w:rPr>
        <w:t xml:space="preserve"> </w:t>
      </w:r>
      <w:r w:rsidR="007E11BC">
        <w:rPr>
          <w:rFonts w:eastAsia="Times New Roman" w:cs="Times New Roman"/>
          <w:lang w:eastAsia="en-AU"/>
        </w:rPr>
        <w:t>Government’s</w:t>
      </w:r>
      <w:r w:rsidR="00BF3B14">
        <w:rPr>
          <w:rFonts w:eastAsia="Times New Roman" w:cs="Times New Roman"/>
          <w:lang w:eastAsia="en-AU"/>
        </w:rPr>
        <w:t xml:space="preserve"> offer</w:t>
      </w:r>
      <w:r>
        <w:rPr>
          <w:rFonts w:eastAsia="Times New Roman" w:cs="Times New Roman"/>
          <w:lang w:eastAsia="en-AU"/>
        </w:rPr>
        <w:t xml:space="preserve"> </w:t>
      </w:r>
      <w:r w:rsidR="007E11BC">
        <w:rPr>
          <w:rFonts w:eastAsia="Times New Roman" w:cs="Times New Roman"/>
          <w:lang w:eastAsia="en-AU"/>
        </w:rPr>
        <w:t xml:space="preserve">of </w:t>
      </w:r>
      <w:r>
        <w:rPr>
          <w:rFonts w:eastAsia="Times New Roman" w:cs="Times New Roman"/>
          <w:lang w:eastAsia="en-AU"/>
        </w:rPr>
        <w:t>compensation</w:t>
      </w:r>
      <w:r w:rsidR="007E11BC">
        <w:rPr>
          <w:rFonts w:eastAsia="Times New Roman" w:cs="Times New Roman"/>
          <w:lang w:eastAsia="en-AU"/>
        </w:rPr>
        <w:t xml:space="preserve"> to Botany</w:t>
      </w:r>
      <w:r>
        <w:rPr>
          <w:rFonts w:eastAsia="Times New Roman" w:cs="Times New Roman"/>
          <w:lang w:eastAsia="en-AU"/>
        </w:rPr>
        <w:t xml:space="preserve">.  Without the penalty, compensation </w:t>
      </w:r>
      <w:r w:rsidR="00BF3B14">
        <w:rPr>
          <w:rFonts w:eastAsia="Times New Roman" w:cs="Times New Roman"/>
          <w:lang w:eastAsia="en-AU"/>
        </w:rPr>
        <w:t xml:space="preserve">payments – and possibly even the offer of compensation - </w:t>
      </w:r>
      <w:r>
        <w:rPr>
          <w:rFonts w:eastAsia="Times New Roman" w:cs="Times New Roman"/>
          <w:lang w:eastAsia="en-AU"/>
        </w:rPr>
        <w:t xml:space="preserve">may have been </w:t>
      </w:r>
      <w:r w:rsidR="004A0BBB">
        <w:rPr>
          <w:rFonts w:eastAsia="Times New Roman" w:cs="Times New Roman"/>
          <w:lang w:eastAsia="en-AU"/>
        </w:rPr>
        <w:t>revealed</w:t>
      </w:r>
      <w:r>
        <w:rPr>
          <w:rFonts w:eastAsia="Times New Roman" w:cs="Times New Roman"/>
          <w:lang w:eastAsia="en-AU"/>
        </w:rPr>
        <w:t xml:space="preserve"> via State budget </w:t>
      </w:r>
      <w:r w:rsidR="004A0BBB">
        <w:rPr>
          <w:rFonts w:eastAsia="Times New Roman" w:cs="Times New Roman"/>
          <w:lang w:eastAsia="en-AU"/>
        </w:rPr>
        <w:t xml:space="preserve">outlays </w:t>
      </w:r>
      <w:r>
        <w:rPr>
          <w:rFonts w:eastAsia="Times New Roman" w:cs="Times New Roman"/>
          <w:lang w:eastAsia="en-AU"/>
        </w:rPr>
        <w:t>or by the Audit Office e.g.  review of contingent liabilities.  Such a</w:t>
      </w:r>
      <w:r w:rsidR="00BF3B14">
        <w:rPr>
          <w:rFonts w:eastAsia="Times New Roman" w:cs="Times New Roman"/>
          <w:lang w:eastAsia="en-AU"/>
        </w:rPr>
        <w:t xml:space="preserve"> purpose</w:t>
      </w:r>
      <w:r>
        <w:rPr>
          <w:rFonts w:eastAsia="Times New Roman" w:cs="Times New Roman"/>
          <w:lang w:eastAsia="en-AU"/>
        </w:rPr>
        <w:t xml:space="preserve"> </w:t>
      </w:r>
      <w:r w:rsidR="00BF3B14">
        <w:rPr>
          <w:rFonts w:eastAsia="Times New Roman" w:cs="Times New Roman"/>
          <w:lang w:eastAsia="en-AU"/>
        </w:rPr>
        <w:t>is</w:t>
      </w:r>
      <w:r>
        <w:rPr>
          <w:rFonts w:eastAsia="Times New Roman" w:cs="Times New Roman"/>
          <w:lang w:eastAsia="en-AU"/>
        </w:rPr>
        <w:t xml:space="preserve"> </w:t>
      </w:r>
      <w:r w:rsidR="004A0BBB">
        <w:rPr>
          <w:rFonts w:eastAsia="Times New Roman" w:cs="Times New Roman"/>
          <w:lang w:eastAsia="en-AU"/>
        </w:rPr>
        <w:t xml:space="preserve">further </w:t>
      </w:r>
      <w:r w:rsidR="00BF3B14">
        <w:rPr>
          <w:rFonts w:eastAsia="Times New Roman" w:cs="Times New Roman"/>
          <w:lang w:eastAsia="en-AU"/>
        </w:rPr>
        <w:t>advanced</w:t>
      </w:r>
      <w:r>
        <w:rPr>
          <w:rFonts w:eastAsia="Times New Roman" w:cs="Times New Roman"/>
          <w:lang w:eastAsia="en-AU"/>
        </w:rPr>
        <w:t xml:space="preserve"> by </w:t>
      </w:r>
      <w:r w:rsidR="004A0BBB">
        <w:rPr>
          <w:rFonts w:eastAsia="Times New Roman" w:cs="Times New Roman"/>
          <w:lang w:eastAsia="en-AU"/>
        </w:rPr>
        <w:t>the penalty creating a disincentive for</w:t>
      </w:r>
      <w:r>
        <w:rPr>
          <w:rFonts w:eastAsia="Times New Roman" w:cs="Times New Roman"/>
          <w:lang w:eastAsia="en-AU"/>
        </w:rPr>
        <w:t xml:space="preserve"> Newcastle</w:t>
      </w:r>
      <w:r w:rsidR="004A0BBB">
        <w:rPr>
          <w:rFonts w:eastAsia="Times New Roman" w:cs="Times New Roman"/>
          <w:lang w:eastAsia="en-AU"/>
        </w:rPr>
        <w:t xml:space="preserve"> to do things that would trigger compensation.</w:t>
      </w:r>
    </w:p>
    <w:p w14:paraId="39EA47D9" w14:textId="462D9FA7" w:rsidR="005C29F3" w:rsidRDefault="005C29F3" w:rsidP="00B268B7">
      <w:pPr>
        <w:spacing w:after="0"/>
        <w:rPr>
          <w:rFonts w:eastAsia="Times New Roman" w:cs="Times New Roman"/>
          <w:lang w:eastAsia="en-AU"/>
        </w:rPr>
      </w:pPr>
    </w:p>
    <w:p w14:paraId="584C0352" w14:textId="02AB51C3" w:rsidR="00B1556F" w:rsidRDefault="00B1556F" w:rsidP="00B268B7">
      <w:pPr>
        <w:pStyle w:val="Heading4"/>
        <w:spacing w:before="0"/>
        <w:rPr>
          <w:rFonts w:eastAsia="Times New Roman"/>
          <w:lang w:eastAsia="en-AU"/>
        </w:rPr>
      </w:pPr>
      <w:r>
        <w:rPr>
          <w:rFonts w:eastAsia="Times New Roman"/>
          <w:lang w:eastAsia="en-AU"/>
        </w:rPr>
        <w:t>4.</w:t>
      </w:r>
      <w:r w:rsidR="00815D0A">
        <w:rPr>
          <w:rFonts w:eastAsia="Times New Roman"/>
          <w:lang w:eastAsia="en-AU"/>
        </w:rPr>
        <w:t>1</w:t>
      </w:r>
      <w:r>
        <w:rPr>
          <w:rFonts w:eastAsia="Times New Roman"/>
          <w:lang w:eastAsia="en-AU"/>
        </w:rPr>
        <w:t>.3</w:t>
      </w:r>
      <w:r>
        <w:rPr>
          <w:rFonts w:eastAsia="Times New Roman"/>
          <w:lang w:eastAsia="en-AU"/>
        </w:rPr>
        <w:tab/>
      </w:r>
      <w:r w:rsidR="00815D0A">
        <w:rPr>
          <w:rFonts w:eastAsia="Times New Roman"/>
          <w:lang w:eastAsia="en-AU"/>
        </w:rPr>
        <w:t xml:space="preserve">Concealment of </w:t>
      </w:r>
      <w:r>
        <w:rPr>
          <w:rFonts w:eastAsia="Times New Roman"/>
          <w:lang w:eastAsia="en-AU"/>
        </w:rPr>
        <w:t xml:space="preserve">the penalty-compensation </w:t>
      </w:r>
      <w:r w:rsidR="0069315E">
        <w:rPr>
          <w:rFonts w:eastAsia="Times New Roman"/>
          <w:lang w:eastAsia="en-AU"/>
        </w:rPr>
        <w:t>scheme</w:t>
      </w:r>
    </w:p>
    <w:p w14:paraId="6C0A20C3" w14:textId="29E4A87B" w:rsidR="00825938" w:rsidRDefault="005C29F3" w:rsidP="00B268B7">
      <w:pPr>
        <w:spacing w:after="0"/>
        <w:rPr>
          <w:rFonts w:eastAsia="Times New Roman" w:cs="Times New Roman"/>
          <w:lang w:eastAsia="en-AU"/>
        </w:rPr>
      </w:pPr>
      <w:r>
        <w:rPr>
          <w:rFonts w:eastAsia="Times New Roman" w:cs="Times New Roman"/>
          <w:lang w:eastAsia="en-AU"/>
        </w:rPr>
        <w:t>The f</w:t>
      </w:r>
      <w:r w:rsidR="00907DCF" w:rsidRPr="00645A15">
        <w:rPr>
          <w:rFonts w:eastAsia="Times New Roman" w:cs="Times New Roman"/>
          <w:lang w:eastAsia="en-AU"/>
        </w:rPr>
        <w:t xml:space="preserve">act </w:t>
      </w:r>
      <w:r w:rsidR="00EE56E6">
        <w:rPr>
          <w:rFonts w:eastAsia="Times New Roman" w:cs="Times New Roman"/>
          <w:lang w:eastAsia="en-AU"/>
        </w:rPr>
        <w:t>of the Government</w:t>
      </w:r>
      <w:r w:rsidR="00907DCF" w:rsidRPr="00645A15">
        <w:rPr>
          <w:rFonts w:eastAsia="Times New Roman" w:cs="Times New Roman"/>
          <w:lang w:eastAsia="en-AU"/>
        </w:rPr>
        <w:t xml:space="preserve"> hiding </w:t>
      </w:r>
      <w:r w:rsidR="00645A15" w:rsidRPr="00645A15">
        <w:rPr>
          <w:rFonts w:eastAsia="Times New Roman" w:cs="Times New Roman"/>
          <w:lang w:eastAsia="en-AU"/>
        </w:rPr>
        <w:t xml:space="preserve">– </w:t>
      </w:r>
      <w:r w:rsidR="005C5B89">
        <w:rPr>
          <w:rFonts w:eastAsia="Times New Roman" w:cs="Times New Roman"/>
          <w:lang w:eastAsia="en-AU"/>
        </w:rPr>
        <w:t>including via</w:t>
      </w:r>
      <w:r w:rsidR="00645A15" w:rsidRPr="00645A15">
        <w:rPr>
          <w:rFonts w:eastAsia="Times New Roman" w:cs="Times New Roman"/>
          <w:lang w:eastAsia="en-AU"/>
        </w:rPr>
        <w:t xml:space="preserve"> </w:t>
      </w:r>
      <w:r w:rsidR="005C5B89">
        <w:rPr>
          <w:rFonts w:eastAsia="Times New Roman" w:cs="Times New Roman"/>
          <w:lang w:eastAsia="en-AU"/>
        </w:rPr>
        <w:t xml:space="preserve">clandestine </w:t>
      </w:r>
      <w:r w:rsidR="00645A15" w:rsidRPr="00645A15">
        <w:rPr>
          <w:rFonts w:eastAsia="Times New Roman" w:cs="Times New Roman"/>
          <w:lang w:eastAsia="en-AU"/>
        </w:rPr>
        <w:t xml:space="preserve">sale </w:t>
      </w:r>
      <w:r w:rsidR="00944656">
        <w:rPr>
          <w:rFonts w:eastAsia="Times New Roman" w:cs="Times New Roman"/>
          <w:lang w:eastAsia="en-AU"/>
        </w:rPr>
        <w:t xml:space="preserve">provisions </w:t>
      </w:r>
      <w:r w:rsidR="00645A15" w:rsidRPr="00645A15">
        <w:rPr>
          <w:rFonts w:eastAsia="Times New Roman" w:cs="Times New Roman"/>
          <w:lang w:eastAsia="en-AU"/>
        </w:rPr>
        <w:t xml:space="preserve">- the </w:t>
      </w:r>
      <w:r w:rsidR="00EE56E6">
        <w:rPr>
          <w:rFonts w:eastAsia="Times New Roman" w:cs="Times New Roman"/>
          <w:lang w:eastAsia="en-AU"/>
        </w:rPr>
        <w:t>penalty-</w:t>
      </w:r>
      <w:r w:rsidR="00645A15" w:rsidRPr="00645A15">
        <w:rPr>
          <w:rFonts w:eastAsia="Times New Roman" w:cs="Times New Roman"/>
          <w:lang w:eastAsia="en-AU"/>
        </w:rPr>
        <w:t>compensation</w:t>
      </w:r>
      <w:r w:rsidR="00EE56E6">
        <w:rPr>
          <w:rFonts w:eastAsia="Times New Roman" w:cs="Times New Roman"/>
          <w:lang w:eastAsia="en-AU"/>
        </w:rPr>
        <w:t xml:space="preserve"> </w:t>
      </w:r>
      <w:r w:rsidR="0069315E">
        <w:rPr>
          <w:rFonts w:eastAsia="Times New Roman" w:cs="Times New Roman"/>
          <w:lang w:eastAsia="en-AU"/>
        </w:rPr>
        <w:t>s</w:t>
      </w:r>
      <w:r w:rsidR="00080B77">
        <w:rPr>
          <w:rFonts w:eastAsia="Times New Roman" w:cs="Times New Roman"/>
          <w:lang w:eastAsia="en-AU"/>
        </w:rPr>
        <w:t>c</w:t>
      </w:r>
      <w:r w:rsidR="0069315E">
        <w:rPr>
          <w:rFonts w:eastAsia="Times New Roman" w:cs="Times New Roman"/>
          <w:lang w:eastAsia="en-AU"/>
        </w:rPr>
        <w:t>heme</w:t>
      </w:r>
      <w:r w:rsidR="00645A15" w:rsidRPr="00645A15">
        <w:rPr>
          <w:rFonts w:eastAsia="Times New Roman" w:cs="Times New Roman"/>
          <w:lang w:eastAsia="en-AU"/>
        </w:rPr>
        <w:t xml:space="preserve"> </w:t>
      </w:r>
      <w:r w:rsidR="00825938">
        <w:rPr>
          <w:rFonts w:eastAsia="Times New Roman" w:cs="Times New Roman"/>
          <w:lang w:eastAsia="en-AU"/>
        </w:rPr>
        <w:t>demonstrates</w:t>
      </w:r>
      <w:r w:rsidR="00EE56E6">
        <w:rPr>
          <w:rFonts w:eastAsia="Times New Roman" w:cs="Times New Roman"/>
          <w:lang w:eastAsia="en-AU"/>
        </w:rPr>
        <w:t xml:space="preserve"> a purpose of avoiding criticism</w:t>
      </w:r>
      <w:r>
        <w:rPr>
          <w:rFonts w:eastAsia="Times New Roman" w:cs="Times New Roman"/>
          <w:lang w:eastAsia="en-AU"/>
        </w:rPr>
        <w:t xml:space="preserve">.  </w:t>
      </w:r>
    </w:p>
    <w:p w14:paraId="6826F281" w14:textId="77777777" w:rsidR="00825938" w:rsidRDefault="00825938" w:rsidP="00B268B7">
      <w:pPr>
        <w:spacing w:after="0"/>
        <w:rPr>
          <w:rFonts w:eastAsia="Times New Roman" w:cs="Times New Roman"/>
          <w:lang w:eastAsia="en-AU"/>
        </w:rPr>
      </w:pPr>
    </w:p>
    <w:p w14:paraId="770E344F" w14:textId="5A42F413" w:rsidR="00944656" w:rsidRDefault="00825938" w:rsidP="00B268B7">
      <w:pPr>
        <w:spacing w:after="0"/>
        <w:rPr>
          <w:rFonts w:eastAsia="Times New Roman" w:cs="Times New Roman"/>
          <w:lang w:eastAsia="en-AU"/>
        </w:rPr>
      </w:pPr>
      <w:r>
        <w:rPr>
          <w:rFonts w:eastAsia="Times New Roman" w:cs="Times New Roman"/>
          <w:lang w:eastAsia="en-AU"/>
        </w:rPr>
        <w:t>The C</w:t>
      </w:r>
      <w:r w:rsidR="00645A15">
        <w:rPr>
          <w:rFonts w:eastAsia="Times New Roman" w:cs="Times New Roman"/>
          <w:lang w:eastAsia="en-AU"/>
        </w:rPr>
        <w:t>ourt f</w:t>
      </w:r>
      <w:r>
        <w:rPr>
          <w:rFonts w:eastAsia="Times New Roman" w:cs="Times New Roman"/>
          <w:lang w:eastAsia="en-AU"/>
        </w:rPr>
        <w:t>ound</w:t>
      </w:r>
      <w:r w:rsidR="00645A15">
        <w:rPr>
          <w:rFonts w:eastAsia="Times New Roman" w:cs="Times New Roman"/>
          <w:lang w:eastAsia="en-AU"/>
        </w:rPr>
        <w:t xml:space="preserve"> the Government could, but did not, impose a </w:t>
      </w:r>
      <w:r w:rsidR="00855732">
        <w:rPr>
          <w:rFonts w:eastAsia="Times New Roman" w:cs="Times New Roman"/>
          <w:lang w:eastAsia="en-AU"/>
        </w:rPr>
        <w:t>direct</w:t>
      </w:r>
      <w:r>
        <w:rPr>
          <w:rFonts w:eastAsia="Times New Roman" w:cs="Times New Roman"/>
          <w:lang w:eastAsia="en-AU"/>
        </w:rPr>
        <w:t xml:space="preserve"> </w:t>
      </w:r>
      <w:r w:rsidR="00645A15">
        <w:rPr>
          <w:rFonts w:eastAsia="Times New Roman" w:cs="Times New Roman"/>
          <w:lang w:eastAsia="en-AU"/>
        </w:rPr>
        <w:t>restriction on Newcastle container</w:t>
      </w:r>
      <w:r w:rsidR="00EE56E6">
        <w:rPr>
          <w:rFonts w:eastAsia="Times New Roman" w:cs="Times New Roman"/>
          <w:lang w:eastAsia="en-AU"/>
        </w:rPr>
        <w:t>s</w:t>
      </w:r>
      <w:r>
        <w:rPr>
          <w:rFonts w:eastAsia="Times New Roman" w:cs="Times New Roman"/>
          <w:lang w:eastAsia="en-AU"/>
        </w:rPr>
        <w:t xml:space="preserve">. </w:t>
      </w:r>
      <w:r w:rsidR="00FE3E2B">
        <w:rPr>
          <w:rFonts w:eastAsia="Times New Roman" w:cs="Times New Roman"/>
          <w:lang w:eastAsia="en-AU"/>
        </w:rPr>
        <w:t xml:space="preserve">The </w:t>
      </w:r>
      <w:r w:rsidR="00204366">
        <w:rPr>
          <w:rFonts w:eastAsia="Times New Roman" w:cs="Times New Roman"/>
          <w:lang w:eastAsia="en-AU"/>
        </w:rPr>
        <w:t>impl</w:t>
      </w:r>
      <w:r w:rsidR="00FE3E2B">
        <w:rPr>
          <w:rFonts w:eastAsia="Times New Roman" w:cs="Times New Roman"/>
          <w:lang w:eastAsia="en-AU"/>
        </w:rPr>
        <w:t>ic</w:t>
      </w:r>
      <w:r w:rsidR="005D041E">
        <w:rPr>
          <w:rFonts w:eastAsia="Times New Roman" w:cs="Times New Roman"/>
          <w:lang w:eastAsia="en-AU"/>
        </w:rPr>
        <w:t>ation is</w:t>
      </w:r>
      <w:r w:rsidR="00204366">
        <w:rPr>
          <w:rFonts w:eastAsia="Times New Roman" w:cs="Times New Roman"/>
          <w:lang w:eastAsia="en-AU"/>
        </w:rPr>
        <w:t xml:space="preserve"> the Government </w:t>
      </w:r>
      <w:r w:rsidR="00855732">
        <w:rPr>
          <w:rFonts w:eastAsia="Times New Roman" w:cs="Times New Roman"/>
          <w:lang w:eastAsia="en-AU"/>
        </w:rPr>
        <w:t>looked</w:t>
      </w:r>
      <w:r w:rsidR="00204366">
        <w:rPr>
          <w:rFonts w:eastAsia="Times New Roman" w:cs="Times New Roman"/>
          <w:lang w:eastAsia="en-AU"/>
        </w:rPr>
        <w:t xml:space="preserve"> for something </w:t>
      </w:r>
      <w:r w:rsidR="00FE3E2B">
        <w:rPr>
          <w:rFonts w:eastAsia="Times New Roman" w:cs="Times New Roman"/>
          <w:lang w:eastAsia="en-AU"/>
        </w:rPr>
        <w:t xml:space="preserve">to maximise revenue from Botany </w:t>
      </w:r>
      <w:r w:rsidR="00204366">
        <w:rPr>
          <w:rFonts w:eastAsia="Times New Roman" w:cs="Times New Roman"/>
          <w:lang w:eastAsia="en-AU"/>
        </w:rPr>
        <w:t>not a</w:t>
      </w:r>
      <w:r w:rsidR="00944656">
        <w:rPr>
          <w:rFonts w:eastAsia="Times New Roman" w:cs="Times New Roman"/>
          <w:lang w:eastAsia="en-AU"/>
        </w:rPr>
        <w:t xml:space="preserve">s </w:t>
      </w:r>
      <w:r w:rsidR="00BF3B14">
        <w:rPr>
          <w:rFonts w:eastAsia="Times New Roman" w:cs="Times New Roman"/>
          <w:lang w:eastAsia="en-AU"/>
        </w:rPr>
        <w:t xml:space="preserve">likely to be detected </w:t>
      </w:r>
      <w:r w:rsidR="00855732">
        <w:rPr>
          <w:rFonts w:eastAsia="Times New Roman" w:cs="Times New Roman"/>
          <w:lang w:eastAsia="en-AU"/>
        </w:rPr>
        <w:t>as</w:t>
      </w:r>
      <w:r w:rsidR="00944656">
        <w:rPr>
          <w:rFonts w:eastAsia="Times New Roman" w:cs="Times New Roman"/>
          <w:lang w:eastAsia="en-AU"/>
        </w:rPr>
        <w:t xml:space="preserve"> </w:t>
      </w:r>
      <w:r w:rsidR="003570F4">
        <w:rPr>
          <w:rFonts w:eastAsia="Times New Roman" w:cs="Times New Roman"/>
          <w:lang w:eastAsia="en-AU"/>
        </w:rPr>
        <w:t xml:space="preserve">either Budget outlays or </w:t>
      </w:r>
      <w:r w:rsidR="00944656">
        <w:rPr>
          <w:rFonts w:eastAsia="Times New Roman" w:cs="Times New Roman"/>
          <w:lang w:eastAsia="en-AU"/>
        </w:rPr>
        <w:t xml:space="preserve">a </w:t>
      </w:r>
      <w:r w:rsidR="00BF3B14">
        <w:rPr>
          <w:rFonts w:eastAsia="Times New Roman" w:cs="Times New Roman"/>
          <w:lang w:eastAsia="en-AU"/>
        </w:rPr>
        <w:t>direct</w:t>
      </w:r>
      <w:r w:rsidR="00944656">
        <w:rPr>
          <w:rFonts w:eastAsia="Times New Roman" w:cs="Times New Roman"/>
          <w:lang w:eastAsia="en-AU"/>
        </w:rPr>
        <w:t xml:space="preserve"> restriction</w:t>
      </w:r>
      <w:r w:rsidR="00BF3B14">
        <w:rPr>
          <w:rFonts w:eastAsia="Times New Roman" w:cs="Times New Roman"/>
          <w:lang w:eastAsia="en-AU"/>
        </w:rPr>
        <w:t xml:space="preserve"> on Newcastle</w:t>
      </w:r>
      <w:r w:rsidR="00944656">
        <w:rPr>
          <w:rFonts w:eastAsia="Times New Roman" w:cs="Times New Roman"/>
          <w:lang w:eastAsia="en-AU"/>
        </w:rPr>
        <w:t>.</w:t>
      </w:r>
    </w:p>
    <w:p w14:paraId="66449913" w14:textId="77777777" w:rsidR="00944656" w:rsidRDefault="00944656" w:rsidP="00B268B7">
      <w:pPr>
        <w:spacing w:after="0"/>
        <w:rPr>
          <w:rFonts w:eastAsia="Times New Roman" w:cs="Times New Roman"/>
          <w:lang w:eastAsia="en-AU"/>
        </w:rPr>
      </w:pPr>
    </w:p>
    <w:p w14:paraId="68385B6B" w14:textId="26FC098E" w:rsidR="00204366" w:rsidRDefault="00BF3B14" w:rsidP="00B268B7">
      <w:pPr>
        <w:spacing w:after="0"/>
        <w:rPr>
          <w:rFonts w:eastAsia="Times New Roman" w:cs="Times New Roman"/>
          <w:lang w:eastAsia="en-AU"/>
        </w:rPr>
      </w:pPr>
      <w:r>
        <w:rPr>
          <w:rFonts w:eastAsia="Times New Roman" w:cs="Times New Roman"/>
          <w:lang w:eastAsia="en-AU"/>
        </w:rPr>
        <w:t>A</w:t>
      </w:r>
      <w:r w:rsidR="00204366">
        <w:rPr>
          <w:rFonts w:eastAsia="Times New Roman" w:cs="Times New Roman"/>
          <w:lang w:eastAsia="en-AU"/>
        </w:rPr>
        <w:t xml:space="preserve"> direct restriction </w:t>
      </w:r>
      <w:r>
        <w:rPr>
          <w:rFonts w:eastAsia="Times New Roman" w:cs="Times New Roman"/>
          <w:lang w:eastAsia="en-AU"/>
        </w:rPr>
        <w:t xml:space="preserve">on Newcastle containers </w:t>
      </w:r>
      <w:r w:rsidR="00204366">
        <w:rPr>
          <w:rFonts w:eastAsia="Times New Roman" w:cs="Times New Roman"/>
          <w:lang w:eastAsia="en-AU"/>
        </w:rPr>
        <w:t xml:space="preserve">would </w:t>
      </w:r>
      <w:r w:rsidR="003570F4">
        <w:rPr>
          <w:rFonts w:eastAsia="Times New Roman" w:cs="Times New Roman"/>
          <w:lang w:eastAsia="en-AU"/>
        </w:rPr>
        <w:t xml:space="preserve">be </w:t>
      </w:r>
      <w:r w:rsidR="00204366">
        <w:rPr>
          <w:rFonts w:eastAsia="Times New Roman" w:cs="Times New Roman"/>
          <w:lang w:eastAsia="en-AU"/>
        </w:rPr>
        <w:t>immediately apparent to the public</w:t>
      </w:r>
      <w:r w:rsidR="00FE3E2B">
        <w:rPr>
          <w:rFonts w:eastAsia="Times New Roman" w:cs="Times New Roman"/>
          <w:lang w:eastAsia="en-AU"/>
        </w:rPr>
        <w:t xml:space="preserve"> and </w:t>
      </w:r>
      <w:r w:rsidR="003570F4">
        <w:rPr>
          <w:rFonts w:eastAsia="Times New Roman" w:cs="Times New Roman"/>
          <w:lang w:eastAsia="en-AU"/>
        </w:rPr>
        <w:t>demonstrate</w:t>
      </w:r>
      <w:r w:rsidR="00FE3E2B">
        <w:rPr>
          <w:rFonts w:eastAsia="Times New Roman" w:cs="Times New Roman"/>
          <w:lang w:eastAsia="en-AU"/>
        </w:rPr>
        <w:t xml:space="preserve"> Government involvement</w:t>
      </w:r>
      <w:r>
        <w:rPr>
          <w:rFonts w:eastAsia="Times New Roman" w:cs="Times New Roman"/>
          <w:lang w:eastAsia="en-AU"/>
        </w:rPr>
        <w:t xml:space="preserve"> in curtailing competition</w:t>
      </w:r>
      <w:r w:rsidR="00204366">
        <w:rPr>
          <w:rFonts w:eastAsia="Times New Roman" w:cs="Times New Roman"/>
          <w:lang w:eastAsia="en-AU"/>
        </w:rPr>
        <w:t>.</w:t>
      </w:r>
      <w:r>
        <w:rPr>
          <w:rFonts w:eastAsia="Times New Roman" w:cs="Times New Roman"/>
          <w:lang w:eastAsia="en-AU"/>
        </w:rPr>
        <w:t xml:space="preserve">  </w:t>
      </w:r>
      <w:r w:rsidR="00204366">
        <w:rPr>
          <w:rFonts w:eastAsia="Times New Roman" w:cs="Times New Roman"/>
          <w:lang w:eastAsia="en-AU"/>
        </w:rPr>
        <w:t>The inference</w:t>
      </w:r>
      <w:r w:rsidR="003570F4">
        <w:rPr>
          <w:rFonts w:eastAsia="Times New Roman" w:cs="Times New Roman"/>
          <w:lang w:eastAsia="en-AU"/>
        </w:rPr>
        <w:t>:</w:t>
      </w:r>
      <w:r>
        <w:rPr>
          <w:rFonts w:eastAsia="Times New Roman" w:cs="Times New Roman"/>
          <w:lang w:eastAsia="en-AU"/>
        </w:rPr>
        <w:t xml:space="preserve"> </w:t>
      </w:r>
      <w:r w:rsidR="001F2FD5">
        <w:rPr>
          <w:rFonts w:eastAsia="Times New Roman" w:cs="Times New Roman"/>
          <w:lang w:eastAsia="en-AU"/>
        </w:rPr>
        <w:t xml:space="preserve">Government </w:t>
      </w:r>
      <w:r>
        <w:rPr>
          <w:rFonts w:eastAsia="Times New Roman" w:cs="Times New Roman"/>
          <w:lang w:eastAsia="en-AU"/>
        </w:rPr>
        <w:t xml:space="preserve">preference for a different </w:t>
      </w:r>
      <w:r w:rsidR="00F163E8">
        <w:rPr>
          <w:rFonts w:eastAsia="Times New Roman" w:cs="Times New Roman"/>
          <w:lang w:eastAsia="en-AU"/>
        </w:rPr>
        <w:t xml:space="preserve">mechanism to support Botany sale revenue hinged on </w:t>
      </w:r>
      <w:r w:rsidR="003570F4">
        <w:rPr>
          <w:rFonts w:eastAsia="Times New Roman" w:cs="Times New Roman"/>
          <w:lang w:eastAsia="en-AU"/>
        </w:rPr>
        <w:t>avoiding exposure</w:t>
      </w:r>
      <w:r w:rsidR="001F2FD5">
        <w:rPr>
          <w:rFonts w:eastAsia="Times New Roman" w:cs="Times New Roman"/>
          <w:lang w:eastAsia="en-AU"/>
        </w:rPr>
        <w:t xml:space="preserve"> to </w:t>
      </w:r>
      <w:r w:rsidR="00204366">
        <w:rPr>
          <w:rFonts w:eastAsia="Times New Roman" w:cs="Times New Roman"/>
          <w:lang w:eastAsia="en-AU"/>
        </w:rPr>
        <w:t>public criticism.</w:t>
      </w:r>
    </w:p>
    <w:p w14:paraId="18445ADD" w14:textId="77777777" w:rsidR="005C5B89" w:rsidRDefault="005C5B89" w:rsidP="00B268B7">
      <w:pPr>
        <w:spacing w:after="0"/>
        <w:rPr>
          <w:rFonts w:eastAsia="Times New Roman" w:cs="Times New Roman"/>
          <w:lang w:eastAsia="en-AU"/>
        </w:rPr>
      </w:pPr>
    </w:p>
    <w:p w14:paraId="1B28E247" w14:textId="77777777" w:rsidR="00944656" w:rsidRDefault="00F163E8" w:rsidP="00B268B7">
      <w:pPr>
        <w:spacing w:after="0"/>
        <w:rPr>
          <w:rFonts w:eastAsia="Times New Roman" w:cs="Times New Roman"/>
          <w:lang w:eastAsia="en-AU"/>
        </w:rPr>
      </w:pPr>
      <w:r>
        <w:rPr>
          <w:rFonts w:eastAsia="Times New Roman" w:cs="Times New Roman"/>
          <w:lang w:eastAsia="en-AU"/>
        </w:rPr>
        <w:t>T</w:t>
      </w:r>
      <w:r w:rsidR="005C29F3">
        <w:rPr>
          <w:rFonts w:eastAsia="Times New Roman" w:cs="Times New Roman"/>
          <w:lang w:eastAsia="en-AU"/>
        </w:rPr>
        <w:t>he Government</w:t>
      </w:r>
      <w:r>
        <w:rPr>
          <w:rFonts w:eastAsia="Times New Roman" w:cs="Times New Roman"/>
          <w:lang w:eastAsia="en-AU"/>
        </w:rPr>
        <w:t>’s</w:t>
      </w:r>
      <w:r w:rsidR="005C29F3">
        <w:rPr>
          <w:rFonts w:eastAsia="Times New Roman" w:cs="Times New Roman"/>
          <w:lang w:eastAsia="en-AU"/>
        </w:rPr>
        <w:t xml:space="preserve"> boasting of sale revenue means it was not afraid of </w:t>
      </w:r>
      <w:r w:rsidR="00204366">
        <w:rPr>
          <w:rFonts w:eastAsia="Times New Roman" w:cs="Times New Roman"/>
          <w:lang w:eastAsia="en-AU"/>
        </w:rPr>
        <w:t xml:space="preserve">public </w:t>
      </w:r>
      <w:r w:rsidR="005C29F3">
        <w:rPr>
          <w:rFonts w:eastAsia="Times New Roman" w:cs="Times New Roman"/>
          <w:lang w:eastAsia="en-AU"/>
        </w:rPr>
        <w:t xml:space="preserve">criticism </w:t>
      </w:r>
      <w:r w:rsidR="00204366">
        <w:rPr>
          <w:rFonts w:eastAsia="Times New Roman" w:cs="Times New Roman"/>
          <w:lang w:eastAsia="en-AU"/>
        </w:rPr>
        <w:t>about</w:t>
      </w:r>
      <w:r w:rsidR="005C5B89">
        <w:rPr>
          <w:rFonts w:eastAsia="Times New Roman" w:cs="Times New Roman"/>
          <w:lang w:eastAsia="en-AU"/>
        </w:rPr>
        <w:t xml:space="preserve"> that. </w:t>
      </w:r>
    </w:p>
    <w:p w14:paraId="0017EA12" w14:textId="2561901B" w:rsidR="001F2FD5" w:rsidRDefault="005C5B89" w:rsidP="00B268B7">
      <w:pPr>
        <w:spacing w:after="0"/>
        <w:rPr>
          <w:rFonts w:eastAsia="Times New Roman" w:cs="Times New Roman"/>
          <w:lang w:eastAsia="en-AU"/>
        </w:rPr>
      </w:pPr>
      <w:r>
        <w:rPr>
          <w:rFonts w:eastAsia="Times New Roman" w:cs="Times New Roman"/>
          <w:lang w:eastAsia="en-AU"/>
        </w:rPr>
        <w:t>The conclusion to be drawn</w:t>
      </w:r>
      <w:r w:rsidR="00F163E8">
        <w:rPr>
          <w:rFonts w:eastAsia="Times New Roman" w:cs="Times New Roman"/>
          <w:lang w:eastAsia="en-AU"/>
        </w:rPr>
        <w:t>:</w:t>
      </w:r>
      <w:r>
        <w:rPr>
          <w:rFonts w:eastAsia="Times New Roman" w:cs="Times New Roman"/>
          <w:lang w:eastAsia="en-AU"/>
        </w:rPr>
        <w:t xml:space="preserve"> the Government was afraid </w:t>
      </w:r>
      <w:r w:rsidR="00C53195">
        <w:rPr>
          <w:rFonts w:eastAsia="Times New Roman" w:cs="Times New Roman"/>
          <w:lang w:eastAsia="en-AU"/>
        </w:rPr>
        <w:t xml:space="preserve">the </w:t>
      </w:r>
      <w:r>
        <w:rPr>
          <w:rFonts w:eastAsia="Times New Roman" w:cs="Times New Roman"/>
          <w:lang w:eastAsia="en-AU"/>
        </w:rPr>
        <w:t xml:space="preserve">public </w:t>
      </w:r>
      <w:r w:rsidR="00C53195">
        <w:rPr>
          <w:rFonts w:eastAsia="Times New Roman" w:cs="Times New Roman"/>
          <w:lang w:eastAsia="en-AU"/>
        </w:rPr>
        <w:t xml:space="preserve">would </w:t>
      </w:r>
      <w:r>
        <w:rPr>
          <w:rFonts w:eastAsia="Times New Roman" w:cs="Times New Roman"/>
          <w:lang w:eastAsia="en-AU"/>
        </w:rPr>
        <w:t xml:space="preserve">find out it had created a scheme </w:t>
      </w:r>
      <w:r w:rsidR="00E26EC1">
        <w:rPr>
          <w:rFonts w:eastAsia="Times New Roman" w:cs="Times New Roman"/>
          <w:lang w:eastAsia="en-AU"/>
        </w:rPr>
        <w:t xml:space="preserve">to be ashamed of.  That shame would arise from </w:t>
      </w:r>
      <w:r>
        <w:rPr>
          <w:rFonts w:eastAsia="Times New Roman" w:cs="Times New Roman"/>
          <w:lang w:eastAsia="en-AU"/>
        </w:rPr>
        <w:t>act</w:t>
      </w:r>
      <w:r w:rsidR="00E26EC1">
        <w:rPr>
          <w:rFonts w:eastAsia="Times New Roman" w:cs="Times New Roman"/>
          <w:lang w:eastAsia="en-AU"/>
        </w:rPr>
        <w:t>ing</w:t>
      </w:r>
      <w:r>
        <w:rPr>
          <w:rFonts w:eastAsia="Times New Roman" w:cs="Times New Roman"/>
          <w:lang w:eastAsia="en-AU"/>
        </w:rPr>
        <w:t xml:space="preserve"> against establishment of a container terminal in Newcastle </w:t>
      </w:r>
      <w:r w:rsidR="001F2FD5">
        <w:rPr>
          <w:rFonts w:eastAsia="Times New Roman" w:cs="Times New Roman"/>
          <w:lang w:eastAsia="en-AU"/>
        </w:rPr>
        <w:t>and/</w:t>
      </w:r>
      <w:r>
        <w:rPr>
          <w:rFonts w:eastAsia="Times New Roman" w:cs="Times New Roman"/>
          <w:lang w:eastAsia="en-AU"/>
        </w:rPr>
        <w:t>or engage</w:t>
      </w:r>
      <w:r w:rsidR="00E26EC1">
        <w:rPr>
          <w:rFonts w:eastAsia="Times New Roman" w:cs="Times New Roman"/>
          <w:lang w:eastAsia="en-AU"/>
        </w:rPr>
        <w:t>ment</w:t>
      </w:r>
      <w:r>
        <w:rPr>
          <w:rFonts w:eastAsia="Times New Roman" w:cs="Times New Roman"/>
          <w:lang w:eastAsia="en-AU"/>
        </w:rPr>
        <w:t xml:space="preserve"> in </w:t>
      </w:r>
      <w:r w:rsidR="00E26EC1">
        <w:rPr>
          <w:rFonts w:eastAsia="Times New Roman" w:cs="Times New Roman"/>
          <w:lang w:eastAsia="en-AU"/>
        </w:rPr>
        <w:t xml:space="preserve">anti-competitive </w:t>
      </w:r>
      <w:r>
        <w:rPr>
          <w:rFonts w:eastAsia="Times New Roman" w:cs="Times New Roman"/>
          <w:lang w:eastAsia="en-AU"/>
        </w:rPr>
        <w:t xml:space="preserve">practices.  </w:t>
      </w:r>
    </w:p>
    <w:p w14:paraId="0804C222" w14:textId="77777777" w:rsidR="001F2FD5" w:rsidRDefault="001F2FD5" w:rsidP="00B268B7">
      <w:pPr>
        <w:spacing w:after="0"/>
        <w:rPr>
          <w:rFonts w:eastAsia="Times New Roman" w:cs="Times New Roman"/>
          <w:lang w:eastAsia="en-AU"/>
        </w:rPr>
      </w:pPr>
    </w:p>
    <w:p w14:paraId="1FE31E84" w14:textId="77777777" w:rsidR="003B3D43" w:rsidRDefault="00E2163A" w:rsidP="00B268B7">
      <w:pPr>
        <w:spacing w:after="0"/>
        <w:rPr>
          <w:rFonts w:eastAsia="Times New Roman" w:cs="Times New Roman"/>
          <w:lang w:eastAsia="en-AU"/>
        </w:rPr>
      </w:pPr>
      <w:r>
        <w:rPr>
          <w:rFonts w:eastAsia="Times New Roman" w:cs="Times New Roman"/>
          <w:lang w:eastAsia="en-AU"/>
        </w:rPr>
        <w:t>M</w:t>
      </w:r>
      <w:r w:rsidR="00D856B3">
        <w:rPr>
          <w:rFonts w:eastAsia="Times New Roman" w:cs="Times New Roman"/>
          <w:lang w:eastAsia="en-AU"/>
        </w:rPr>
        <w:t xml:space="preserve">embers of </w:t>
      </w:r>
      <w:r w:rsidR="001F2FD5">
        <w:rPr>
          <w:rFonts w:eastAsia="Times New Roman" w:cs="Times New Roman"/>
          <w:lang w:eastAsia="en-AU"/>
        </w:rPr>
        <w:t xml:space="preserve">the </w:t>
      </w:r>
      <w:r>
        <w:rPr>
          <w:rFonts w:eastAsia="Times New Roman" w:cs="Times New Roman"/>
          <w:lang w:eastAsia="en-AU"/>
        </w:rPr>
        <w:t>pr</w:t>
      </w:r>
      <w:r w:rsidR="00446A9F">
        <w:rPr>
          <w:rFonts w:eastAsia="Times New Roman" w:cs="Times New Roman"/>
          <w:lang w:eastAsia="en-AU"/>
        </w:rPr>
        <w:t>evious</w:t>
      </w:r>
      <w:r w:rsidR="001F2FD5">
        <w:rPr>
          <w:rFonts w:eastAsia="Times New Roman" w:cs="Times New Roman"/>
          <w:lang w:eastAsia="en-AU"/>
        </w:rPr>
        <w:t xml:space="preserve"> Labor Government had been criticised </w:t>
      </w:r>
      <w:r w:rsidR="002E64E0">
        <w:rPr>
          <w:rFonts w:eastAsia="Times New Roman" w:cs="Times New Roman"/>
          <w:lang w:eastAsia="en-AU"/>
        </w:rPr>
        <w:t>and subject to investigation</w:t>
      </w:r>
      <w:r>
        <w:rPr>
          <w:rFonts w:eastAsia="Times New Roman" w:cs="Times New Roman"/>
          <w:lang w:eastAsia="en-AU"/>
        </w:rPr>
        <w:t>s</w:t>
      </w:r>
      <w:r w:rsidR="002E64E0">
        <w:rPr>
          <w:rFonts w:eastAsia="Times New Roman" w:cs="Times New Roman"/>
          <w:lang w:eastAsia="en-AU"/>
        </w:rPr>
        <w:t xml:space="preserve"> </w:t>
      </w:r>
      <w:r w:rsidR="001F2FD5">
        <w:rPr>
          <w:rFonts w:eastAsia="Times New Roman" w:cs="Times New Roman"/>
          <w:lang w:eastAsia="en-AU"/>
        </w:rPr>
        <w:t xml:space="preserve">for </w:t>
      </w:r>
      <w:r>
        <w:rPr>
          <w:rFonts w:eastAsia="Times New Roman" w:cs="Times New Roman"/>
          <w:lang w:eastAsia="en-AU"/>
        </w:rPr>
        <w:t>stymieing a container terminal in Newcastle</w:t>
      </w:r>
      <w:r w:rsidR="001F2FD5">
        <w:rPr>
          <w:rFonts w:eastAsia="Times New Roman" w:cs="Times New Roman"/>
          <w:lang w:eastAsia="en-AU"/>
        </w:rPr>
        <w:t>.</w:t>
      </w:r>
      <w:r w:rsidR="002E64E0">
        <w:rPr>
          <w:rFonts w:eastAsia="Times New Roman" w:cs="Times New Roman"/>
          <w:lang w:eastAsia="en-AU"/>
        </w:rPr>
        <w:t xml:space="preserve">  </w:t>
      </w:r>
    </w:p>
    <w:p w14:paraId="63030F58" w14:textId="77777777" w:rsidR="003B3D43" w:rsidRDefault="003B3D43" w:rsidP="00B268B7">
      <w:pPr>
        <w:spacing w:after="0"/>
        <w:rPr>
          <w:rFonts w:eastAsia="Times New Roman" w:cs="Times New Roman"/>
          <w:lang w:eastAsia="en-AU"/>
        </w:rPr>
      </w:pPr>
    </w:p>
    <w:p w14:paraId="642634B0" w14:textId="77777777" w:rsidR="00CF1DB3" w:rsidRDefault="002E64E0" w:rsidP="00B268B7">
      <w:pPr>
        <w:spacing w:after="0"/>
        <w:rPr>
          <w:rFonts w:eastAsia="Times New Roman" w:cs="Times New Roman"/>
          <w:lang w:eastAsia="en-AU"/>
        </w:rPr>
      </w:pPr>
      <w:r>
        <w:rPr>
          <w:rFonts w:eastAsia="Times New Roman" w:cs="Times New Roman"/>
          <w:lang w:eastAsia="en-AU"/>
        </w:rPr>
        <w:t xml:space="preserve">The Independent Commission Against Corruption investigated the leaking of confidential documents </w:t>
      </w:r>
      <w:r w:rsidR="003570F4">
        <w:rPr>
          <w:rFonts w:eastAsia="Times New Roman" w:cs="Times New Roman"/>
          <w:lang w:eastAsia="en-AU"/>
        </w:rPr>
        <w:t>to undermine the case for a terminal</w:t>
      </w:r>
      <w:r w:rsidR="00B268B7">
        <w:rPr>
          <w:rFonts w:eastAsia="Times New Roman" w:cs="Times New Roman"/>
          <w:lang w:eastAsia="en-AU"/>
        </w:rPr>
        <w:t xml:space="preserve">.  </w:t>
      </w:r>
    </w:p>
    <w:p w14:paraId="6D4EAC72" w14:textId="77777777" w:rsidR="00CF1DB3" w:rsidRDefault="00CF1DB3" w:rsidP="00B268B7">
      <w:pPr>
        <w:spacing w:after="0"/>
        <w:rPr>
          <w:rFonts w:eastAsia="Times New Roman" w:cs="Times New Roman"/>
          <w:lang w:eastAsia="en-AU"/>
        </w:rPr>
      </w:pPr>
    </w:p>
    <w:p w14:paraId="779DB49F" w14:textId="28C01E14" w:rsidR="001F2FD5" w:rsidRDefault="00B268B7" w:rsidP="00B268B7">
      <w:pPr>
        <w:spacing w:after="0"/>
        <w:rPr>
          <w:rFonts w:eastAsia="Times New Roman" w:cs="Times New Roman"/>
          <w:lang w:eastAsia="en-AU"/>
        </w:rPr>
      </w:pPr>
      <w:r>
        <w:rPr>
          <w:rFonts w:eastAsia="Times New Roman" w:cs="Times New Roman"/>
          <w:lang w:eastAsia="en-AU"/>
        </w:rPr>
        <w:lastRenderedPageBreak/>
        <w:t xml:space="preserve">It also investigated </w:t>
      </w:r>
      <w:r w:rsidR="002E64E0">
        <w:rPr>
          <w:rFonts w:eastAsia="Times New Roman" w:cs="Times New Roman"/>
          <w:lang w:eastAsia="en-AU"/>
        </w:rPr>
        <w:t xml:space="preserve">a 2011 </w:t>
      </w:r>
      <w:r w:rsidR="0058535F">
        <w:rPr>
          <w:rFonts w:eastAsia="Times New Roman" w:cs="Times New Roman"/>
          <w:lang w:eastAsia="en-AU"/>
        </w:rPr>
        <w:t xml:space="preserve">Treasurer </w:t>
      </w:r>
      <w:r w:rsidR="002E64E0">
        <w:rPr>
          <w:rFonts w:eastAsia="Times New Roman" w:cs="Times New Roman"/>
          <w:lang w:eastAsia="en-AU"/>
        </w:rPr>
        <w:t xml:space="preserve">decision </w:t>
      </w:r>
      <w:r w:rsidR="0058535F">
        <w:rPr>
          <w:rFonts w:eastAsia="Times New Roman" w:cs="Times New Roman"/>
          <w:lang w:eastAsia="en-AU"/>
        </w:rPr>
        <w:t xml:space="preserve">to </w:t>
      </w:r>
      <w:r w:rsidR="002E64E0">
        <w:rPr>
          <w:rFonts w:eastAsia="Times New Roman" w:cs="Times New Roman"/>
          <w:lang w:eastAsia="en-AU"/>
        </w:rPr>
        <w:t xml:space="preserve">not </w:t>
      </w:r>
      <w:r w:rsidR="003570F4">
        <w:rPr>
          <w:rFonts w:eastAsia="Times New Roman" w:cs="Times New Roman"/>
          <w:lang w:eastAsia="en-AU"/>
        </w:rPr>
        <w:t>permit</w:t>
      </w:r>
      <w:r w:rsidR="002E64E0">
        <w:rPr>
          <w:rFonts w:eastAsia="Times New Roman" w:cs="Times New Roman"/>
          <w:lang w:eastAsia="en-AU"/>
        </w:rPr>
        <w:t xml:space="preserve"> </w:t>
      </w:r>
      <w:r w:rsidR="00D856B3">
        <w:rPr>
          <w:rFonts w:eastAsia="Times New Roman" w:cs="Times New Roman"/>
          <w:lang w:eastAsia="en-AU"/>
        </w:rPr>
        <w:t>(</w:t>
      </w:r>
      <w:r w:rsidR="002E64E0">
        <w:rPr>
          <w:rFonts w:eastAsia="Times New Roman" w:cs="Times New Roman"/>
          <w:lang w:eastAsia="en-AU"/>
        </w:rPr>
        <w:t>then</w:t>
      </w:r>
      <w:r w:rsidR="00D856B3">
        <w:rPr>
          <w:rFonts w:eastAsia="Times New Roman" w:cs="Times New Roman"/>
          <w:lang w:eastAsia="en-AU"/>
        </w:rPr>
        <w:t>)</w:t>
      </w:r>
      <w:r w:rsidR="002E64E0">
        <w:rPr>
          <w:rFonts w:eastAsia="Times New Roman" w:cs="Times New Roman"/>
          <w:lang w:eastAsia="en-AU"/>
        </w:rPr>
        <w:t xml:space="preserve"> Newcastle Ports Corporation to </w:t>
      </w:r>
      <w:r w:rsidR="0058535F">
        <w:rPr>
          <w:rFonts w:eastAsia="Times New Roman" w:cs="Times New Roman"/>
          <w:lang w:eastAsia="en-AU"/>
        </w:rPr>
        <w:t xml:space="preserve">conclude ‘commercial negotiations’ and a ‘final contract’ with a private consortium to establish </w:t>
      </w:r>
      <w:r w:rsidR="00446A9F">
        <w:rPr>
          <w:rFonts w:eastAsia="Times New Roman" w:cs="Times New Roman"/>
          <w:lang w:eastAsia="en-AU"/>
        </w:rPr>
        <w:t>the</w:t>
      </w:r>
      <w:r w:rsidR="0058535F">
        <w:rPr>
          <w:rFonts w:eastAsia="Times New Roman" w:cs="Times New Roman"/>
          <w:lang w:eastAsia="en-AU"/>
        </w:rPr>
        <w:t xml:space="preserve"> </w:t>
      </w:r>
      <w:r w:rsidR="002E64E0">
        <w:rPr>
          <w:rFonts w:eastAsia="Times New Roman" w:cs="Times New Roman"/>
          <w:lang w:eastAsia="en-AU"/>
        </w:rPr>
        <w:t>terminal</w:t>
      </w:r>
      <w:r w:rsidR="00D856B3">
        <w:rPr>
          <w:rFonts w:eastAsia="Times New Roman" w:cs="Times New Roman"/>
          <w:lang w:eastAsia="en-AU"/>
        </w:rPr>
        <w:t xml:space="preserve">.  </w:t>
      </w:r>
      <w:r w:rsidR="00E2163A">
        <w:rPr>
          <w:rFonts w:eastAsia="Times New Roman" w:cs="Times New Roman"/>
          <w:lang w:eastAsia="en-AU"/>
        </w:rPr>
        <w:t>O</w:t>
      </w:r>
      <w:r w:rsidR="0058535F">
        <w:rPr>
          <w:rFonts w:eastAsia="Times New Roman" w:cs="Times New Roman"/>
          <w:lang w:eastAsia="en-AU"/>
        </w:rPr>
        <w:t xml:space="preserve">ther parties </w:t>
      </w:r>
      <w:r w:rsidR="00D856B3">
        <w:rPr>
          <w:rFonts w:eastAsia="Times New Roman" w:cs="Times New Roman"/>
          <w:lang w:eastAsia="en-AU"/>
        </w:rPr>
        <w:t xml:space="preserve">had approached the Treasurer and </w:t>
      </w:r>
      <w:r w:rsidR="003570F4">
        <w:rPr>
          <w:rFonts w:eastAsia="Times New Roman" w:cs="Times New Roman"/>
          <w:lang w:eastAsia="en-AU"/>
        </w:rPr>
        <w:t>politicians</w:t>
      </w:r>
      <w:r w:rsidR="00D856B3">
        <w:rPr>
          <w:rFonts w:eastAsia="Times New Roman" w:cs="Times New Roman"/>
          <w:lang w:eastAsia="en-AU"/>
        </w:rPr>
        <w:t xml:space="preserve"> </w:t>
      </w:r>
      <w:r w:rsidR="0058535F">
        <w:rPr>
          <w:rFonts w:eastAsia="Times New Roman" w:cs="Times New Roman"/>
          <w:lang w:eastAsia="en-AU"/>
        </w:rPr>
        <w:t xml:space="preserve">seeking </w:t>
      </w:r>
      <w:r w:rsidR="00C53195">
        <w:rPr>
          <w:rFonts w:eastAsia="Times New Roman" w:cs="Times New Roman"/>
          <w:lang w:eastAsia="en-AU"/>
        </w:rPr>
        <w:t>the relevant site</w:t>
      </w:r>
      <w:r w:rsidR="00E2163A">
        <w:rPr>
          <w:rFonts w:eastAsia="Times New Roman" w:cs="Times New Roman"/>
          <w:lang w:eastAsia="en-AU"/>
        </w:rPr>
        <w:t xml:space="preserve"> for a coal loader</w:t>
      </w:r>
      <w:r w:rsidR="002E64E0">
        <w:rPr>
          <w:rFonts w:eastAsia="Times New Roman" w:cs="Times New Roman"/>
          <w:lang w:eastAsia="en-AU"/>
        </w:rPr>
        <w:t>.</w:t>
      </w:r>
      <w:r w:rsidR="00491A37">
        <w:rPr>
          <w:rStyle w:val="FootnoteReference"/>
          <w:rFonts w:eastAsia="Times New Roman" w:cs="Times New Roman"/>
          <w:lang w:eastAsia="en-AU"/>
        </w:rPr>
        <w:footnoteReference w:id="13"/>
      </w:r>
    </w:p>
    <w:p w14:paraId="4CC98812" w14:textId="0538FD5A" w:rsidR="0058535F" w:rsidRDefault="0058535F" w:rsidP="00B268B7">
      <w:pPr>
        <w:spacing w:after="0"/>
        <w:rPr>
          <w:rFonts w:eastAsia="Times New Roman" w:cs="Times New Roman"/>
          <w:lang w:eastAsia="en-AU"/>
        </w:rPr>
      </w:pPr>
    </w:p>
    <w:p w14:paraId="7CE2F314" w14:textId="72C0D578" w:rsidR="00D6288E" w:rsidRDefault="00D6288E" w:rsidP="00D6288E">
      <w:pPr>
        <w:spacing w:after="0"/>
        <w:rPr>
          <w:rFonts w:eastAsia="Times New Roman" w:cs="Times New Roman"/>
          <w:lang w:eastAsia="en-AU"/>
        </w:rPr>
      </w:pPr>
      <w:r>
        <w:rPr>
          <w:rFonts w:eastAsia="Times New Roman" w:cs="Times New Roman"/>
          <w:lang w:eastAsia="en-AU"/>
        </w:rPr>
        <w:t>The Court did not mention the circumstances surrounding that investigation.  Its comments that the Labor administration had pursued a</w:t>
      </w:r>
      <w:r w:rsidR="003B3D43">
        <w:rPr>
          <w:rFonts w:eastAsia="Times New Roman" w:cs="Times New Roman"/>
          <w:lang w:eastAsia="en-AU"/>
        </w:rPr>
        <w:t xml:space="preserve"> use-</w:t>
      </w:r>
      <w:r>
        <w:rPr>
          <w:rFonts w:eastAsia="Times New Roman" w:cs="Times New Roman"/>
          <w:lang w:eastAsia="en-AU"/>
        </w:rPr>
        <w:t>Botany-capacity-</w:t>
      </w:r>
      <w:r w:rsidR="003B3D43">
        <w:rPr>
          <w:rFonts w:eastAsia="Times New Roman" w:cs="Times New Roman"/>
          <w:lang w:eastAsia="en-AU"/>
        </w:rPr>
        <w:t>f</w:t>
      </w:r>
      <w:r>
        <w:rPr>
          <w:rFonts w:eastAsia="Times New Roman" w:cs="Times New Roman"/>
          <w:lang w:eastAsia="en-AU"/>
        </w:rPr>
        <w:t>irst policy should be considered in that light.</w:t>
      </w:r>
    </w:p>
    <w:p w14:paraId="765C0B15" w14:textId="6AD80920" w:rsidR="00D6288E" w:rsidRDefault="00D6288E" w:rsidP="00B268B7">
      <w:pPr>
        <w:spacing w:after="0"/>
        <w:rPr>
          <w:rFonts w:eastAsia="Times New Roman" w:cs="Times New Roman"/>
          <w:lang w:eastAsia="en-AU"/>
        </w:rPr>
      </w:pPr>
    </w:p>
    <w:p w14:paraId="551D3AEB" w14:textId="6883B50D" w:rsidR="005C5B89" w:rsidRDefault="003570F4" w:rsidP="00B268B7">
      <w:pPr>
        <w:spacing w:after="0"/>
        <w:rPr>
          <w:rFonts w:eastAsia="Times New Roman" w:cs="Times New Roman"/>
          <w:lang w:eastAsia="en-AU"/>
        </w:rPr>
      </w:pPr>
      <w:r>
        <w:rPr>
          <w:rFonts w:eastAsia="Times New Roman" w:cs="Times New Roman"/>
          <w:lang w:eastAsia="en-AU"/>
        </w:rPr>
        <w:t xml:space="preserve">The </w:t>
      </w:r>
      <w:r w:rsidR="00F163E8">
        <w:rPr>
          <w:rFonts w:eastAsia="Times New Roman" w:cs="Times New Roman"/>
          <w:lang w:eastAsia="en-AU"/>
        </w:rPr>
        <w:t>C</w:t>
      </w:r>
      <w:r w:rsidR="005C5B89">
        <w:rPr>
          <w:rFonts w:eastAsia="Times New Roman" w:cs="Times New Roman"/>
          <w:lang w:eastAsia="en-AU"/>
        </w:rPr>
        <w:t xml:space="preserve">ourt’s finding </w:t>
      </w:r>
      <w:r w:rsidR="00E2163A">
        <w:rPr>
          <w:rFonts w:eastAsia="Times New Roman" w:cs="Times New Roman"/>
          <w:lang w:eastAsia="en-AU"/>
        </w:rPr>
        <w:t xml:space="preserve">that </w:t>
      </w:r>
      <w:r w:rsidR="005C5B89">
        <w:rPr>
          <w:rFonts w:eastAsia="Times New Roman" w:cs="Times New Roman"/>
          <w:lang w:eastAsia="en-AU"/>
        </w:rPr>
        <w:t xml:space="preserve">pre-existing policy </w:t>
      </w:r>
      <w:r w:rsidR="00F163E8">
        <w:rPr>
          <w:rFonts w:eastAsia="Times New Roman" w:cs="Times New Roman"/>
          <w:lang w:eastAsia="en-AU"/>
        </w:rPr>
        <w:t>would</w:t>
      </w:r>
      <w:r w:rsidR="005C5B89">
        <w:rPr>
          <w:rFonts w:eastAsia="Times New Roman" w:cs="Times New Roman"/>
          <w:lang w:eastAsia="en-AU"/>
        </w:rPr>
        <w:t xml:space="preserve"> prevent a terminal at Newcastle </w:t>
      </w:r>
      <w:r>
        <w:rPr>
          <w:rFonts w:eastAsia="Times New Roman" w:cs="Times New Roman"/>
          <w:lang w:eastAsia="en-AU"/>
        </w:rPr>
        <w:t xml:space="preserve">does not sit well with the Government’s desire to keep </w:t>
      </w:r>
      <w:r w:rsidR="003D6354">
        <w:rPr>
          <w:rFonts w:eastAsia="Times New Roman" w:cs="Times New Roman"/>
          <w:lang w:eastAsia="en-AU"/>
        </w:rPr>
        <w:t xml:space="preserve">secret </w:t>
      </w:r>
      <w:r>
        <w:rPr>
          <w:rFonts w:eastAsia="Times New Roman" w:cs="Times New Roman"/>
          <w:lang w:eastAsia="en-AU"/>
        </w:rPr>
        <w:t xml:space="preserve">the penalty-compensation </w:t>
      </w:r>
      <w:r w:rsidR="0069315E">
        <w:rPr>
          <w:rFonts w:eastAsia="Times New Roman" w:cs="Times New Roman"/>
          <w:lang w:eastAsia="en-AU"/>
        </w:rPr>
        <w:t>scheme</w:t>
      </w:r>
      <w:r>
        <w:rPr>
          <w:rFonts w:eastAsia="Times New Roman" w:cs="Times New Roman"/>
          <w:lang w:eastAsia="en-AU"/>
        </w:rPr>
        <w:t xml:space="preserve">.  </w:t>
      </w:r>
      <w:r w:rsidR="00F163E8">
        <w:rPr>
          <w:rFonts w:eastAsia="Times New Roman" w:cs="Times New Roman"/>
          <w:lang w:eastAsia="en-AU"/>
        </w:rPr>
        <w:t>The reason</w:t>
      </w:r>
      <w:r w:rsidR="00FE3E2B">
        <w:rPr>
          <w:rFonts w:eastAsia="Times New Roman" w:cs="Times New Roman"/>
          <w:lang w:eastAsia="en-AU"/>
        </w:rPr>
        <w:t>:</w:t>
      </w:r>
      <w:r w:rsidR="00F163E8">
        <w:rPr>
          <w:rFonts w:eastAsia="Times New Roman" w:cs="Times New Roman"/>
          <w:lang w:eastAsia="en-AU"/>
        </w:rPr>
        <w:t xml:space="preserve"> such a </w:t>
      </w:r>
      <w:r>
        <w:rPr>
          <w:rFonts w:eastAsia="Times New Roman" w:cs="Times New Roman"/>
          <w:lang w:eastAsia="en-AU"/>
        </w:rPr>
        <w:t xml:space="preserve">pre-existing </w:t>
      </w:r>
      <w:r w:rsidR="00F163E8">
        <w:rPr>
          <w:rFonts w:eastAsia="Times New Roman" w:cs="Times New Roman"/>
          <w:lang w:eastAsia="en-AU"/>
        </w:rPr>
        <w:t xml:space="preserve">policy would be publicly known.  The </w:t>
      </w:r>
      <w:r w:rsidR="00E7013B">
        <w:rPr>
          <w:rFonts w:eastAsia="Times New Roman" w:cs="Times New Roman"/>
          <w:lang w:eastAsia="en-AU"/>
        </w:rPr>
        <w:t xml:space="preserve">apparent </w:t>
      </w:r>
      <w:r w:rsidR="00F163E8">
        <w:rPr>
          <w:rFonts w:eastAsia="Times New Roman" w:cs="Times New Roman"/>
          <w:lang w:eastAsia="en-AU"/>
        </w:rPr>
        <w:t xml:space="preserve">incongruity </w:t>
      </w:r>
      <w:r w:rsidR="00446A9F">
        <w:rPr>
          <w:rFonts w:eastAsia="Times New Roman" w:cs="Times New Roman"/>
          <w:lang w:eastAsia="en-AU"/>
        </w:rPr>
        <w:t>is</w:t>
      </w:r>
      <w:r w:rsidR="00E7013B">
        <w:rPr>
          <w:rFonts w:eastAsia="Times New Roman" w:cs="Times New Roman"/>
          <w:lang w:eastAsia="en-AU"/>
        </w:rPr>
        <w:t xml:space="preserve"> </w:t>
      </w:r>
      <w:r w:rsidR="00F163E8">
        <w:rPr>
          <w:rFonts w:eastAsia="Times New Roman" w:cs="Times New Roman"/>
          <w:lang w:eastAsia="en-AU"/>
        </w:rPr>
        <w:t>resolv</w:t>
      </w:r>
      <w:r w:rsidR="00446A9F">
        <w:rPr>
          <w:rFonts w:eastAsia="Times New Roman" w:cs="Times New Roman"/>
          <w:lang w:eastAsia="en-AU"/>
        </w:rPr>
        <w:t xml:space="preserve">able </w:t>
      </w:r>
      <w:r w:rsidR="00F163E8">
        <w:rPr>
          <w:rFonts w:eastAsia="Times New Roman" w:cs="Times New Roman"/>
          <w:lang w:eastAsia="en-AU"/>
        </w:rPr>
        <w:t xml:space="preserve">if the Government’s </w:t>
      </w:r>
      <w:r w:rsidR="00E7013B">
        <w:rPr>
          <w:rFonts w:eastAsia="Times New Roman" w:cs="Times New Roman"/>
          <w:lang w:eastAsia="en-AU"/>
        </w:rPr>
        <w:t xml:space="preserve">desire for secrecy was </w:t>
      </w:r>
      <w:r w:rsidR="00F163E8">
        <w:rPr>
          <w:rFonts w:eastAsia="Times New Roman" w:cs="Times New Roman"/>
          <w:lang w:eastAsia="en-AU"/>
        </w:rPr>
        <w:t xml:space="preserve">motivated by </w:t>
      </w:r>
      <w:r w:rsidR="00446A9F">
        <w:rPr>
          <w:rFonts w:eastAsia="Times New Roman" w:cs="Times New Roman"/>
          <w:lang w:eastAsia="en-AU"/>
        </w:rPr>
        <w:t>belief</w:t>
      </w:r>
      <w:r w:rsidR="00F163E8">
        <w:rPr>
          <w:rFonts w:eastAsia="Times New Roman" w:cs="Times New Roman"/>
          <w:lang w:eastAsia="en-AU"/>
        </w:rPr>
        <w:t xml:space="preserve"> </w:t>
      </w:r>
      <w:r w:rsidR="003D6354">
        <w:rPr>
          <w:rFonts w:eastAsia="Times New Roman" w:cs="Times New Roman"/>
          <w:lang w:eastAsia="en-AU"/>
        </w:rPr>
        <w:t xml:space="preserve">the </w:t>
      </w:r>
      <w:r w:rsidR="0069315E">
        <w:rPr>
          <w:rFonts w:eastAsia="Times New Roman" w:cs="Times New Roman"/>
          <w:lang w:eastAsia="en-AU"/>
        </w:rPr>
        <w:t>scheme</w:t>
      </w:r>
      <w:r w:rsidR="003D6354">
        <w:rPr>
          <w:rFonts w:eastAsia="Times New Roman" w:cs="Times New Roman"/>
          <w:lang w:eastAsia="en-AU"/>
        </w:rPr>
        <w:t xml:space="preserve"> was </w:t>
      </w:r>
      <w:r w:rsidR="00FF1D05">
        <w:rPr>
          <w:rFonts w:eastAsia="Times New Roman" w:cs="Times New Roman"/>
          <w:lang w:eastAsia="en-AU"/>
        </w:rPr>
        <w:t>anti-competitive</w:t>
      </w:r>
      <w:r w:rsidR="00446A9F">
        <w:rPr>
          <w:rFonts w:eastAsia="Times New Roman" w:cs="Times New Roman"/>
          <w:lang w:eastAsia="en-AU"/>
        </w:rPr>
        <w:t>.</w:t>
      </w:r>
    </w:p>
    <w:p w14:paraId="21F5800A" w14:textId="3BDFE187" w:rsidR="00645A15" w:rsidRDefault="00645A15" w:rsidP="00B268B7">
      <w:pPr>
        <w:spacing w:after="0"/>
        <w:rPr>
          <w:rFonts w:eastAsia="Times New Roman" w:cs="Times New Roman"/>
          <w:lang w:eastAsia="en-AU"/>
        </w:rPr>
      </w:pPr>
    </w:p>
    <w:p w14:paraId="528D35D1" w14:textId="1CF39F72" w:rsidR="00645A15" w:rsidRPr="00645A15" w:rsidRDefault="000771CB" w:rsidP="00B268B7">
      <w:pPr>
        <w:pStyle w:val="Heading3"/>
        <w:spacing w:before="0"/>
        <w:rPr>
          <w:rFonts w:eastAsia="Times New Roman"/>
          <w:lang w:eastAsia="en-AU"/>
        </w:rPr>
      </w:pPr>
      <w:bookmarkStart w:id="13" w:name="_Toc79490159"/>
      <w:r>
        <w:rPr>
          <w:rFonts w:eastAsia="Times New Roman"/>
          <w:lang w:eastAsia="en-AU"/>
        </w:rPr>
        <w:t>4</w:t>
      </w:r>
      <w:r w:rsidR="00CC6E43">
        <w:rPr>
          <w:rFonts w:eastAsia="Times New Roman"/>
          <w:lang w:eastAsia="en-AU"/>
        </w:rPr>
        <w:t>.</w:t>
      </w:r>
      <w:r w:rsidR="00613F48">
        <w:rPr>
          <w:rFonts w:eastAsia="Times New Roman"/>
          <w:lang w:eastAsia="en-AU"/>
        </w:rPr>
        <w:t>2</w:t>
      </w:r>
      <w:r w:rsidR="00CC6E43">
        <w:rPr>
          <w:rFonts w:eastAsia="Times New Roman"/>
          <w:lang w:eastAsia="en-AU"/>
        </w:rPr>
        <w:tab/>
        <w:t>Land transport</w:t>
      </w:r>
      <w:r w:rsidR="000A6DA8">
        <w:rPr>
          <w:rFonts w:eastAsia="Times New Roman"/>
          <w:lang w:eastAsia="en-AU"/>
        </w:rPr>
        <w:t xml:space="preserve"> and policy</w:t>
      </w:r>
      <w:bookmarkEnd w:id="13"/>
    </w:p>
    <w:p w14:paraId="50B7797D" w14:textId="757BD264" w:rsidR="00085150" w:rsidRDefault="00085150" w:rsidP="00085150">
      <w:pPr>
        <w:pStyle w:val="Heading4"/>
        <w:rPr>
          <w:lang w:eastAsia="en-AU"/>
        </w:rPr>
      </w:pPr>
      <w:r>
        <w:rPr>
          <w:lang w:eastAsia="en-AU"/>
        </w:rPr>
        <w:t>4.2.0</w:t>
      </w:r>
      <w:r>
        <w:rPr>
          <w:lang w:eastAsia="en-AU"/>
        </w:rPr>
        <w:tab/>
        <w:t>Court views</w:t>
      </w:r>
    </w:p>
    <w:p w14:paraId="1B596D80" w14:textId="5BAA4716" w:rsidR="00085150" w:rsidRDefault="00855732" w:rsidP="00085150">
      <w:pPr>
        <w:spacing w:after="0"/>
        <w:rPr>
          <w:lang w:eastAsia="en-AU"/>
        </w:rPr>
      </w:pPr>
      <w:r>
        <w:rPr>
          <w:lang w:eastAsia="en-AU"/>
        </w:rPr>
        <w:t>The Court</w:t>
      </w:r>
      <w:r w:rsidR="00D6288E">
        <w:rPr>
          <w:lang w:eastAsia="en-AU"/>
        </w:rPr>
        <w:t xml:space="preserve">’s consideration of land transport </w:t>
      </w:r>
      <w:r w:rsidR="00085150">
        <w:rPr>
          <w:lang w:eastAsia="en-AU"/>
        </w:rPr>
        <w:t>constraints on Botany</w:t>
      </w:r>
      <w:r w:rsidR="00D6288E">
        <w:rPr>
          <w:lang w:eastAsia="en-AU"/>
        </w:rPr>
        <w:t xml:space="preserve"> extended to </w:t>
      </w:r>
      <w:r w:rsidR="00085150">
        <w:rPr>
          <w:lang w:eastAsia="en-AU"/>
        </w:rPr>
        <w:t>three</w:t>
      </w:r>
      <w:r w:rsidR="00D6288E">
        <w:rPr>
          <w:lang w:eastAsia="en-AU"/>
        </w:rPr>
        <w:t xml:space="preserve"> out of 1,634 paragraphs.</w:t>
      </w:r>
      <w:r w:rsidR="00085150">
        <w:rPr>
          <w:lang w:eastAsia="en-AU"/>
        </w:rPr>
        <w:t xml:space="preserve">  The significance of such constraints was dismissed in two paragraphs</w:t>
      </w:r>
      <w:r w:rsidR="00220235">
        <w:rPr>
          <w:lang w:eastAsia="en-AU"/>
        </w:rPr>
        <w:t>:</w:t>
      </w:r>
    </w:p>
    <w:p w14:paraId="4FB8F927" w14:textId="4A898B38" w:rsidR="00085150" w:rsidRPr="00085150" w:rsidRDefault="00085150" w:rsidP="00085150">
      <w:pPr>
        <w:ind w:left="720"/>
        <w:rPr>
          <w:i/>
          <w:iCs/>
        </w:rPr>
      </w:pPr>
      <w:r w:rsidRPr="00085150">
        <w:rPr>
          <w:i/>
          <w:iCs/>
        </w:rPr>
        <w:t>‘Port Botany’s ultimate capacity may be constrained by (amongst other things) traffic congestion issues, but the issue has never been and is not of great significance</w:t>
      </w:r>
      <w:proofErr w:type="gramStart"/>
      <w:r w:rsidR="00EE1049">
        <w:rPr>
          <w:i/>
          <w:iCs/>
        </w:rPr>
        <w:t>…..</w:t>
      </w:r>
      <w:proofErr w:type="gramEnd"/>
    </w:p>
    <w:p w14:paraId="45DC8B6B" w14:textId="46AF5A9A" w:rsidR="00085150" w:rsidRDefault="00085150" w:rsidP="00085150">
      <w:pPr>
        <w:ind w:left="720"/>
        <w:rPr>
          <w:i/>
          <w:iCs/>
        </w:rPr>
      </w:pPr>
      <w:r w:rsidRPr="00085150">
        <w:rPr>
          <w:i/>
          <w:iCs/>
        </w:rPr>
        <w:t>that Port Botany is located within an area of traffic congestion was and is not particularly significant to any investigation of the viability of developing a container terminal at the Port of Newcastle. It was and is more in the nature of advocacy issue for PON.</w:t>
      </w:r>
      <w:r>
        <w:rPr>
          <w:i/>
          <w:iCs/>
        </w:rPr>
        <w:t>’</w:t>
      </w:r>
      <w:r w:rsidR="00F34483" w:rsidRPr="00F34483">
        <w:rPr>
          <w:rStyle w:val="FootnoteReference"/>
          <w:lang w:eastAsia="en-AU"/>
        </w:rPr>
        <w:t xml:space="preserve"> </w:t>
      </w:r>
      <w:r w:rsidR="00F34483">
        <w:rPr>
          <w:rStyle w:val="FootnoteReference"/>
          <w:lang w:eastAsia="en-AU"/>
        </w:rPr>
        <w:footnoteReference w:id="14"/>
      </w:r>
    </w:p>
    <w:p w14:paraId="7F837EDC" w14:textId="77777777" w:rsidR="00EE1049" w:rsidRDefault="00EE1049" w:rsidP="00EE1049">
      <w:r w:rsidRPr="00EE1049">
        <w:t>The paragraphs cited three ‘facts’ as relevant</w:t>
      </w:r>
      <w:r>
        <w:t>: any such constraint did not prevent the 3.2million teu cap being lifted; Botany is not the main contributor to congestion; the ports owner doesn’t think landside constraints limit capacity</w:t>
      </w:r>
      <w:r w:rsidRPr="00EE1049">
        <w:t>.</w:t>
      </w:r>
    </w:p>
    <w:p w14:paraId="010C8C7C" w14:textId="56438154" w:rsidR="00EE1049" w:rsidRDefault="00CF1DB3" w:rsidP="00EE1049">
      <w:r>
        <w:t>The Court</w:t>
      </w:r>
      <w:r w:rsidR="00EE1049">
        <w:t xml:space="preserve"> misinterpreted each of these </w:t>
      </w:r>
      <w:r>
        <w:t>three ‘</w:t>
      </w:r>
      <w:proofErr w:type="gramStart"/>
      <w:r w:rsidR="00EE1049">
        <w:t>facts</w:t>
      </w:r>
      <w:r>
        <w:t>’</w:t>
      </w:r>
      <w:proofErr w:type="gramEnd"/>
      <w:r w:rsidR="00EE1049">
        <w:t xml:space="preserve">.  The cap was installed, and lifted, as a political matter related to local dislike of trucks rather than relating to port-land transport capacity.  Botany’s contribution to congestion is likely significant but, more importantly, it is beside the point of the impact of congestion on port costs.  </w:t>
      </w:r>
      <w:r w:rsidR="003B3D43">
        <w:t>The port owner</w:t>
      </w:r>
      <w:r>
        <w:t>’</w:t>
      </w:r>
      <w:r w:rsidR="003B3D43">
        <w:t>s comments are likely motivated by self-interest, appear to reflect outdated information, presumably relate to short term matters and will likely prove wrong in the medium term.</w:t>
      </w:r>
    </w:p>
    <w:p w14:paraId="76F178A4" w14:textId="4D075915" w:rsidR="003B3D43" w:rsidRDefault="003B3D43" w:rsidP="00EE1049">
      <w:r>
        <w:t>It is therefore necessary to pay more attention to the land transport issues.</w:t>
      </w:r>
    </w:p>
    <w:p w14:paraId="6BCF8CBF" w14:textId="714F6082" w:rsidR="00085150" w:rsidRDefault="00085150" w:rsidP="003B3D43">
      <w:pPr>
        <w:pStyle w:val="Heading4"/>
        <w:rPr>
          <w:rFonts w:eastAsia="Times New Roman"/>
          <w:lang w:eastAsia="en-AU"/>
        </w:rPr>
      </w:pPr>
      <w:r>
        <w:rPr>
          <w:rFonts w:eastAsia="Times New Roman"/>
          <w:lang w:eastAsia="en-AU"/>
        </w:rPr>
        <w:lastRenderedPageBreak/>
        <w:t>4.2.1</w:t>
      </w:r>
      <w:r>
        <w:rPr>
          <w:rFonts w:eastAsia="Times New Roman"/>
          <w:lang w:eastAsia="en-AU"/>
        </w:rPr>
        <w:tab/>
        <w:t>Dubious parentage</w:t>
      </w:r>
    </w:p>
    <w:p w14:paraId="4071F96B" w14:textId="2523A29C" w:rsidR="00855732" w:rsidRDefault="00085150" w:rsidP="00B268B7">
      <w:pPr>
        <w:spacing w:after="0"/>
        <w:rPr>
          <w:rFonts w:eastAsia="Times New Roman" w:cs="Times New Roman"/>
          <w:lang w:eastAsia="en-AU"/>
        </w:rPr>
      </w:pPr>
      <w:r>
        <w:rPr>
          <w:rFonts w:eastAsia="Times New Roman" w:cs="Times New Roman"/>
          <w:lang w:eastAsia="en-AU"/>
        </w:rPr>
        <w:t>The Court s</w:t>
      </w:r>
      <w:r w:rsidR="006B31A2">
        <w:rPr>
          <w:rFonts w:eastAsia="Times New Roman" w:cs="Times New Roman"/>
          <w:lang w:eastAsia="en-AU"/>
        </w:rPr>
        <w:t>aid</w:t>
      </w:r>
      <w:r w:rsidR="00855732">
        <w:rPr>
          <w:rFonts w:eastAsia="Times New Roman" w:cs="Times New Roman"/>
          <w:lang w:eastAsia="en-AU"/>
        </w:rPr>
        <w:t xml:space="preserve"> </w:t>
      </w:r>
      <w:r w:rsidR="00581303">
        <w:rPr>
          <w:rFonts w:eastAsia="Times New Roman" w:cs="Times New Roman"/>
          <w:lang w:eastAsia="en-AU"/>
        </w:rPr>
        <w:t>the</w:t>
      </w:r>
      <w:r w:rsidR="00855732">
        <w:rPr>
          <w:rFonts w:eastAsia="Times New Roman" w:cs="Times New Roman"/>
          <w:lang w:eastAsia="en-AU"/>
        </w:rPr>
        <w:t xml:space="preserve"> </w:t>
      </w:r>
      <w:r w:rsidR="004B59EC" w:rsidRPr="002C734F">
        <w:rPr>
          <w:rFonts w:eastAsia="Times New Roman" w:cs="Times New Roman"/>
          <w:lang w:eastAsia="en-AU"/>
        </w:rPr>
        <w:t xml:space="preserve">cornerstone of </w:t>
      </w:r>
      <w:r w:rsidR="00855732">
        <w:rPr>
          <w:rFonts w:eastAsia="Times New Roman" w:cs="Times New Roman"/>
          <w:lang w:eastAsia="en-AU"/>
        </w:rPr>
        <w:t xml:space="preserve">policy </w:t>
      </w:r>
      <w:r w:rsidR="006B31A2">
        <w:rPr>
          <w:rFonts w:eastAsia="Times New Roman" w:cs="Times New Roman"/>
          <w:lang w:eastAsia="en-AU"/>
        </w:rPr>
        <w:t>i</w:t>
      </w:r>
      <w:r w:rsidR="004B59EC" w:rsidRPr="002C734F">
        <w:rPr>
          <w:rFonts w:eastAsia="Times New Roman" w:cs="Times New Roman"/>
          <w:lang w:eastAsia="en-AU"/>
        </w:rPr>
        <w:t>s</w:t>
      </w:r>
      <w:r w:rsidR="000771CB">
        <w:rPr>
          <w:rFonts w:eastAsia="Times New Roman" w:cs="Times New Roman"/>
          <w:lang w:eastAsia="en-AU"/>
        </w:rPr>
        <w:t>:</w:t>
      </w:r>
      <w:r w:rsidR="004B59EC" w:rsidRPr="002C734F">
        <w:rPr>
          <w:rFonts w:eastAsia="Times New Roman" w:cs="Times New Roman"/>
          <w:lang w:eastAsia="en-AU"/>
        </w:rPr>
        <w:t xml:space="preserve"> Port Botany</w:t>
      </w:r>
      <w:r w:rsidR="00374321">
        <w:rPr>
          <w:rFonts w:eastAsia="Times New Roman" w:cs="Times New Roman"/>
          <w:lang w:eastAsia="en-AU"/>
        </w:rPr>
        <w:t>-capacity-</w:t>
      </w:r>
      <w:r w:rsidR="003B3D43">
        <w:rPr>
          <w:rFonts w:eastAsia="Times New Roman" w:cs="Times New Roman"/>
          <w:lang w:eastAsia="en-AU"/>
        </w:rPr>
        <w:t>should- be-exhausted-first</w:t>
      </w:r>
      <w:r w:rsidR="004B59EC" w:rsidRPr="002C734F">
        <w:rPr>
          <w:rFonts w:eastAsia="Times New Roman" w:cs="Times New Roman"/>
          <w:lang w:eastAsia="en-AU"/>
        </w:rPr>
        <w:t xml:space="preserve"> before Government considered a terminal at another port.</w:t>
      </w:r>
      <w:r w:rsidR="00855732">
        <w:rPr>
          <w:rFonts w:eastAsia="Times New Roman" w:cs="Times New Roman"/>
          <w:lang w:eastAsia="en-AU"/>
        </w:rPr>
        <w:t xml:space="preserve">  It suggested such a policy was, and is, justified.</w:t>
      </w:r>
    </w:p>
    <w:p w14:paraId="7D171CE1" w14:textId="77777777" w:rsidR="00855732" w:rsidRDefault="00855732" w:rsidP="00B268B7">
      <w:pPr>
        <w:spacing w:after="0"/>
        <w:rPr>
          <w:rFonts w:eastAsia="Times New Roman" w:cs="Times New Roman"/>
          <w:lang w:eastAsia="en-AU"/>
        </w:rPr>
      </w:pPr>
    </w:p>
    <w:p w14:paraId="4070A649" w14:textId="04BCCCE6" w:rsidR="00615CF2" w:rsidRDefault="00855732" w:rsidP="00B268B7">
      <w:pPr>
        <w:spacing w:after="0"/>
        <w:rPr>
          <w:rFonts w:eastAsia="Times New Roman" w:cs="Times New Roman"/>
          <w:lang w:eastAsia="en-AU"/>
        </w:rPr>
      </w:pPr>
      <w:r>
        <w:rPr>
          <w:rFonts w:eastAsia="Times New Roman" w:cs="Times New Roman"/>
          <w:lang w:eastAsia="en-AU"/>
        </w:rPr>
        <w:t>Her honour said the policy was initiated in mid-2012 with support from, or origins in, Transport for NSW and Treasury.</w:t>
      </w:r>
      <w:r w:rsidR="00615CF2">
        <w:rPr>
          <w:rFonts w:eastAsia="Times New Roman" w:cs="Times New Roman"/>
          <w:lang w:eastAsia="en-AU"/>
        </w:rPr>
        <w:t xml:space="preserve">  The policy is strategic in nature.</w:t>
      </w:r>
    </w:p>
    <w:p w14:paraId="5A0D51F8" w14:textId="77777777" w:rsidR="003579B1" w:rsidRDefault="003579B1" w:rsidP="00B268B7">
      <w:pPr>
        <w:spacing w:after="0"/>
        <w:rPr>
          <w:rFonts w:eastAsia="Times New Roman" w:cs="Times New Roman"/>
          <w:lang w:eastAsia="en-AU"/>
        </w:rPr>
      </w:pPr>
    </w:p>
    <w:p w14:paraId="5E0ADFFA" w14:textId="77777777" w:rsidR="00CF1DB3" w:rsidRDefault="00855732" w:rsidP="00B268B7">
      <w:pPr>
        <w:spacing w:after="0"/>
        <w:rPr>
          <w:rFonts w:eastAsia="Times New Roman" w:cs="Times New Roman"/>
          <w:lang w:eastAsia="en-AU"/>
        </w:rPr>
      </w:pPr>
      <w:r>
        <w:rPr>
          <w:rFonts w:eastAsia="Times New Roman" w:cs="Times New Roman"/>
          <w:lang w:eastAsia="en-AU"/>
        </w:rPr>
        <w:t xml:space="preserve">Previous articles identified </w:t>
      </w:r>
      <w:r w:rsidR="006B31A2">
        <w:rPr>
          <w:rFonts w:eastAsia="Times New Roman" w:cs="Times New Roman"/>
          <w:lang w:eastAsia="en-AU"/>
        </w:rPr>
        <w:t xml:space="preserve">the </w:t>
      </w:r>
      <w:r w:rsidR="00615CF2">
        <w:rPr>
          <w:rFonts w:eastAsia="Times New Roman" w:cs="Times New Roman"/>
          <w:lang w:eastAsia="en-AU"/>
        </w:rPr>
        <w:t>idiocy</w:t>
      </w:r>
      <w:r w:rsidR="006B31A2">
        <w:rPr>
          <w:rFonts w:eastAsia="Times New Roman" w:cs="Times New Roman"/>
          <w:lang w:eastAsia="en-AU"/>
        </w:rPr>
        <w:t xml:space="preserve"> of some </w:t>
      </w:r>
      <w:r>
        <w:rPr>
          <w:rFonts w:eastAsia="Times New Roman" w:cs="Times New Roman"/>
          <w:lang w:eastAsia="en-AU"/>
        </w:rPr>
        <w:t xml:space="preserve">transport </w:t>
      </w:r>
      <w:r w:rsidR="00615CF2">
        <w:rPr>
          <w:rFonts w:eastAsia="Times New Roman" w:cs="Times New Roman"/>
          <w:lang w:eastAsia="en-AU"/>
        </w:rPr>
        <w:t xml:space="preserve">strategic directions </w:t>
      </w:r>
      <w:r>
        <w:rPr>
          <w:rFonts w:eastAsia="Times New Roman" w:cs="Times New Roman"/>
          <w:lang w:eastAsia="en-AU"/>
        </w:rPr>
        <w:t xml:space="preserve">developed </w:t>
      </w:r>
      <w:r w:rsidR="006B31A2">
        <w:rPr>
          <w:rFonts w:eastAsia="Times New Roman" w:cs="Times New Roman"/>
          <w:lang w:eastAsia="en-AU"/>
        </w:rPr>
        <w:t>by</w:t>
      </w:r>
      <w:r>
        <w:rPr>
          <w:rFonts w:eastAsia="Times New Roman" w:cs="Times New Roman"/>
          <w:lang w:eastAsia="en-AU"/>
        </w:rPr>
        <w:t xml:space="preserve"> th</w:t>
      </w:r>
      <w:r w:rsidR="00615CF2">
        <w:rPr>
          <w:rFonts w:eastAsia="Times New Roman" w:cs="Times New Roman"/>
          <w:lang w:eastAsia="en-AU"/>
        </w:rPr>
        <w:t>e</w:t>
      </w:r>
      <w:r>
        <w:rPr>
          <w:rFonts w:eastAsia="Times New Roman" w:cs="Times New Roman"/>
          <w:lang w:eastAsia="en-AU"/>
        </w:rPr>
        <w:t xml:space="preserve"> </w:t>
      </w:r>
      <w:r w:rsidR="00615CF2">
        <w:rPr>
          <w:rFonts w:eastAsia="Times New Roman" w:cs="Times New Roman"/>
          <w:lang w:eastAsia="en-AU"/>
        </w:rPr>
        <w:t>Transport and Treasury portfolios</w:t>
      </w:r>
      <w:r>
        <w:rPr>
          <w:rFonts w:eastAsia="Times New Roman" w:cs="Times New Roman"/>
          <w:lang w:eastAsia="en-AU"/>
        </w:rPr>
        <w:t xml:space="preserve"> at that time.  These include Sydney Metro and the </w:t>
      </w:r>
      <w:r w:rsidR="00657DC0">
        <w:rPr>
          <w:rFonts w:eastAsia="Times New Roman" w:cs="Times New Roman"/>
          <w:lang w:eastAsia="en-AU"/>
        </w:rPr>
        <w:t>separation of urban rail assets from operations.</w:t>
      </w:r>
      <w:r w:rsidR="00446A9F">
        <w:rPr>
          <w:rFonts w:eastAsia="Times New Roman" w:cs="Times New Roman"/>
          <w:lang w:eastAsia="en-AU"/>
        </w:rPr>
        <w:t xml:space="preserve">  </w:t>
      </w:r>
    </w:p>
    <w:p w14:paraId="34FD2F19" w14:textId="77777777" w:rsidR="00CF1DB3" w:rsidRDefault="00CF1DB3" w:rsidP="00B268B7">
      <w:pPr>
        <w:spacing w:after="0"/>
        <w:rPr>
          <w:rFonts w:eastAsia="Times New Roman" w:cs="Times New Roman"/>
          <w:lang w:eastAsia="en-AU"/>
        </w:rPr>
      </w:pPr>
    </w:p>
    <w:p w14:paraId="45B895FD" w14:textId="623F6471" w:rsidR="009C4CAD" w:rsidRDefault="00446A9F" w:rsidP="00B268B7">
      <w:pPr>
        <w:spacing w:after="0"/>
        <w:rPr>
          <w:rFonts w:eastAsia="Times New Roman" w:cs="Times New Roman"/>
          <w:lang w:eastAsia="en-AU"/>
        </w:rPr>
      </w:pPr>
      <w:r>
        <w:rPr>
          <w:rFonts w:eastAsia="Times New Roman" w:cs="Times New Roman"/>
          <w:lang w:eastAsia="en-AU"/>
        </w:rPr>
        <w:t>Also noteworthy is Transport Minister Berejiklian’s 2012 opposi</w:t>
      </w:r>
      <w:r w:rsidR="00B268B7">
        <w:rPr>
          <w:rFonts w:eastAsia="Times New Roman" w:cs="Times New Roman"/>
          <w:lang w:eastAsia="en-AU"/>
        </w:rPr>
        <w:t xml:space="preserve">tion to </w:t>
      </w:r>
      <w:r>
        <w:rPr>
          <w:rFonts w:eastAsia="Times New Roman" w:cs="Times New Roman"/>
          <w:lang w:eastAsia="en-AU"/>
        </w:rPr>
        <w:t>an</w:t>
      </w:r>
      <w:r w:rsidR="00393C96">
        <w:rPr>
          <w:rFonts w:eastAsia="Times New Roman" w:cs="Times New Roman"/>
          <w:lang w:eastAsia="en-AU"/>
        </w:rPr>
        <w:t>other international trade etc. facility - an</w:t>
      </w:r>
      <w:r>
        <w:rPr>
          <w:rFonts w:eastAsia="Times New Roman" w:cs="Times New Roman"/>
          <w:lang w:eastAsia="en-AU"/>
        </w:rPr>
        <w:t xml:space="preserve"> airport at Badgery’s Creek.</w:t>
      </w:r>
      <w:r w:rsidR="00491A37">
        <w:rPr>
          <w:rStyle w:val="FootnoteReference"/>
          <w:rFonts w:eastAsia="Times New Roman" w:cs="Times New Roman"/>
          <w:lang w:eastAsia="en-AU"/>
        </w:rPr>
        <w:footnoteReference w:id="15"/>
      </w:r>
    </w:p>
    <w:p w14:paraId="0EC1B757" w14:textId="77777777" w:rsidR="00446A9F" w:rsidRDefault="00446A9F" w:rsidP="00B268B7">
      <w:pPr>
        <w:spacing w:after="0"/>
        <w:rPr>
          <w:rFonts w:eastAsia="Times New Roman" w:cs="Times New Roman"/>
          <w:lang w:eastAsia="en-AU"/>
        </w:rPr>
      </w:pPr>
    </w:p>
    <w:p w14:paraId="5B5D9FC8" w14:textId="3AB21774" w:rsidR="00CC6E43" w:rsidRDefault="000F4974" w:rsidP="00B268B7">
      <w:pPr>
        <w:spacing w:after="0"/>
        <w:rPr>
          <w:rFonts w:eastAsia="Times New Roman" w:cs="Times New Roman"/>
          <w:lang w:eastAsia="en-AU"/>
        </w:rPr>
      </w:pPr>
      <w:r>
        <w:rPr>
          <w:rFonts w:eastAsia="Times New Roman" w:cs="Times New Roman"/>
          <w:lang w:eastAsia="en-AU"/>
        </w:rPr>
        <w:t xml:space="preserve">Ports and freight policy </w:t>
      </w:r>
      <w:r w:rsidR="008D1D20">
        <w:rPr>
          <w:rFonts w:eastAsia="Times New Roman" w:cs="Times New Roman"/>
          <w:lang w:eastAsia="en-AU"/>
        </w:rPr>
        <w:t xml:space="preserve">suffered </w:t>
      </w:r>
      <w:r>
        <w:rPr>
          <w:rFonts w:eastAsia="Times New Roman" w:cs="Times New Roman"/>
          <w:lang w:eastAsia="en-AU"/>
        </w:rPr>
        <w:t xml:space="preserve">similar </w:t>
      </w:r>
      <w:r w:rsidR="008D1D20">
        <w:rPr>
          <w:rFonts w:eastAsia="Times New Roman" w:cs="Times New Roman"/>
          <w:lang w:eastAsia="en-AU"/>
        </w:rPr>
        <w:t>basic</w:t>
      </w:r>
      <w:r>
        <w:rPr>
          <w:rFonts w:eastAsia="Times New Roman" w:cs="Times New Roman"/>
          <w:lang w:eastAsia="en-AU"/>
        </w:rPr>
        <w:t xml:space="preserve"> flaws.  The National Land Transport Network – agreed by NSW and Commonwealth Governments – </w:t>
      </w:r>
      <w:r w:rsidR="008D1D20">
        <w:rPr>
          <w:rFonts w:eastAsia="Times New Roman" w:cs="Times New Roman"/>
          <w:lang w:eastAsia="en-AU"/>
        </w:rPr>
        <w:t xml:space="preserve">was </w:t>
      </w:r>
      <w:r>
        <w:rPr>
          <w:rFonts w:eastAsia="Times New Roman" w:cs="Times New Roman"/>
          <w:lang w:eastAsia="en-AU"/>
        </w:rPr>
        <w:t>supposed</w:t>
      </w:r>
      <w:r w:rsidR="008D1D20">
        <w:rPr>
          <w:rFonts w:eastAsia="Times New Roman" w:cs="Times New Roman"/>
          <w:lang w:eastAsia="en-AU"/>
        </w:rPr>
        <w:t xml:space="preserve"> to</w:t>
      </w:r>
      <w:r>
        <w:rPr>
          <w:rFonts w:eastAsia="Times New Roman" w:cs="Times New Roman"/>
          <w:lang w:eastAsia="en-AU"/>
        </w:rPr>
        <w:t xml:space="preserve"> link </w:t>
      </w:r>
      <w:r w:rsidR="008D1D20">
        <w:rPr>
          <w:rFonts w:eastAsia="Times New Roman" w:cs="Times New Roman"/>
          <w:lang w:eastAsia="en-AU"/>
        </w:rPr>
        <w:t>‘</w:t>
      </w:r>
      <w:r>
        <w:rPr>
          <w:rFonts w:eastAsia="Times New Roman" w:cs="Times New Roman"/>
          <w:lang w:eastAsia="en-AU"/>
        </w:rPr>
        <w:t>key</w:t>
      </w:r>
      <w:r w:rsidR="00016B34">
        <w:rPr>
          <w:rFonts w:eastAsia="Times New Roman" w:cs="Times New Roman"/>
          <w:lang w:eastAsia="en-AU"/>
        </w:rPr>
        <w:t>’</w:t>
      </w:r>
      <w:r>
        <w:rPr>
          <w:rFonts w:eastAsia="Times New Roman" w:cs="Times New Roman"/>
          <w:lang w:eastAsia="en-AU"/>
        </w:rPr>
        <w:t xml:space="preserve"> </w:t>
      </w:r>
      <w:r w:rsidR="0094428C">
        <w:rPr>
          <w:rFonts w:eastAsia="Times New Roman" w:cs="Times New Roman"/>
          <w:lang w:eastAsia="en-AU"/>
        </w:rPr>
        <w:t>locations</w:t>
      </w:r>
      <w:r w:rsidR="008D1D20">
        <w:rPr>
          <w:rFonts w:eastAsia="Times New Roman" w:cs="Times New Roman"/>
          <w:lang w:eastAsia="en-AU"/>
        </w:rPr>
        <w:t>.  In 2012 it</w:t>
      </w:r>
      <w:r>
        <w:rPr>
          <w:rFonts w:eastAsia="Times New Roman" w:cs="Times New Roman"/>
          <w:lang w:eastAsia="en-AU"/>
        </w:rPr>
        <w:t xml:space="preserve"> bypassed Newcastle, did not extend to Wollongong or Port Kembla, and ended at the Strathfield Golf Club rather than Sydney’s main rail terminal at Chullora.</w:t>
      </w:r>
      <w:r w:rsidR="00491A37">
        <w:rPr>
          <w:rStyle w:val="FootnoteReference"/>
          <w:rFonts w:eastAsia="Times New Roman" w:cs="Times New Roman"/>
          <w:lang w:eastAsia="en-AU"/>
        </w:rPr>
        <w:footnoteReference w:id="16"/>
      </w:r>
      <w:r w:rsidR="004B59EC" w:rsidRPr="002C734F">
        <w:rPr>
          <w:rFonts w:eastAsia="Times New Roman" w:cs="Times New Roman"/>
          <w:lang w:eastAsia="en-AU"/>
        </w:rPr>
        <w:t xml:space="preserve"> </w:t>
      </w:r>
    </w:p>
    <w:p w14:paraId="174DCB4B" w14:textId="77777777" w:rsidR="00B268B7" w:rsidRDefault="00B268B7" w:rsidP="00B268B7">
      <w:pPr>
        <w:spacing w:after="0"/>
        <w:rPr>
          <w:rFonts w:eastAsia="Times New Roman" w:cs="Times New Roman"/>
          <w:lang w:eastAsia="en-AU"/>
        </w:rPr>
      </w:pPr>
    </w:p>
    <w:p w14:paraId="5EDE5A25" w14:textId="5D3A90E9" w:rsidR="000F4974" w:rsidRDefault="008D1D20" w:rsidP="00B268B7">
      <w:pPr>
        <w:spacing w:after="0"/>
        <w:rPr>
          <w:rFonts w:eastAsia="Times New Roman" w:cs="Times New Roman"/>
          <w:lang w:eastAsia="en-AU"/>
        </w:rPr>
      </w:pPr>
      <w:r>
        <w:rPr>
          <w:rFonts w:eastAsia="Times New Roman" w:cs="Times New Roman"/>
          <w:lang w:eastAsia="en-AU"/>
        </w:rPr>
        <w:t>In 201</w:t>
      </w:r>
      <w:r w:rsidR="000F2852">
        <w:rPr>
          <w:rFonts w:eastAsia="Times New Roman" w:cs="Times New Roman"/>
          <w:lang w:eastAsia="en-AU"/>
        </w:rPr>
        <w:t>1</w:t>
      </w:r>
      <w:r>
        <w:rPr>
          <w:rFonts w:eastAsia="Times New Roman" w:cs="Times New Roman"/>
          <w:lang w:eastAsia="en-AU"/>
        </w:rPr>
        <w:t>-13</w:t>
      </w:r>
      <w:r w:rsidR="00016B34">
        <w:rPr>
          <w:rFonts w:eastAsia="Times New Roman" w:cs="Times New Roman"/>
          <w:lang w:eastAsia="en-AU"/>
        </w:rPr>
        <w:t>,</w:t>
      </w:r>
      <w:r>
        <w:rPr>
          <w:rFonts w:eastAsia="Times New Roman" w:cs="Times New Roman"/>
          <w:lang w:eastAsia="en-AU"/>
        </w:rPr>
        <w:t xml:space="preserve"> the former - </w:t>
      </w:r>
      <w:r w:rsidR="000F4974">
        <w:rPr>
          <w:rFonts w:eastAsia="Times New Roman" w:cs="Times New Roman"/>
          <w:lang w:eastAsia="en-AU"/>
        </w:rPr>
        <w:t xml:space="preserve">non-corporate - Infrastructure Australia </w:t>
      </w:r>
      <w:r>
        <w:rPr>
          <w:rFonts w:eastAsia="Times New Roman" w:cs="Times New Roman"/>
          <w:lang w:eastAsia="en-AU"/>
        </w:rPr>
        <w:t>completed a Council of Australian Governments</w:t>
      </w:r>
      <w:r w:rsidR="00834D4D">
        <w:rPr>
          <w:rFonts w:eastAsia="Times New Roman" w:cs="Times New Roman"/>
          <w:lang w:eastAsia="en-AU"/>
        </w:rPr>
        <w:t xml:space="preserve">’ </w:t>
      </w:r>
      <w:r>
        <w:rPr>
          <w:rFonts w:eastAsia="Times New Roman" w:cs="Times New Roman"/>
          <w:lang w:eastAsia="en-AU"/>
        </w:rPr>
        <w:t xml:space="preserve">request for </w:t>
      </w:r>
      <w:r w:rsidR="000F4974">
        <w:rPr>
          <w:rFonts w:eastAsia="Times New Roman" w:cs="Times New Roman"/>
          <w:lang w:eastAsia="en-AU"/>
        </w:rPr>
        <w:t xml:space="preserve">a National Ports </w:t>
      </w:r>
      <w:r w:rsidR="000F2852">
        <w:rPr>
          <w:rFonts w:eastAsia="Times New Roman" w:cs="Times New Roman"/>
          <w:lang w:eastAsia="en-AU"/>
        </w:rPr>
        <w:t>S</w:t>
      </w:r>
      <w:r w:rsidR="000F4974">
        <w:rPr>
          <w:rFonts w:eastAsia="Times New Roman" w:cs="Times New Roman"/>
          <w:lang w:eastAsia="en-AU"/>
        </w:rPr>
        <w:t xml:space="preserve">trategy </w:t>
      </w:r>
      <w:r w:rsidR="000F2852">
        <w:rPr>
          <w:rFonts w:eastAsia="Times New Roman" w:cs="Times New Roman"/>
          <w:lang w:eastAsia="en-AU"/>
        </w:rPr>
        <w:t xml:space="preserve">(below) </w:t>
      </w:r>
      <w:r w:rsidR="000F4974">
        <w:rPr>
          <w:rFonts w:eastAsia="Times New Roman" w:cs="Times New Roman"/>
          <w:lang w:eastAsia="en-AU"/>
        </w:rPr>
        <w:t>and the Transport Ministerial Council</w:t>
      </w:r>
      <w:r>
        <w:rPr>
          <w:rFonts w:eastAsia="Times New Roman" w:cs="Times New Roman"/>
          <w:lang w:eastAsia="en-AU"/>
        </w:rPr>
        <w:t xml:space="preserve">’s request </w:t>
      </w:r>
      <w:r w:rsidR="000F4974">
        <w:rPr>
          <w:rFonts w:eastAsia="Times New Roman" w:cs="Times New Roman"/>
          <w:lang w:eastAsia="en-AU"/>
        </w:rPr>
        <w:t xml:space="preserve">for a national freight plan.  These </w:t>
      </w:r>
      <w:r>
        <w:rPr>
          <w:rFonts w:eastAsia="Times New Roman" w:cs="Times New Roman"/>
          <w:lang w:eastAsia="en-AU"/>
        </w:rPr>
        <w:t xml:space="preserve">requests </w:t>
      </w:r>
      <w:r w:rsidR="000F4974">
        <w:rPr>
          <w:rFonts w:eastAsia="Times New Roman" w:cs="Times New Roman"/>
          <w:lang w:eastAsia="en-AU"/>
        </w:rPr>
        <w:t xml:space="preserve">were in apparent frustration at the inability of States – including NSW - and the Commonwealth </w:t>
      </w:r>
      <w:r w:rsidR="00C11760">
        <w:rPr>
          <w:rFonts w:eastAsia="Times New Roman" w:cs="Times New Roman"/>
          <w:lang w:eastAsia="en-AU"/>
        </w:rPr>
        <w:t xml:space="preserve">Department </w:t>
      </w:r>
      <w:r w:rsidR="000F4974">
        <w:rPr>
          <w:rFonts w:eastAsia="Times New Roman" w:cs="Times New Roman"/>
          <w:lang w:eastAsia="en-AU"/>
        </w:rPr>
        <w:t>to develop reasonable plans for major freight facilities.</w:t>
      </w:r>
      <w:r w:rsidR="00834D4D">
        <w:rPr>
          <w:rStyle w:val="FootnoteReference"/>
          <w:rFonts w:eastAsia="Times New Roman" w:cs="Times New Roman"/>
          <w:lang w:eastAsia="en-AU"/>
        </w:rPr>
        <w:footnoteReference w:id="17"/>
      </w:r>
    </w:p>
    <w:p w14:paraId="5CA6BE98" w14:textId="77777777" w:rsidR="000F2852" w:rsidRDefault="000F2852" w:rsidP="00B268B7">
      <w:pPr>
        <w:spacing w:after="0"/>
        <w:rPr>
          <w:rFonts w:eastAsia="Times New Roman" w:cs="Times New Roman"/>
          <w:lang w:eastAsia="en-AU"/>
        </w:rPr>
      </w:pPr>
    </w:p>
    <w:p w14:paraId="0396C12C" w14:textId="2370BA22" w:rsidR="00615CF2" w:rsidRDefault="008D1D20" w:rsidP="00B268B7">
      <w:pPr>
        <w:spacing w:after="0"/>
        <w:rPr>
          <w:rFonts w:eastAsia="Times New Roman" w:cs="Times New Roman"/>
          <w:lang w:eastAsia="en-AU"/>
        </w:rPr>
      </w:pPr>
      <w:r>
        <w:rPr>
          <w:rFonts w:eastAsia="Times New Roman" w:cs="Times New Roman"/>
          <w:lang w:eastAsia="en-AU"/>
        </w:rPr>
        <w:t>Against that backdrop, there</w:t>
      </w:r>
      <w:r w:rsidR="00657DC0">
        <w:rPr>
          <w:rFonts w:eastAsia="Times New Roman" w:cs="Times New Roman"/>
          <w:lang w:eastAsia="en-AU"/>
        </w:rPr>
        <w:t xml:space="preserve"> is substantial doubt about </w:t>
      </w:r>
      <w:r w:rsidR="00834D4D">
        <w:rPr>
          <w:rFonts w:eastAsia="Times New Roman" w:cs="Times New Roman"/>
          <w:lang w:eastAsia="en-AU"/>
        </w:rPr>
        <w:t xml:space="preserve">strategic transport </w:t>
      </w:r>
      <w:r w:rsidR="00872D07">
        <w:rPr>
          <w:rFonts w:eastAsia="Times New Roman" w:cs="Times New Roman"/>
          <w:lang w:eastAsia="en-AU"/>
        </w:rPr>
        <w:t xml:space="preserve">decisions by </w:t>
      </w:r>
      <w:r>
        <w:rPr>
          <w:rFonts w:eastAsia="Times New Roman" w:cs="Times New Roman"/>
          <w:lang w:eastAsia="en-AU"/>
        </w:rPr>
        <w:t xml:space="preserve">NSW </w:t>
      </w:r>
      <w:r w:rsidR="000976F5" w:rsidRPr="002C734F">
        <w:rPr>
          <w:rFonts w:eastAsia="Times New Roman" w:cs="Times New Roman"/>
          <w:lang w:eastAsia="en-AU"/>
        </w:rPr>
        <w:t xml:space="preserve">Transport </w:t>
      </w:r>
      <w:r w:rsidR="00872D07">
        <w:rPr>
          <w:rFonts w:eastAsia="Times New Roman" w:cs="Times New Roman"/>
          <w:lang w:eastAsia="en-AU"/>
        </w:rPr>
        <w:t xml:space="preserve">and Treasury portfolios </w:t>
      </w:r>
      <w:r w:rsidR="00615CF2">
        <w:rPr>
          <w:rFonts w:eastAsia="Times New Roman" w:cs="Times New Roman"/>
          <w:lang w:eastAsia="en-AU"/>
        </w:rPr>
        <w:t>around 2012.</w:t>
      </w:r>
      <w:r w:rsidR="00834D4D">
        <w:rPr>
          <w:rFonts w:eastAsia="Times New Roman" w:cs="Times New Roman"/>
          <w:lang w:eastAsia="en-AU"/>
        </w:rPr>
        <w:t xml:space="preserve">  </w:t>
      </w:r>
      <w:r>
        <w:rPr>
          <w:rFonts w:eastAsia="Times New Roman" w:cs="Times New Roman"/>
          <w:lang w:eastAsia="en-AU"/>
        </w:rPr>
        <w:t>I</w:t>
      </w:r>
      <w:r w:rsidR="00615CF2">
        <w:rPr>
          <w:rFonts w:eastAsia="Times New Roman" w:cs="Times New Roman"/>
          <w:lang w:eastAsia="en-AU"/>
        </w:rPr>
        <w:t xml:space="preserve">t is hardly an endorsement of a </w:t>
      </w:r>
      <w:r w:rsidR="003B3D43">
        <w:rPr>
          <w:rFonts w:eastAsia="Times New Roman" w:cs="Times New Roman"/>
          <w:lang w:eastAsia="en-AU"/>
        </w:rPr>
        <w:t>use-</w:t>
      </w:r>
      <w:r w:rsidR="00374321">
        <w:rPr>
          <w:rFonts w:eastAsia="Times New Roman" w:cs="Times New Roman"/>
          <w:lang w:eastAsia="en-AU"/>
        </w:rPr>
        <w:t>Botany-capacity-first</w:t>
      </w:r>
      <w:r w:rsidR="00657DC0">
        <w:rPr>
          <w:rFonts w:eastAsia="Times New Roman" w:cs="Times New Roman"/>
          <w:lang w:eastAsia="en-AU"/>
        </w:rPr>
        <w:t xml:space="preserve"> </w:t>
      </w:r>
      <w:r w:rsidR="00615CF2">
        <w:rPr>
          <w:rFonts w:eastAsia="Times New Roman" w:cs="Times New Roman"/>
          <w:lang w:eastAsia="en-AU"/>
        </w:rPr>
        <w:t xml:space="preserve">policy to observe </w:t>
      </w:r>
      <w:r w:rsidR="000F2852">
        <w:rPr>
          <w:rFonts w:eastAsia="Times New Roman" w:cs="Times New Roman"/>
          <w:lang w:eastAsia="en-AU"/>
        </w:rPr>
        <w:t>it</w:t>
      </w:r>
      <w:r w:rsidR="00615CF2">
        <w:rPr>
          <w:rFonts w:eastAsia="Times New Roman" w:cs="Times New Roman"/>
          <w:lang w:eastAsia="en-AU"/>
        </w:rPr>
        <w:t xml:space="preserve"> was developed by the same portfolios at th</w:t>
      </w:r>
      <w:r w:rsidR="000F2852">
        <w:rPr>
          <w:rFonts w:eastAsia="Times New Roman" w:cs="Times New Roman"/>
          <w:lang w:eastAsia="en-AU"/>
        </w:rPr>
        <w:t xml:space="preserve">at </w:t>
      </w:r>
      <w:r w:rsidR="00615CF2">
        <w:rPr>
          <w:rFonts w:eastAsia="Times New Roman" w:cs="Times New Roman"/>
          <w:lang w:eastAsia="en-AU"/>
        </w:rPr>
        <w:t>time.  Rather such an observation invites close scrutiny of the supposed facts and reasons underpinning the policy.</w:t>
      </w:r>
    </w:p>
    <w:p w14:paraId="7DD71351" w14:textId="77777777" w:rsidR="00CF1DB3" w:rsidRDefault="00CF1DB3" w:rsidP="00B268B7">
      <w:pPr>
        <w:spacing w:after="0"/>
        <w:rPr>
          <w:rFonts w:eastAsia="Times New Roman" w:cs="Times New Roman"/>
          <w:lang w:eastAsia="en-AU"/>
        </w:rPr>
      </w:pPr>
    </w:p>
    <w:p w14:paraId="6BEC0DE5" w14:textId="77777777" w:rsidR="00016B34" w:rsidRDefault="00016B34" w:rsidP="00B268B7">
      <w:pPr>
        <w:spacing w:after="0"/>
        <w:rPr>
          <w:rFonts w:eastAsia="Times New Roman" w:cs="Times New Roman"/>
          <w:lang w:eastAsia="en-AU"/>
        </w:rPr>
      </w:pPr>
    </w:p>
    <w:p w14:paraId="34224EF5" w14:textId="77777777" w:rsidR="00016B34" w:rsidRDefault="00016B34" w:rsidP="00B268B7">
      <w:pPr>
        <w:spacing w:after="0"/>
        <w:rPr>
          <w:rFonts w:eastAsia="Times New Roman" w:cs="Times New Roman"/>
          <w:lang w:eastAsia="en-AU"/>
        </w:rPr>
      </w:pPr>
    </w:p>
    <w:p w14:paraId="33892438" w14:textId="59DDFC3B" w:rsidR="000976F5" w:rsidRPr="002C734F" w:rsidRDefault="00615CF2" w:rsidP="00B268B7">
      <w:pPr>
        <w:spacing w:after="0"/>
        <w:rPr>
          <w:rFonts w:eastAsia="Times New Roman" w:cs="Times New Roman"/>
          <w:lang w:eastAsia="en-AU"/>
        </w:rPr>
      </w:pPr>
      <w:r>
        <w:rPr>
          <w:rFonts w:eastAsia="Times New Roman" w:cs="Times New Roman"/>
          <w:lang w:eastAsia="en-AU"/>
        </w:rPr>
        <w:lastRenderedPageBreak/>
        <w:t xml:space="preserve">The need for such scrutiny is emphasised by an evident misunderstanding </w:t>
      </w:r>
      <w:r w:rsidR="005F73D5">
        <w:rPr>
          <w:rFonts w:eastAsia="Times New Roman" w:cs="Times New Roman"/>
          <w:lang w:eastAsia="en-AU"/>
        </w:rPr>
        <w:t>by those portfolios of their role.  T</w:t>
      </w:r>
      <w:r w:rsidR="00602EC0" w:rsidRPr="002C734F">
        <w:rPr>
          <w:rFonts w:eastAsia="Times New Roman" w:cs="Times New Roman"/>
          <w:lang w:eastAsia="en-AU"/>
        </w:rPr>
        <w:t xml:space="preserve">he central </w:t>
      </w:r>
      <w:r w:rsidR="005F73D5">
        <w:rPr>
          <w:rFonts w:eastAsia="Times New Roman" w:cs="Times New Roman"/>
          <w:lang w:eastAsia="en-AU"/>
        </w:rPr>
        <w:t>idea</w:t>
      </w:r>
      <w:r w:rsidR="00602EC0" w:rsidRPr="002C734F">
        <w:rPr>
          <w:rFonts w:eastAsia="Times New Roman" w:cs="Times New Roman"/>
          <w:lang w:eastAsia="en-AU"/>
        </w:rPr>
        <w:t xml:space="preserve"> of privatisation </w:t>
      </w:r>
      <w:r w:rsidR="005F73D5">
        <w:rPr>
          <w:rFonts w:eastAsia="Times New Roman" w:cs="Times New Roman"/>
          <w:lang w:eastAsia="en-AU"/>
        </w:rPr>
        <w:t xml:space="preserve">of ports </w:t>
      </w:r>
      <w:r w:rsidR="00C11760">
        <w:rPr>
          <w:rFonts w:eastAsia="Times New Roman" w:cs="Times New Roman"/>
          <w:lang w:eastAsia="en-AU"/>
        </w:rPr>
        <w:t>i</w:t>
      </w:r>
      <w:r w:rsidR="00602EC0" w:rsidRPr="002C734F">
        <w:rPr>
          <w:rFonts w:eastAsia="Times New Roman" w:cs="Times New Roman"/>
          <w:lang w:eastAsia="en-AU"/>
        </w:rPr>
        <w:t xml:space="preserve">s to </w:t>
      </w:r>
      <w:r w:rsidR="00C11760">
        <w:rPr>
          <w:rFonts w:eastAsia="Times New Roman" w:cs="Times New Roman"/>
          <w:lang w:eastAsia="en-AU"/>
        </w:rPr>
        <w:t>end</w:t>
      </w:r>
      <w:r w:rsidR="00602EC0" w:rsidRPr="002C734F">
        <w:rPr>
          <w:rFonts w:eastAsia="Times New Roman" w:cs="Times New Roman"/>
          <w:lang w:eastAsia="en-AU"/>
        </w:rPr>
        <w:t xml:space="preserve"> </w:t>
      </w:r>
      <w:r w:rsidR="005F73D5">
        <w:rPr>
          <w:rFonts w:eastAsia="Times New Roman" w:cs="Times New Roman"/>
          <w:lang w:eastAsia="en-AU"/>
        </w:rPr>
        <w:t xml:space="preserve">the portfolios influence over port operations and directions. This fact seems to have escaped Departments and Ministers who seek to control ports </w:t>
      </w:r>
      <w:r w:rsidR="00657DC0">
        <w:rPr>
          <w:rFonts w:eastAsia="Times New Roman" w:cs="Times New Roman"/>
          <w:lang w:eastAsia="en-AU"/>
        </w:rPr>
        <w:t xml:space="preserve">from the </w:t>
      </w:r>
      <w:r w:rsidR="005F73D5">
        <w:rPr>
          <w:rFonts w:eastAsia="Times New Roman" w:cs="Times New Roman"/>
          <w:lang w:eastAsia="en-AU"/>
        </w:rPr>
        <w:t xml:space="preserve">policy </w:t>
      </w:r>
      <w:r w:rsidR="00657DC0">
        <w:rPr>
          <w:rFonts w:eastAsia="Times New Roman" w:cs="Times New Roman"/>
          <w:lang w:eastAsia="en-AU"/>
        </w:rPr>
        <w:t>grave</w:t>
      </w:r>
      <w:r w:rsidR="00602EC0" w:rsidRPr="002C734F">
        <w:rPr>
          <w:rFonts w:eastAsia="Times New Roman" w:cs="Times New Roman"/>
          <w:lang w:eastAsia="en-AU"/>
        </w:rPr>
        <w:t>.</w:t>
      </w:r>
      <w:r w:rsidR="000F2852">
        <w:rPr>
          <w:rStyle w:val="FootnoteReference"/>
          <w:rFonts w:eastAsia="Times New Roman" w:cs="Times New Roman"/>
          <w:lang w:eastAsia="en-AU"/>
        </w:rPr>
        <w:footnoteReference w:id="18"/>
      </w:r>
      <w:r w:rsidR="00602EC0" w:rsidRPr="002C734F">
        <w:rPr>
          <w:rFonts w:eastAsia="Times New Roman" w:cs="Times New Roman"/>
          <w:lang w:eastAsia="en-AU"/>
        </w:rPr>
        <w:t xml:space="preserve">  </w:t>
      </w:r>
    </w:p>
    <w:p w14:paraId="2B12A8D1" w14:textId="77777777" w:rsidR="000976F5" w:rsidRPr="002C734F" w:rsidRDefault="000976F5" w:rsidP="00B268B7">
      <w:pPr>
        <w:spacing w:after="0"/>
        <w:rPr>
          <w:rFonts w:eastAsia="Times New Roman" w:cs="Times New Roman"/>
          <w:lang w:eastAsia="en-AU"/>
        </w:rPr>
      </w:pPr>
    </w:p>
    <w:p w14:paraId="125E78FB" w14:textId="71050D0F" w:rsidR="000771CB" w:rsidRDefault="00602EC0" w:rsidP="00B268B7">
      <w:pPr>
        <w:spacing w:after="0"/>
        <w:rPr>
          <w:rFonts w:eastAsia="Times New Roman" w:cs="Times New Roman"/>
          <w:lang w:eastAsia="en-AU"/>
        </w:rPr>
      </w:pPr>
      <w:r w:rsidRPr="002C734F">
        <w:rPr>
          <w:rFonts w:eastAsia="Times New Roman" w:cs="Times New Roman"/>
          <w:lang w:eastAsia="en-AU"/>
        </w:rPr>
        <w:t>Moreover, t</w:t>
      </w:r>
      <w:r w:rsidR="000976F5" w:rsidRPr="002C734F">
        <w:rPr>
          <w:rFonts w:eastAsia="Times New Roman" w:cs="Times New Roman"/>
          <w:lang w:eastAsia="en-AU"/>
        </w:rPr>
        <w:t xml:space="preserve">he </w:t>
      </w:r>
      <w:r w:rsidR="009A6956">
        <w:rPr>
          <w:rFonts w:eastAsia="Times New Roman" w:cs="Times New Roman"/>
          <w:lang w:eastAsia="en-AU"/>
        </w:rPr>
        <w:t>policy involves a misnomer that</w:t>
      </w:r>
      <w:r w:rsidR="00657DC0">
        <w:rPr>
          <w:rFonts w:eastAsia="Times New Roman" w:cs="Times New Roman"/>
          <w:lang w:eastAsia="en-AU"/>
        </w:rPr>
        <w:t xml:space="preserve"> appears to have distracted </w:t>
      </w:r>
      <w:r w:rsidR="005F73D5">
        <w:rPr>
          <w:rFonts w:eastAsia="Times New Roman" w:cs="Times New Roman"/>
          <w:lang w:eastAsia="en-AU"/>
        </w:rPr>
        <w:t xml:space="preserve">many, including </w:t>
      </w:r>
      <w:r w:rsidR="00657DC0">
        <w:rPr>
          <w:rFonts w:eastAsia="Times New Roman" w:cs="Times New Roman"/>
          <w:lang w:eastAsia="en-AU"/>
        </w:rPr>
        <w:t xml:space="preserve">the </w:t>
      </w:r>
      <w:r w:rsidR="005F73D5">
        <w:rPr>
          <w:rFonts w:eastAsia="Times New Roman" w:cs="Times New Roman"/>
          <w:lang w:eastAsia="en-AU"/>
        </w:rPr>
        <w:t>C</w:t>
      </w:r>
      <w:r w:rsidR="00657DC0">
        <w:rPr>
          <w:rFonts w:eastAsia="Times New Roman" w:cs="Times New Roman"/>
          <w:lang w:eastAsia="en-AU"/>
        </w:rPr>
        <w:t>ourt</w:t>
      </w:r>
      <w:r w:rsidR="005F73D5">
        <w:rPr>
          <w:rFonts w:eastAsia="Times New Roman" w:cs="Times New Roman"/>
          <w:lang w:eastAsia="en-AU"/>
        </w:rPr>
        <w:t>,</w:t>
      </w:r>
      <w:r w:rsidR="00657DC0">
        <w:rPr>
          <w:rFonts w:eastAsia="Times New Roman" w:cs="Times New Roman"/>
          <w:lang w:eastAsia="en-AU"/>
        </w:rPr>
        <w:t xml:space="preserve"> from the pivotal </w:t>
      </w:r>
      <w:r w:rsidR="000976F5" w:rsidRPr="002C734F">
        <w:rPr>
          <w:rFonts w:eastAsia="Times New Roman" w:cs="Times New Roman"/>
          <w:lang w:eastAsia="en-AU"/>
        </w:rPr>
        <w:t>issue</w:t>
      </w:r>
      <w:r w:rsidR="00657DC0">
        <w:rPr>
          <w:rFonts w:eastAsia="Times New Roman" w:cs="Times New Roman"/>
          <w:lang w:eastAsia="en-AU"/>
        </w:rPr>
        <w:t>:</w:t>
      </w:r>
      <w:r w:rsidR="000976F5" w:rsidRPr="002C734F">
        <w:rPr>
          <w:rFonts w:eastAsia="Times New Roman" w:cs="Times New Roman"/>
          <w:lang w:eastAsia="en-AU"/>
        </w:rPr>
        <w:t xml:space="preserve"> </w:t>
      </w:r>
      <w:r w:rsidR="008D1D20">
        <w:rPr>
          <w:rFonts w:eastAsia="Times New Roman" w:cs="Times New Roman"/>
          <w:lang w:eastAsia="en-AU"/>
        </w:rPr>
        <w:t xml:space="preserve">that </w:t>
      </w:r>
      <w:r w:rsidRPr="002C734F">
        <w:rPr>
          <w:rFonts w:eastAsia="Times New Roman" w:cs="Times New Roman"/>
          <w:lang w:eastAsia="en-AU"/>
        </w:rPr>
        <w:t xml:space="preserve">Botany’s </w:t>
      </w:r>
      <w:r w:rsidR="000976F5" w:rsidRPr="002C734F">
        <w:rPr>
          <w:rFonts w:eastAsia="Times New Roman" w:cs="Times New Roman"/>
          <w:lang w:eastAsia="en-AU"/>
        </w:rPr>
        <w:t xml:space="preserve">capacity </w:t>
      </w:r>
      <w:r w:rsidRPr="002C734F">
        <w:rPr>
          <w:rFonts w:eastAsia="Times New Roman" w:cs="Times New Roman"/>
          <w:lang w:eastAsia="en-AU"/>
        </w:rPr>
        <w:t>is and will be limited by</w:t>
      </w:r>
      <w:r w:rsidR="000976F5" w:rsidRPr="002C734F">
        <w:rPr>
          <w:rFonts w:eastAsia="Times New Roman" w:cs="Times New Roman"/>
          <w:lang w:eastAsia="en-AU"/>
        </w:rPr>
        <w:t xml:space="preserve"> </w:t>
      </w:r>
      <w:r w:rsidR="00875082" w:rsidRPr="002C734F">
        <w:rPr>
          <w:rFonts w:eastAsia="Times New Roman" w:cs="Times New Roman"/>
          <w:lang w:eastAsia="en-AU"/>
        </w:rPr>
        <w:t xml:space="preserve">land transport </w:t>
      </w:r>
      <w:r w:rsidR="00657DC0">
        <w:rPr>
          <w:rFonts w:eastAsia="Times New Roman" w:cs="Times New Roman"/>
          <w:lang w:eastAsia="en-AU"/>
        </w:rPr>
        <w:t>and storage</w:t>
      </w:r>
      <w:r w:rsidR="00085150">
        <w:rPr>
          <w:rFonts w:eastAsia="Times New Roman" w:cs="Times New Roman"/>
          <w:lang w:eastAsia="en-AU"/>
        </w:rPr>
        <w:t xml:space="preserve"> chain</w:t>
      </w:r>
      <w:r w:rsidR="005F73D5">
        <w:rPr>
          <w:rFonts w:eastAsia="Times New Roman" w:cs="Times New Roman"/>
          <w:lang w:eastAsia="en-AU"/>
        </w:rPr>
        <w:t xml:space="preserve">, rather than matters at </w:t>
      </w:r>
      <w:r w:rsidR="00085150">
        <w:rPr>
          <w:rFonts w:eastAsia="Times New Roman" w:cs="Times New Roman"/>
          <w:lang w:eastAsia="en-AU"/>
        </w:rPr>
        <w:t xml:space="preserve">or near </w:t>
      </w:r>
      <w:r w:rsidR="005F73D5">
        <w:rPr>
          <w:rFonts w:eastAsia="Times New Roman" w:cs="Times New Roman"/>
          <w:lang w:eastAsia="en-AU"/>
        </w:rPr>
        <w:t xml:space="preserve">the </w:t>
      </w:r>
      <w:r w:rsidRPr="002C734F">
        <w:rPr>
          <w:rFonts w:eastAsia="Times New Roman" w:cs="Times New Roman"/>
          <w:lang w:eastAsia="en-AU"/>
        </w:rPr>
        <w:t>port precinct</w:t>
      </w:r>
      <w:r w:rsidR="000976F5" w:rsidRPr="002C734F">
        <w:rPr>
          <w:rFonts w:eastAsia="Times New Roman" w:cs="Times New Roman"/>
          <w:lang w:eastAsia="en-AU"/>
        </w:rPr>
        <w:t xml:space="preserve">.  </w:t>
      </w:r>
    </w:p>
    <w:p w14:paraId="74FFC69C" w14:textId="77777777" w:rsidR="00FE3E2B" w:rsidRDefault="00FE3E2B" w:rsidP="00B268B7">
      <w:pPr>
        <w:spacing w:after="0"/>
        <w:rPr>
          <w:rFonts w:eastAsia="Times New Roman" w:cs="Times New Roman"/>
          <w:lang w:eastAsia="en-AU"/>
        </w:rPr>
      </w:pPr>
    </w:p>
    <w:p w14:paraId="75728732" w14:textId="6E5B09B9" w:rsidR="004A798B" w:rsidRDefault="00B1556F" w:rsidP="00B268B7">
      <w:pPr>
        <w:pStyle w:val="Heading4"/>
        <w:spacing w:before="0"/>
        <w:rPr>
          <w:rFonts w:eastAsia="Times New Roman"/>
          <w:lang w:eastAsia="en-AU"/>
        </w:rPr>
      </w:pPr>
      <w:r>
        <w:rPr>
          <w:rFonts w:eastAsia="Times New Roman"/>
          <w:lang w:eastAsia="en-AU"/>
        </w:rPr>
        <w:t>4.</w:t>
      </w:r>
      <w:r w:rsidR="00613F48">
        <w:rPr>
          <w:rFonts w:eastAsia="Times New Roman"/>
          <w:lang w:eastAsia="en-AU"/>
        </w:rPr>
        <w:t>2</w:t>
      </w:r>
      <w:r>
        <w:rPr>
          <w:rFonts w:eastAsia="Times New Roman"/>
          <w:lang w:eastAsia="en-AU"/>
        </w:rPr>
        <w:t>.</w:t>
      </w:r>
      <w:r w:rsidR="009C3876">
        <w:rPr>
          <w:rFonts w:eastAsia="Times New Roman"/>
          <w:lang w:eastAsia="en-AU"/>
        </w:rPr>
        <w:t>2</w:t>
      </w:r>
      <w:r>
        <w:rPr>
          <w:rFonts w:eastAsia="Times New Roman"/>
          <w:lang w:eastAsia="en-AU"/>
        </w:rPr>
        <w:tab/>
      </w:r>
      <w:r w:rsidR="004A798B">
        <w:rPr>
          <w:rFonts w:eastAsia="Times New Roman"/>
          <w:lang w:eastAsia="en-AU"/>
        </w:rPr>
        <w:t>National Ports strategy.</w:t>
      </w:r>
    </w:p>
    <w:p w14:paraId="35136E23" w14:textId="2ADFFC48" w:rsidR="004A798B" w:rsidRDefault="00875082" w:rsidP="00B268B7">
      <w:pPr>
        <w:spacing w:after="0"/>
        <w:rPr>
          <w:rFonts w:eastAsia="Times New Roman" w:cs="Times New Roman"/>
          <w:lang w:eastAsia="en-AU"/>
        </w:rPr>
      </w:pPr>
      <w:r w:rsidRPr="002C734F">
        <w:rPr>
          <w:rFonts w:eastAsia="Times New Roman" w:cs="Times New Roman"/>
          <w:lang w:eastAsia="en-AU"/>
        </w:rPr>
        <w:t>Th</w:t>
      </w:r>
      <w:r w:rsidR="00657DC0">
        <w:rPr>
          <w:rFonts w:eastAsia="Times New Roman" w:cs="Times New Roman"/>
          <w:lang w:eastAsia="en-AU"/>
        </w:rPr>
        <w:t>e</w:t>
      </w:r>
      <w:r w:rsidRPr="002C734F">
        <w:rPr>
          <w:rFonts w:eastAsia="Times New Roman" w:cs="Times New Roman"/>
          <w:lang w:eastAsia="en-AU"/>
        </w:rPr>
        <w:t xml:space="preserve"> National Ports Strategy</w:t>
      </w:r>
      <w:r w:rsidR="00602EC0" w:rsidRPr="002C734F">
        <w:rPr>
          <w:rFonts w:eastAsia="Times New Roman" w:cs="Times New Roman"/>
          <w:lang w:eastAsia="en-AU"/>
        </w:rPr>
        <w:t xml:space="preserve"> </w:t>
      </w:r>
      <w:r w:rsidR="004A798B">
        <w:rPr>
          <w:rFonts w:eastAsia="Times New Roman" w:cs="Times New Roman"/>
          <w:lang w:eastAsia="en-AU"/>
        </w:rPr>
        <w:t>was</w:t>
      </w:r>
      <w:r w:rsidR="00602EC0" w:rsidRPr="002C734F">
        <w:rPr>
          <w:rFonts w:eastAsia="Times New Roman" w:cs="Times New Roman"/>
          <w:lang w:eastAsia="en-AU"/>
        </w:rPr>
        <w:t xml:space="preserve"> cited by the </w:t>
      </w:r>
      <w:r w:rsidR="009A6956">
        <w:rPr>
          <w:rFonts w:eastAsia="Times New Roman" w:cs="Times New Roman"/>
          <w:lang w:eastAsia="en-AU"/>
        </w:rPr>
        <w:t>C</w:t>
      </w:r>
      <w:r w:rsidR="00602EC0" w:rsidRPr="002C734F">
        <w:rPr>
          <w:rFonts w:eastAsia="Times New Roman" w:cs="Times New Roman"/>
          <w:lang w:eastAsia="en-AU"/>
        </w:rPr>
        <w:t>ourt</w:t>
      </w:r>
      <w:r w:rsidR="001E5F20">
        <w:rPr>
          <w:rFonts w:eastAsia="Times New Roman" w:cs="Times New Roman"/>
          <w:lang w:eastAsia="en-AU"/>
        </w:rPr>
        <w:t>.  The</w:t>
      </w:r>
      <w:r w:rsidR="004A798B">
        <w:rPr>
          <w:rFonts w:eastAsia="Times New Roman" w:cs="Times New Roman"/>
          <w:lang w:eastAsia="en-AU"/>
        </w:rPr>
        <w:t>re are two essential points of that Strategy.</w:t>
      </w:r>
      <w:r w:rsidR="00546E26">
        <w:rPr>
          <w:rStyle w:val="FootnoteReference"/>
          <w:rFonts w:eastAsia="Times New Roman" w:cs="Times New Roman"/>
          <w:lang w:eastAsia="en-AU"/>
        </w:rPr>
        <w:footnoteReference w:id="19"/>
      </w:r>
    </w:p>
    <w:p w14:paraId="47707D51" w14:textId="77777777" w:rsidR="004A798B" w:rsidRDefault="004A798B" w:rsidP="00B268B7">
      <w:pPr>
        <w:spacing w:after="0"/>
        <w:rPr>
          <w:rFonts w:eastAsia="Times New Roman" w:cs="Times New Roman"/>
          <w:lang w:eastAsia="en-AU"/>
        </w:rPr>
      </w:pPr>
    </w:p>
    <w:p w14:paraId="13516DDF" w14:textId="2B98B70A" w:rsidR="001E5F20" w:rsidRDefault="004A798B" w:rsidP="00B268B7">
      <w:pPr>
        <w:spacing w:after="0"/>
        <w:rPr>
          <w:rFonts w:eastAsia="Times New Roman" w:cs="Times New Roman"/>
          <w:lang w:eastAsia="en-AU"/>
        </w:rPr>
      </w:pPr>
      <w:r>
        <w:rPr>
          <w:rFonts w:eastAsia="Times New Roman" w:cs="Times New Roman"/>
          <w:lang w:eastAsia="en-AU"/>
        </w:rPr>
        <w:t>F</w:t>
      </w:r>
      <w:r w:rsidR="001E5F20">
        <w:rPr>
          <w:rFonts w:eastAsia="Times New Roman" w:cs="Times New Roman"/>
          <w:lang w:eastAsia="en-AU"/>
        </w:rPr>
        <w:t>irst</w:t>
      </w:r>
      <w:r>
        <w:rPr>
          <w:rFonts w:eastAsia="Times New Roman" w:cs="Times New Roman"/>
          <w:lang w:eastAsia="en-AU"/>
        </w:rPr>
        <w:t>,</w:t>
      </w:r>
      <w:r w:rsidR="001E5F20">
        <w:rPr>
          <w:rFonts w:eastAsia="Times New Roman" w:cs="Times New Roman"/>
          <w:lang w:eastAsia="en-AU"/>
        </w:rPr>
        <w:t xml:space="preserve"> </w:t>
      </w:r>
      <w:r w:rsidR="00657DC0">
        <w:rPr>
          <w:rFonts w:eastAsia="Times New Roman" w:cs="Times New Roman"/>
          <w:lang w:eastAsia="en-AU"/>
        </w:rPr>
        <w:t>policy should</w:t>
      </w:r>
      <w:r w:rsidR="001E5F20">
        <w:rPr>
          <w:rFonts w:eastAsia="Times New Roman" w:cs="Times New Roman"/>
          <w:lang w:eastAsia="en-AU"/>
        </w:rPr>
        <w:t xml:space="preserve"> </w:t>
      </w:r>
      <w:r>
        <w:rPr>
          <w:rFonts w:eastAsia="Times New Roman" w:cs="Times New Roman"/>
          <w:lang w:eastAsia="en-AU"/>
        </w:rPr>
        <w:t xml:space="preserve">treat </w:t>
      </w:r>
      <w:r w:rsidR="00602EC0" w:rsidRPr="002C734F">
        <w:rPr>
          <w:rFonts w:eastAsia="Times New Roman" w:cs="Times New Roman"/>
          <w:lang w:eastAsia="en-AU"/>
        </w:rPr>
        <w:t>ports as a function, not a p</w:t>
      </w:r>
      <w:r w:rsidR="00657DC0">
        <w:rPr>
          <w:rFonts w:eastAsia="Times New Roman" w:cs="Times New Roman"/>
          <w:lang w:eastAsia="en-AU"/>
        </w:rPr>
        <w:t>recinct</w:t>
      </w:r>
      <w:r w:rsidR="00602EC0" w:rsidRPr="002C734F">
        <w:rPr>
          <w:rFonts w:eastAsia="Times New Roman" w:cs="Times New Roman"/>
          <w:lang w:eastAsia="en-AU"/>
        </w:rPr>
        <w:t>.</w:t>
      </w:r>
      <w:r w:rsidR="00657DC0">
        <w:rPr>
          <w:rFonts w:eastAsia="Times New Roman" w:cs="Times New Roman"/>
          <w:lang w:eastAsia="en-AU"/>
        </w:rPr>
        <w:t xml:space="preserve">  Policy should have regard to channel</w:t>
      </w:r>
      <w:r>
        <w:rPr>
          <w:rFonts w:eastAsia="Times New Roman" w:cs="Times New Roman"/>
          <w:lang w:eastAsia="en-AU"/>
        </w:rPr>
        <w:t>,</w:t>
      </w:r>
      <w:r w:rsidR="001E5F20">
        <w:rPr>
          <w:rFonts w:eastAsia="Times New Roman" w:cs="Times New Roman"/>
          <w:lang w:eastAsia="en-AU"/>
        </w:rPr>
        <w:t xml:space="preserve"> road and rail approaches to the precinct, and storage</w:t>
      </w:r>
      <w:r>
        <w:rPr>
          <w:rFonts w:eastAsia="Times New Roman" w:cs="Times New Roman"/>
          <w:lang w:eastAsia="en-AU"/>
        </w:rPr>
        <w:t>-</w:t>
      </w:r>
      <w:r w:rsidR="001E5F20">
        <w:rPr>
          <w:rFonts w:eastAsia="Times New Roman" w:cs="Times New Roman"/>
          <w:lang w:eastAsia="en-AU"/>
        </w:rPr>
        <w:t>cargo (dis) assembly areas away from the port.  Significantly, for capital cities, over time such areas are likely to move further away from port precincts, lengthening land transport routes</w:t>
      </w:r>
      <w:r w:rsidR="009A6956">
        <w:rPr>
          <w:rFonts w:eastAsia="Times New Roman" w:cs="Times New Roman"/>
          <w:lang w:eastAsia="en-AU"/>
        </w:rPr>
        <w:t>, transit times and lowering delivery reliability</w:t>
      </w:r>
      <w:r w:rsidR="001E5F20">
        <w:rPr>
          <w:rFonts w:eastAsia="Times New Roman" w:cs="Times New Roman"/>
          <w:lang w:eastAsia="en-AU"/>
        </w:rPr>
        <w:t>.</w:t>
      </w:r>
    </w:p>
    <w:p w14:paraId="72C50F94" w14:textId="77777777" w:rsidR="00CF1DB3" w:rsidRDefault="00CF1DB3" w:rsidP="00B268B7">
      <w:pPr>
        <w:spacing w:after="0"/>
        <w:rPr>
          <w:lang w:eastAsia="en-AU"/>
        </w:rPr>
      </w:pPr>
    </w:p>
    <w:p w14:paraId="4B92C05E" w14:textId="3F0D0D53" w:rsidR="001E5F20" w:rsidRDefault="004A798B" w:rsidP="00B268B7">
      <w:pPr>
        <w:spacing w:after="0"/>
        <w:rPr>
          <w:lang w:eastAsia="en-AU"/>
        </w:rPr>
      </w:pPr>
      <w:r>
        <w:rPr>
          <w:lang w:eastAsia="en-AU"/>
        </w:rPr>
        <w:t>S</w:t>
      </w:r>
      <w:r w:rsidR="001E5F20">
        <w:rPr>
          <w:lang w:eastAsia="en-AU"/>
        </w:rPr>
        <w:t>econd</w:t>
      </w:r>
      <w:r>
        <w:rPr>
          <w:lang w:eastAsia="en-AU"/>
        </w:rPr>
        <w:t>,</w:t>
      </w:r>
      <w:r w:rsidR="001E5F20">
        <w:rPr>
          <w:lang w:eastAsia="en-AU"/>
        </w:rPr>
        <w:t xml:space="preserve"> </w:t>
      </w:r>
      <w:r>
        <w:rPr>
          <w:lang w:eastAsia="en-AU"/>
        </w:rPr>
        <w:t xml:space="preserve">those </w:t>
      </w:r>
      <w:r w:rsidR="001E5F20">
        <w:rPr>
          <w:lang w:eastAsia="en-AU"/>
        </w:rPr>
        <w:t>function</w:t>
      </w:r>
      <w:r>
        <w:rPr>
          <w:lang w:eastAsia="en-AU"/>
        </w:rPr>
        <w:t>s</w:t>
      </w:r>
      <w:r w:rsidR="001E5F20">
        <w:rPr>
          <w:lang w:eastAsia="en-AU"/>
        </w:rPr>
        <w:t xml:space="preserve"> conflict with, and are not welcome by, other activities such as residences.  The conflict in major urban areas should be minimised by identifying places – including road and rail routes - for major freight tasks.</w:t>
      </w:r>
      <w:r>
        <w:rPr>
          <w:lang w:eastAsia="en-AU"/>
        </w:rPr>
        <w:t xml:space="preserve">  Importantly, to the extent port and ‘background’ </w:t>
      </w:r>
      <w:r w:rsidR="002826BC">
        <w:rPr>
          <w:lang w:eastAsia="en-AU"/>
        </w:rPr>
        <w:t xml:space="preserve">road and rail </w:t>
      </w:r>
      <w:r>
        <w:rPr>
          <w:lang w:eastAsia="en-AU"/>
        </w:rPr>
        <w:t xml:space="preserve">traffic is allowed to mix, port capacity will be limited.  </w:t>
      </w:r>
    </w:p>
    <w:p w14:paraId="6F1D37EC" w14:textId="77777777" w:rsidR="00B1556F" w:rsidRDefault="00B1556F" w:rsidP="00B268B7">
      <w:pPr>
        <w:spacing w:after="0"/>
        <w:rPr>
          <w:rFonts w:eastAsia="Times New Roman" w:cs="Times New Roman"/>
          <w:lang w:eastAsia="en-AU"/>
        </w:rPr>
      </w:pPr>
    </w:p>
    <w:p w14:paraId="3A157D5D" w14:textId="1CFAAB9B" w:rsidR="00875082" w:rsidRDefault="001E5F20" w:rsidP="00B268B7">
      <w:pPr>
        <w:spacing w:after="0"/>
        <w:rPr>
          <w:rFonts w:eastAsia="Times New Roman" w:cs="Times New Roman"/>
          <w:lang w:eastAsia="en-AU"/>
        </w:rPr>
      </w:pPr>
      <w:r>
        <w:rPr>
          <w:rFonts w:eastAsia="Times New Roman" w:cs="Times New Roman"/>
          <w:lang w:eastAsia="en-AU"/>
        </w:rPr>
        <w:t>Among the practical implications</w:t>
      </w:r>
      <w:r w:rsidR="009A6956">
        <w:rPr>
          <w:rFonts w:eastAsia="Times New Roman" w:cs="Times New Roman"/>
          <w:lang w:eastAsia="en-AU"/>
        </w:rPr>
        <w:t>:</w:t>
      </w:r>
      <w:r>
        <w:rPr>
          <w:rFonts w:eastAsia="Times New Roman" w:cs="Times New Roman"/>
          <w:lang w:eastAsia="en-AU"/>
        </w:rPr>
        <w:t xml:space="preserve"> the </w:t>
      </w:r>
      <w:r w:rsidR="009A5BE0">
        <w:rPr>
          <w:rFonts w:eastAsia="Times New Roman" w:cs="Times New Roman"/>
          <w:lang w:eastAsia="en-AU"/>
        </w:rPr>
        <w:t xml:space="preserve">functional </w:t>
      </w:r>
      <w:r>
        <w:rPr>
          <w:rFonts w:eastAsia="Times New Roman" w:cs="Times New Roman"/>
          <w:lang w:eastAsia="en-AU"/>
        </w:rPr>
        <w:t xml:space="preserve">capacity of a container port in a central city area will be limited </w:t>
      </w:r>
      <w:r w:rsidR="009A5BE0">
        <w:rPr>
          <w:rFonts w:eastAsia="Times New Roman" w:cs="Times New Roman"/>
          <w:lang w:eastAsia="en-AU"/>
        </w:rPr>
        <w:t xml:space="preserve">by land transport within the metropolis, rather than by </w:t>
      </w:r>
      <w:r w:rsidR="00C11760">
        <w:rPr>
          <w:rFonts w:eastAsia="Times New Roman" w:cs="Times New Roman"/>
          <w:lang w:eastAsia="en-AU"/>
        </w:rPr>
        <w:t xml:space="preserve">its </w:t>
      </w:r>
      <w:r w:rsidR="009A5BE0">
        <w:rPr>
          <w:rFonts w:eastAsia="Times New Roman" w:cs="Times New Roman"/>
          <w:lang w:eastAsia="en-AU"/>
        </w:rPr>
        <w:t>hypothetical precinct capacity.</w:t>
      </w:r>
    </w:p>
    <w:p w14:paraId="7071D792" w14:textId="5A67F5B9" w:rsidR="00CC6E43" w:rsidRDefault="00CC6E43" w:rsidP="00B268B7">
      <w:pPr>
        <w:spacing w:after="0"/>
        <w:rPr>
          <w:rFonts w:eastAsia="Times New Roman" w:cs="Times New Roman"/>
          <w:lang w:eastAsia="en-AU"/>
        </w:rPr>
      </w:pPr>
    </w:p>
    <w:p w14:paraId="106AD10E" w14:textId="7E58CEA0" w:rsidR="002826BC" w:rsidRDefault="009A6956" w:rsidP="00B268B7">
      <w:pPr>
        <w:spacing w:after="0"/>
        <w:rPr>
          <w:rFonts w:eastAsia="Times New Roman" w:cs="Times New Roman"/>
          <w:lang w:eastAsia="en-AU"/>
        </w:rPr>
      </w:pPr>
      <w:r>
        <w:rPr>
          <w:rFonts w:eastAsia="Times New Roman" w:cs="Times New Roman"/>
          <w:lang w:eastAsia="en-AU"/>
        </w:rPr>
        <w:t xml:space="preserve">Port </w:t>
      </w:r>
      <w:r w:rsidR="002826BC">
        <w:rPr>
          <w:rFonts w:eastAsia="Times New Roman" w:cs="Times New Roman"/>
          <w:lang w:eastAsia="en-AU"/>
        </w:rPr>
        <w:t xml:space="preserve">Botany illustrates the principles and arguably was </w:t>
      </w:r>
      <w:r>
        <w:rPr>
          <w:rFonts w:eastAsia="Times New Roman" w:cs="Times New Roman"/>
          <w:lang w:eastAsia="en-AU"/>
        </w:rPr>
        <w:t xml:space="preserve">among the motivations for </w:t>
      </w:r>
      <w:r w:rsidR="002826BC">
        <w:rPr>
          <w:rFonts w:eastAsia="Times New Roman" w:cs="Times New Roman"/>
          <w:lang w:eastAsia="en-AU"/>
        </w:rPr>
        <w:t xml:space="preserve">such a Strategy.  </w:t>
      </w:r>
    </w:p>
    <w:p w14:paraId="54AA304E" w14:textId="77777777" w:rsidR="002826BC" w:rsidRDefault="002826BC" w:rsidP="00B268B7">
      <w:pPr>
        <w:spacing w:after="0"/>
        <w:rPr>
          <w:rFonts w:eastAsia="Times New Roman" w:cs="Times New Roman"/>
          <w:lang w:eastAsia="en-AU"/>
        </w:rPr>
      </w:pPr>
    </w:p>
    <w:p w14:paraId="5C479394" w14:textId="16DE8F7F" w:rsidR="00B1556F" w:rsidRDefault="00B1556F" w:rsidP="00B268B7">
      <w:pPr>
        <w:pStyle w:val="Heading4"/>
        <w:spacing w:before="0"/>
        <w:rPr>
          <w:rFonts w:eastAsia="Times New Roman"/>
          <w:lang w:eastAsia="en-AU"/>
        </w:rPr>
      </w:pPr>
      <w:r>
        <w:rPr>
          <w:rFonts w:eastAsia="Times New Roman"/>
          <w:lang w:eastAsia="en-AU"/>
        </w:rPr>
        <w:t>4.</w:t>
      </w:r>
      <w:r w:rsidR="00613F48">
        <w:rPr>
          <w:rFonts w:eastAsia="Times New Roman"/>
          <w:lang w:eastAsia="en-AU"/>
        </w:rPr>
        <w:t>2</w:t>
      </w:r>
      <w:r>
        <w:rPr>
          <w:rFonts w:eastAsia="Times New Roman"/>
          <w:lang w:eastAsia="en-AU"/>
        </w:rPr>
        <w:t>.</w:t>
      </w:r>
      <w:r w:rsidR="009C3876">
        <w:rPr>
          <w:rFonts w:eastAsia="Times New Roman"/>
          <w:lang w:eastAsia="en-AU"/>
        </w:rPr>
        <w:t>3</w:t>
      </w:r>
      <w:r>
        <w:rPr>
          <w:rFonts w:eastAsia="Times New Roman"/>
          <w:lang w:eastAsia="en-AU"/>
        </w:rPr>
        <w:tab/>
        <w:t>Botany and the cap</w:t>
      </w:r>
    </w:p>
    <w:p w14:paraId="60F4B7E9" w14:textId="77777777" w:rsidR="004F18E1" w:rsidRDefault="002826BC" w:rsidP="00B268B7">
      <w:pPr>
        <w:spacing w:after="0"/>
        <w:rPr>
          <w:rFonts w:eastAsia="Times New Roman" w:cs="Times New Roman"/>
          <w:lang w:eastAsia="en-AU"/>
        </w:rPr>
      </w:pPr>
      <w:r>
        <w:rPr>
          <w:rFonts w:eastAsia="Times New Roman" w:cs="Times New Roman"/>
          <w:lang w:eastAsia="en-AU"/>
        </w:rPr>
        <w:t xml:space="preserve">Botany was subject to a container cap of </w:t>
      </w:r>
      <w:r w:rsidR="00857AE2">
        <w:rPr>
          <w:rFonts w:eastAsia="Times New Roman" w:cs="Times New Roman"/>
          <w:lang w:eastAsia="en-AU"/>
        </w:rPr>
        <w:t xml:space="preserve">– not permitted to handle more than - </w:t>
      </w:r>
      <w:r w:rsidR="00CC6E43">
        <w:rPr>
          <w:rFonts w:eastAsia="Times New Roman" w:cs="Times New Roman"/>
          <w:lang w:eastAsia="en-AU"/>
        </w:rPr>
        <w:t>3.2million teu</w:t>
      </w:r>
      <w:r>
        <w:rPr>
          <w:rFonts w:eastAsia="Times New Roman" w:cs="Times New Roman"/>
          <w:lang w:eastAsia="en-AU"/>
        </w:rPr>
        <w:t xml:space="preserve">. </w:t>
      </w:r>
      <w:r w:rsidR="00CC6E43">
        <w:rPr>
          <w:rFonts w:eastAsia="Times New Roman" w:cs="Times New Roman"/>
          <w:lang w:eastAsia="en-AU"/>
        </w:rPr>
        <w:t xml:space="preserve"> The cap was removed after the third terminal was constructed.  However, the </w:t>
      </w:r>
      <w:r>
        <w:rPr>
          <w:rFonts w:eastAsia="Times New Roman" w:cs="Times New Roman"/>
          <w:lang w:eastAsia="en-AU"/>
        </w:rPr>
        <w:t xml:space="preserve">latent </w:t>
      </w:r>
      <w:r w:rsidR="00CC6E43">
        <w:rPr>
          <w:rFonts w:eastAsia="Times New Roman" w:cs="Times New Roman"/>
          <w:lang w:eastAsia="en-AU"/>
        </w:rPr>
        <w:t xml:space="preserve">capacity of the port prior to construction of that terminal </w:t>
      </w:r>
      <w:r w:rsidR="003B3965">
        <w:rPr>
          <w:rFonts w:eastAsia="Times New Roman" w:cs="Times New Roman"/>
          <w:lang w:eastAsia="en-AU"/>
        </w:rPr>
        <w:t xml:space="preserve">may have </w:t>
      </w:r>
      <w:r w:rsidR="00CC6E43">
        <w:rPr>
          <w:rFonts w:eastAsia="Times New Roman" w:cs="Times New Roman"/>
          <w:lang w:eastAsia="en-AU"/>
        </w:rPr>
        <w:t xml:space="preserve">exceeded </w:t>
      </w:r>
      <w:r w:rsidR="00857AE2">
        <w:rPr>
          <w:rFonts w:eastAsia="Times New Roman" w:cs="Times New Roman"/>
          <w:lang w:eastAsia="en-AU"/>
        </w:rPr>
        <w:t>the cap</w:t>
      </w:r>
      <w:r w:rsidR="00CC6E43">
        <w:rPr>
          <w:rFonts w:eastAsia="Times New Roman" w:cs="Times New Roman"/>
          <w:lang w:eastAsia="en-AU"/>
        </w:rPr>
        <w:t xml:space="preserve">. </w:t>
      </w:r>
    </w:p>
    <w:p w14:paraId="68E6F1A9" w14:textId="77777777" w:rsidR="004F18E1" w:rsidRDefault="004F18E1" w:rsidP="00B268B7">
      <w:pPr>
        <w:spacing w:after="0"/>
        <w:rPr>
          <w:rFonts w:eastAsia="Times New Roman" w:cs="Times New Roman"/>
          <w:lang w:eastAsia="en-AU"/>
        </w:rPr>
      </w:pPr>
    </w:p>
    <w:p w14:paraId="46D12BCF" w14:textId="7ED1E0E5" w:rsidR="00E05D71" w:rsidRDefault="00CC6E43" w:rsidP="00B268B7">
      <w:pPr>
        <w:spacing w:after="0"/>
        <w:rPr>
          <w:rFonts w:eastAsia="Times New Roman" w:cs="Times New Roman"/>
          <w:lang w:eastAsia="en-AU"/>
        </w:rPr>
      </w:pPr>
      <w:r>
        <w:rPr>
          <w:rFonts w:eastAsia="Times New Roman" w:cs="Times New Roman"/>
          <w:lang w:eastAsia="en-AU"/>
        </w:rPr>
        <w:t xml:space="preserve">The cap related to </w:t>
      </w:r>
      <w:r w:rsidR="004F18E1">
        <w:rPr>
          <w:rFonts w:eastAsia="Times New Roman" w:cs="Times New Roman"/>
          <w:lang w:eastAsia="en-AU"/>
        </w:rPr>
        <w:t xml:space="preserve">political </w:t>
      </w:r>
      <w:r>
        <w:rPr>
          <w:rFonts w:eastAsia="Times New Roman" w:cs="Times New Roman"/>
          <w:lang w:eastAsia="en-AU"/>
        </w:rPr>
        <w:t>probl</w:t>
      </w:r>
      <w:r w:rsidR="004F18E1">
        <w:rPr>
          <w:rFonts w:eastAsia="Times New Roman" w:cs="Times New Roman"/>
          <w:lang w:eastAsia="en-AU"/>
        </w:rPr>
        <w:t>ems arising</w:t>
      </w:r>
      <w:r>
        <w:rPr>
          <w:rFonts w:eastAsia="Times New Roman" w:cs="Times New Roman"/>
          <w:lang w:eastAsia="en-AU"/>
        </w:rPr>
        <w:t xml:space="preserve"> </w:t>
      </w:r>
      <w:r w:rsidR="004F18E1">
        <w:rPr>
          <w:rFonts w:eastAsia="Times New Roman" w:cs="Times New Roman"/>
          <w:lang w:eastAsia="en-AU"/>
        </w:rPr>
        <w:t xml:space="preserve">from </w:t>
      </w:r>
      <w:r>
        <w:rPr>
          <w:rFonts w:eastAsia="Times New Roman" w:cs="Times New Roman"/>
          <w:lang w:eastAsia="en-AU"/>
        </w:rPr>
        <w:t xml:space="preserve">land transport and storage </w:t>
      </w:r>
      <w:r w:rsidR="00BC7F3D">
        <w:rPr>
          <w:rFonts w:eastAsia="Times New Roman" w:cs="Times New Roman"/>
          <w:lang w:eastAsia="en-AU"/>
        </w:rPr>
        <w:t>outside the port boundary</w:t>
      </w:r>
      <w:r w:rsidR="004F18E1">
        <w:rPr>
          <w:rFonts w:eastAsia="Times New Roman" w:cs="Times New Roman"/>
          <w:lang w:eastAsia="en-AU"/>
        </w:rPr>
        <w:t xml:space="preserve"> – truck movements in suburbs near Botany</w:t>
      </w:r>
      <w:r>
        <w:rPr>
          <w:rFonts w:eastAsia="Times New Roman" w:cs="Times New Roman"/>
          <w:lang w:eastAsia="en-AU"/>
        </w:rPr>
        <w:t>.</w:t>
      </w:r>
      <w:r w:rsidR="002826BC">
        <w:rPr>
          <w:rFonts w:eastAsia="Times New Roman" w:cs="Times New Roman"/>
          <w:lang w:eastAsia="en-AU"/>
        </w:rPr>
        <w:t xml:space="preserve">  </w:t>
      </w:r>
      <w:r w:rsidR="00BC7F3D">
        <w:rPr>
          <w:rFonts w:eastAsia="Times New Roman" w:cs="Times New Roman"/>
          <w:lang w:eastAsia="en-AU"/>
        </w:rPr>
        <w:t>T</w:t>
      </w:r>
      <w:r>
        <w:rPr>
          <w:rFonts w:eastAsia="Times New Roman" w:cs="Times New Roman"/>
          <w:lang w:eastAsia="en-AU"/>
        </w:rPr>
        <w:t>h</w:t>
      </w:r>
      <w:r w:rsidR="00857AE2">
        <w:rPr>
          <w:rFonts w:eastAsia="Times New Roman" w:cs="Times New Roman"/>
          <w:lang w:eastAsia="en-AU"/>
        </w:rPr>
        <w:t>e thi</w:t>
      </w:r>
      <w:r>
        <w:rPr>
          <w:rFonts w:eastAsia="Times New Roman" w:cs="Times New Roman"/>
          <w:lang w:eastAsia="en-AU"/>
        </w:rPr>
        <w:t>rd terminal provided a political opportunity – rather than a transport reason – to change the cap.</w:t>
      </w:r>
      <w:r w:rsidR="003B3965">
        <w:rPr>
          <w:rStyle w:val="FootnoteReference"/>
          <w:rFonts w:eastAsia="Times New Roman" w:cs="Times New Roman"/>
          <w:lang w:eastAsia="en-AU"/>
        </w:rPr>
        <w:footnoteReference w:id="20"/>
      </w:r>
    </w:p>
    <w:p w14:paraId="02796601" w14:textId="5F9191F5" w:rsidR="00CC6E43" w:rsidRDefault="00CC6E43" w:rsidP="00B268B7">
      <w:pPr>
        <w:spacing w:after="0"/>
        <w:rPr>
          <w:rFonts w:eastAsia="Times New Roman" w:cs="Times New Roman"/>
          <w:lang w:eastAsia="en-AU"/>
        </w:rPr>
      </w:pPr>
    </w:p>
    <w:p w14:paraId="635B9F02" w14:textId="77777777" w:rsidR="004F18E1" w:rsidRDefault="00CC6E43" w:rsidP="00B268B7">
      <w:pPr>
        <w:spacing w:after="0"/>
        <w:rPr>
          <w:rFonts w:eastAsia="Times New Roman" w:cs="Times New Roman"/>
          <w:lang w:eastAsia="en-AU"/>
        </w:rPr>
      </w:pPr>
      <w:r>
        <w:rPr>
          <w:rFonts w:eastAsia="Times New Roman" w:cs="Times New Roman"/>
          <w:lang w:eastAsia="en-AU"/>
        </w:rPr>
        <w:t xml:space="preserve">The salient </w:t>
      </w:r>
      <w:r w:rsidR="004F18E1">
        <w:rPr>
          <w:rFonts w:eastAsia="Times New Roman" w:cs="Times New Roman"/>
          <w:lang w:eastAsia="en-AU"/>
        </w:rPr>
        <w:t xml:space="preserve">capacity - rather than political - </w:t>
      </w:r>
      <w:r>
        <w:rPr>
          <w:rFonts w:eastAsia="Times New Roman" w:cs="Times New Roman"/>
          <w:lang w:eastAsia="en-AU"/>
        </w:rPr>
        <w:t xml:space="preserve">issue </w:t>
      </w:r>
      <w:r w:rsidR="00B268B7">
        <w:rPr>
          <w:rFonts w:eastAsia="Times New Roman" w:cs="Times New Roman"/>
          <w:lang w:eastAsia="en-AU"/>
        </w:rPr>
        <w:t>i</w:t>
      </w:r>
      <w:r w:rsidR="00BC7F3D">
        <w:rPr>
          <w:rFonts w:eastAsia="Times New Roman" w:cs="Times New Roman"/>
          <w:lang w:eastAsia="en-AU"/>
        </w:rPr>
        <w:t>s</w:t>
      </w:r>
      <w:r>
        <w:rPr>
          <w:rFonts w:eastAsia="Times New Roman" w:cs="Times New Roman"/>
          <w:lang w:eastAsia="en-AU"/>
        </w:rPr>
        <w:t xml:space="preserve"> the capacity of the land transport system.  </w:t>
      </w:r>
    </w:p>
    <w:p w14:paraId="2C02844A" w14:textId="77777777" w:rsidR="004F18E1" w:rsidRDefault="004F18E1" w:rsidP="00B268B7">
      <w:pPr>
        <w:spacing w:after="0"/>
        <w:rPr>
          <w:rFonts w:eastAsia="Times New Roman" w:cs="Times New Roman"/>
          <w:lang w:eastAsia="en-AU"/>
        </w:rPr>
      </w:pPr>
    </w:p>
    <w:p w14:paraId="23AF81B8" w14:textId="77777777" w:rsidR="004F18E1" w:rsidRDefault="00CC6E43" w:rsidP="00B268B7">
      <w:pPr>
        <w:spacing w:after="0"/>
        <w:rPr>
          <w:rFonts w:eastAsia="Times New Roman" w:cs="Times New Roman"/>
          <w:lang w:eastAsia="en-AU"/>
        </w:rPr>
      </w:pPr>
      <w:r>
        <w:rPr>
          <w:rFonts w:eastAsia="Times New Roman" w:cs="Times New Roman"/>
          <w:lang w:eastAsia="en-AU"/>
        </w:rPr>
        <w:t>P</w:t>
      </w:r>
      <w:r w:rsidR="00EA37E1">
        <w:rPr>
          <w:rFonts w:eastAsia="Times New Roman" w:cs="Times New Roman"/>
          <w:lang w:eastAsia="en-AU"/>
        </w:rPr>
        <w:t>rior to 2012, p</w:t>
      </w:r>
      <w:r>
        <w:rPr>
          <w:rFonts w:eastAsia="Times New Roman" w:cs="Times New Roman"/>
          <w:lang w:eastAsia="en-AU"/>
        </w:rPr>
        <w:t xml:space="preserve">lans for </w:t>
      </w:r>
      <w:r w:rsidR="00C0165A">
        <w:rPr>
          <w:rFonts w:eastAsia="Times New Roman" w:cs="Times New Roman"/>
          <w:lang w:eastAsia="en-AU"/>
        </w:rPr>
        <w:t xml:space="preserve">duplication of </w:t>
      </w:r>
      <w:r>
        <w:rPr>
          <w:rFonts w:eastAsia="Times New Roman" w:cs="Times New Roman"/>
          <w:lang w:eastAsia="en-AU"/>
        </w:rPr>
        <w:t xml:space="preserve">the M5 were </w:t>
      </w:r>
      <w:r w:rsidR="00C0165A">
        <w:rPr>
          <w:rFonts w:eastAsia="Times New Roman" w:cs="Times New Roman"/>
          <w:lang w:eastAsia="en-AU"/>
        </w:rPr>
        <w:t>‘</w:t>
      </w:r>
      <w:r>
        <w:rPr>
          <w:rFonts w:eastAsia="Times New Roman" w:cs="Times New Roman"/>
          <w:lang w:eastAsia="en-AU"/>
        </w:rPr>
        <w:t>based</w:t>
      </w:r>
      <w:r w:rsidR="00C0165A">
        <w:rPr>
          <w:rFonts w:eastAsia="Times New Roman" w:cs="Times New Roman"/>
          <w:lang w:eastAsia="en-AU"/>
        </w:rPr>
        <w:t>’</w:t>
      </w:r>
      <w:r>
        <w:rPr>
          <w:rFonts w:eastAsia="Times New Roman" w:cs="Times New Roman"/>
          <w:lang w:eastAsia="en-AU"/>
        </w:rPr>
        <w:t xml:space="preserve"> on the 3.2million cap.  </w:t>
      </w:r>
    </w:p>
    <w:p w14:paraId="5E572EC8" w14:textId="54AD9EBC" w:rsidR="003B012C" w:rsidRDefault="00CC6E43" w:rsidP="00B268B7">
      <w:pPr>
        <w:spacing w:after="0"/>
        <w:rPr>
          <w:rFonts w:eastAsia="Times New Roman" w:cs="Times New Roman"/>
          <w:lang w:eastAsia="en-AU"/>
        </w:rPr>
      </w:pPr>
      <w:r>
        <w:rPr>
          <w:rFonts w:eastAsia="Times New Roman" w:cs="Times New Roman"/>
          <w:lang w:eastAsia="en-AU"/>
        </w:rPr>
        <w:lastRenderedPageBreak/>
        <w:t xml:space="preserve">However, the port claimed its capacity to be </w:t>
      </w:r>
      <w:r w:rsidR="002826BC">
        <w:rPr>
          <w:rFonts w:eastAsia="Times New Roman" w:cs="Times New Roman"/>
          <w:lang w:eastAsia="en-AU"/>
        </w:rPr>
        <w:t>very substantially more</w:t>
      </w:r>
      <w:r>
        <w:rPr>
          <w:rFonts w:eastAsia="Times New Roman" w:cs="Times New Roman"/>
          <w:lang w:eastAsia="en-AU"/>
        </w:rPr>
        <w:t xml:space="preserve">.  </w:t>
      </w:r>
      <w:r w:rsidR="002826BC">
        <w:rPr>
          <w:rFonts w:eastAsia="Times New Roman" w:cs="Times New Roman"/>
          <w:lang w:eastAsia="en-AU"/>
        </w:rPr>
        <w:t xml:space="preserve">Such </w:t>
      </w:r>
      <w:r w:rsidR="00C00F43">
        <w:rPr>
          <w:rFonts w:eastAsia="Times New Roman" w:cs="Times New Roman"/>
          <w:lang w:eastAsia="en-AU"/>
        </w:rPr>
        <w:t>divergence</w:t>
      </w:r>
      <w:r w:rsidR="002826BC">
        <w:rPr>
          <w:rFonts w:eastAsia="Times New Roman" w:cs="Times New Roman"/>
          <w:lang w:eastAsia="en-AU"/>
        </w:rPr>
        <w:t xml:space="preserve">, </w:t>
      </w:r>
      <w:r w:rsidR="00857AE2">
        <w:rPr>
          <w:rFonts w:eastAsia="Times New Roman" w:cs="Times New Roman"/>
          <w:lang w:eastAsia="en-AU"/>
        </w:rPr>
        <w:t xml:space="preserve">visible to </w:t>
      </w:r>
      <w:r w:rsidR="002826BC">
        <w:rPr>
          <w:rFonts w:eastAsia="Times New Roman" w:cs="Times New Roman"/>
          <w:lang w:eastAsia="en-AU"/>
        </w:rPr>
        <w:t xml:space="preserve">the Commonwealth when NSW sought funds for the M5 duplication, contributed to arguments </w:t>
      </w:r>
      <w:r w:rsidR="00B268B7">
        <w:rPr>
          <w:rFonts w:eastAsia="Times New Roman" w:cs="Times New Roman"/>
          <w:lang w:eastAsia="en-AU"/>
        </w:rPr>
        <w:t xml:space="preserve">that </w:t>
      </w:r>
      <w:r w:rsidR="00EA37E1">
        <w:rPr>
          <w:rFonts w:eastAsia="Times New Roman" w:cs="Times New Roman"/>
          <w:lang w:eastAsia="en-AU"/>
        </w:rPr>
        <w:t>a</w:t>
      </w:r>
      <w:r w:rsidR="00C00F43">
        <w:rPr>
          <w:rFonts w:eastAsia="Times New Roman" w:cs="Times New Roman"/>
          <w:lang w:eastAsia="en-AU"/>
        </w:rPr>
        <w:t xml:space="preserve"> Ports Strategy</w:t>
      </w:r>
      <w:r w:rsidR="002826BC">
        <w:rPr>
          <w:rFonts w:eastAsia="Times New Roman" w:cs="Times New Roman"/>
          <w:lang w:eastAsia="en-AU"/>
        </w:rPr>
        <w:t xml:space="preserve"> </w:t>
      </w:r>
      <w:r w:rsidR="00B268B7">
        <w:rPr>
          <w:rFonts w:eastAsia="Times New Roman" w:cs="Times New Roman"/>
          <w:lang w:eastAsia="en-AU"/>
        </w:rPr>
        <w:t xml:space="preserve">be </w:t>
      </w:r>
      <w:r w:rsidR="002826BC">
        <w:rPr>
          <w:rFonts w:eastAsia="Times New Roman" w:cs="Times New Roman"/>
          <w:lang w:eastAsia="en-AU"/>
        </w:rPr>
        <w:t xml:space="preserve">developed at </w:t>
      </w:r>
      <w:r w:rsidR="00B268B7">
        <w:rPr>
          <w:rFonts w:eastAsia="Times New Roman" w:cs="Times New Roman"/>
          <w:lang w:eastAsia="en-AU"/>
        </w:rPr>
        <w:t>the</w:t>
      </w:r>
      <w:r w:rsidR="002826BC">
        <w:rPr>
          <w:rFonts w:eastAsia="Times New Roman" w:cs="Times New Roman"/>
          <w:lang w:eastAsia="en-AU"/>
        </w:rPr>
        <w:t xml:space="preserve"> national level</w:t>
      </w:r>
      <w:r w:rsidR="00C00F43">
        <w:rPr>
          <w:rFonts w:eastAsia="Times New Roman" w:cs="Times New Roman"/>
          <w:lang w:eastAsia="en-AU"/>
        </w:rPr>
        <w:t>.</w:t>
      </w:r>
      <w:r w:rsidR="00197F60">
        <w:rPr>
          <w:rStyle w:val="FootnoteReference"/>
          <w:rFonts w:eastAsia="Times New Roman" w:cs="Times New Roman"/>
          <w:lang w:eastAsia="en-AU"/>
        </w:rPr>
        <w:footnoteReference w:id="21"/>
      </w:r>
      <w:r w:rsidR="00DD54A1">
        <w:rPr>
          <w:rFonts w:eastAsia="Times New Roman" w:cs="Times New Roman"/>
          <w:lang w:eastAsia="en-AU"/>
        </w:rPr>
        <w:t xml:space="preserve">  </w:t>
      </w:r>
    </w:p>
    <w:p w14:paraId="139DE934" w14:textId="77777777" w:rsidR="00B1556F" w:rsidRDefault="00B1556F" w:rsidP="00B268B7">
      <w:pPr>
        <w:spacing w:after="0"/>
        <w:rPr>
          <w:rFonts w:eastAsia="Times New Roman" w:cs="Times New Roman"/>
          <w:lang w:eastAsia="en-AU"/>
        </w:rPr>
      </w:pPr>
    </w:p>
    <w:p w14:paraId="6E99421C" w14:textId="077659C0" w:rsidR="00CC6E43" w:rsidRDefault="00581303" w:rsidP="00B268B7">
      <w:pPr>
        <w:spacing w:after="0"/>
        <w:rPr>
          <w:rFonts w:eastAsia="Times New Roman" w:cs="Times New Roman"/>
          <w:lang w:eastAsia="en-AU"/>
        </w:rPr>
      </w:pPr>
      <w:r>
        <w:rPr>
          <w:rFonts w:eastAsia="Times New Roman" w:cs="Times New Roman"/>
          <w:lang w:eastAsia="en-AU"/>
        </w:rPr>
        <w:t>Indeed</w:t>
      </w:r>
      <w:r w:rsidR="00EA37E1">
        <w:rPr>
          <w:rFonts w:eastAsia="Times New Roman" w:cs="Times New Roman"/>
          <w:lang w:eastAsia="en-AU"/>
        </w:rPr>
        <w:t xml:space="preserve">, the </w:t>
      </w:r>
      <w:r w:rsidR="002826BC">
        <w:rPr>
          <w:rFonts w:eastAsia="Times New Roman" w:cs="Times New Roman"/>
          <w:lang w:eastAsia="en-AU"/>
        </w:rPr>
        <w:t xml:space="preserve">divergence offered </w:t>
      </w:r>
      <w:r w:rsidR="00857AE2">
        <w:rPr>
          <w:rFonts w:eastAsia="Times New Roman" w:cs="Times New Roman"/>
          <w:lang w:eastAsia="en-AU"/>
        </w:rPr>
        <w:t xml:space="preserve">a compelling </w:t>
      </w:r>
      <w:r w:rsidR="00EA37E1">
        <w:rPr>
          <w:rFonts w:eastAsia="Times New Roman" w:cs="Times New Roman"/>
          <w:lang w:eastAsia="en-AU"/>
        </w:rPr>
        <w:t xml:space="preserve">reason </w:t>
      </w:r>
      <w:r w:rsidR="002826BC">
        <w:rPr>
          <w:rFonts w:eastAsia="Times New Roman" w:cs="Times New Roman"/>
          <w:lang w:eastAsia="en-AU"/>
        </w:rPr>
        <w:t xml:space="preserve">for </w:t>
      </w:r>
      <w:r w:rsidR="00DD54A1">
        <w:rPr>
          <w:rFonts w:eastAsia="Times New Roman" w:cs="Times New Roman"/>
          <w:lang w:eastAsia="en-AU"/>
        </w:rPr>
        <w:t xml:space="preserve">privatisation of Botany </w:t>
      </w:r>
      <w:r w:rsidR="000A6DA8">
        <w:rPr>
          <w:rFonts w:eastAsia="Times New Roman" w:cs="Times New Roman"/>
          <w:lang w:eastAsia="en-AU"/>
        </w:rPr>
        <w:t xml:space="preserve">– </w:t>
      </w:r>
      <w:r w:rsidR="00857AE2">
        <w:rPr>
          <w:rFonts w:eastAsia="Times New Roman" w:cs="Times New Roman"/>
          <w:lang w:eastAsia="en-AU"/>
        </w:rPr>
        <w:t xml:space="preserve">ongoing </w:t>
      </w:r>
      <w:r w:rsidR="000A6DA8">
        <w:rPr>
          <w:rFonts w:eastAsia="Times New Roman" w:cs="Times New Roman"/>
          <w:lang w:eastAsia="en-AU"/>
        </w:rPr>
        <w:t xml:space="preserve">inability of NSW agencies to </w:t>
      </w:r>
      <w:r w:rsidR="00EA37E1">
        <w:rPr>
          <w:rFonts w:eastAsia="Times New Roman" w:cs="Times New Roman"/>
          <w:lang w:eastAsia="en-AU"/>
        </w:rPr>
        <w:t xml:space="preserve">develop a rational </w:t>
      </w:r>
      <w:r w:rsidR="000A6DA8">
        <w:rPr>
          <w:rFonts w:eastAsia="Times New Roman" w:cs="Times New Roman"/>
          <w:lang w:eastAsia="en-AU"/>
        </w:rPr>
        <w:t xml:space="preserve">land </w:t>
      </w:r>
      <w:r w:rsidR="00E17EB9">
        <w:rPr>
          <w:rFonts w:eastAsia="Times New Roman" w:cs="Times New Roman"/>
          <w:lang w:eastAsia="en-AU"/>
        </w:rPr>
        <w:t>(</w:t>
      </w:r>
      <w:r w:rsidR="00C11760">
        <w:rPr>
          <w:rFonts w:eastAsia="Times New Roman" w:cs="Times New Roman"/>
          <w:lang w:eastAsia="en-AU"/>
        </w:rPr>
        <w:t>freight</w:t>
      </w:r>
      <w:r w:rsidR="00E17EB9">
        <w:rPr>
          <w:rFonts w:eastAsia="Times New Roman" w:cs="Times New Roman"/>
          <w:lang w:eastAsia="en-AU"/>
        </w:rPr>
        <w:t>)</w:t>
      </w:r>
      <w:r w:rsidR="00C11760">
        <w:rPr>
          <w:rFonts w:eastAsia="Times New Roman" w:cs="Times New Roman"/>
          <w:lang w:eastAsia="en-AU"/>
        </w:rPr>
        <w:t xml:space="preserve"> </w:t>
      </w:r>
      <w:r w:rsidR="000A6DA8">
        <w:rPr>
          <w:rFonts w:eastAsia="Times New Roman" w:cs="Times New Roman"/>
          <w:lang w:eastAsia="en-AU"/>
        </w:rPr>
        <w:t xml:space="preserve">transport </w:t>
      </w:r>
      <w:r w:rsidR="00EA37E1">
        <w:rPr>
          <w:rFonts w:eastAsia="Times New Roman" w:cs="Times New Roman"/>
          <w:lang w:eastAsia="en-AU"/>
        </w:rPr>
        <w:t xml:space="preserve">plan </w:t>
      </w:r>
      <w:r w:rsidR="000A6DA8">
        <w:rPr>
          <w:rFonts w:eastAsia="Times New Roman" w:cs="Times New Roman"/>
          <w:lang w:eastAsia="en-AU"/>
        </w:rPr>
        <w:t>among themselves</w:t>
      </w:r>
      <w:r w:rsidR="007C2076">
        <w:rPr>
          <w:rFonts w:eastAsia="Times New Roman" w:cs="Times New Roman"/>
          <w:lang w:eastAsia="en-AU"/>
        </w:rPr>
        <w:t xml:space="preserve">. </w:t>
      </w:r>
    </w:p>
    <w:p w14:paraId="182611E9" w14:textId="14E06502" w:rsidR="00CC6E43" w:rsidRDefault="00CC6E43" w:rsidP="00B268B7">
      <w:pPr>
        <w:spacing w:after="0"/>
        <w:rPr>
          <w:rFonts w:eastAsia="Times New Roman" w:cs="Times New Roman"/>
          <w:lang w:eastAsia="en-AU"/>
        </w:rPr>
      </w:pPr>
    </w:p>
    <w:p w14:paraId="40B339A5" w14:textId="23B84C70" w:rsidR="000A6DA8" w:rsidRDefault="00B1556F" w:rsidP="00B268B7">
      <w:pPr>
        <w:pStyle w:val="Heading4"/>
        <w:spacing w:before="0"/>
        <w:rPr>
          <w:rFonts w:eastAsia="Times New Roman"/>
          <w:lang w:eastAsia="en-AU"/>
        </w:rPr>
      </w:pPr>
      <w:r>
        <w:rPr>
          <w:rFonts w:eastAsia="Times New Roman"/>
          <w:lang w:eastAsia="en-AU"/>
        </w:rPr>
        <w:t>4.</w:t>
      </w:r>
      <w:r w:rsidR="00613F48">
        <w:rPr>
          <w:rFonts w:eastAsia="Times New Roman"/>
          <w:lang w:eastAsia="en-AU"/>
        </w:rPr>
        <w:t>2</w:t>
      </w:r>
      <w:r>
        <w:rPr>
          <w:rFonts w:eastAsia="Times New Roman"/>
          <w:lang w:eastAsia="en-AU"/>
        </w:rPr>
        <w:t>.</w:t>
      </w:r>
      <w:r w:rsidR="009C3876">
        <w:rPr>
          <w:rFonts w:eastAsia="Times New Roman"/>
          <w:lang w:eastAsia="en-AU"/>
        </w:rPr>
        <w:t>4</w:t>
      </w:r>
      <w:r>
        <w:rPr>
          <w:rFonts w:eastAsia="Times New Roman"/>
          <w:lang w:eastAsia="en-AU"/>
        </w:rPr>
        <w:tab/>
      </w:r>
      <w:r w:rsidR="000A6DA8">
        <w:rPr>
          <w:rFonts w:eastAsia="Times New Roman"/>
          <w:lang w:eastAsia="en-AU"/>
        </w:rPr>
        <w:t>Rail share</w:t>
      </w:r>
    </w:p>
    <w:p w14:paraId="4EDD1080" w14:textId="6FA75316" w:rsidR="000A6DA8" w:rsidRDefault="00857AE2" w:rsidP="00B268B7">
      <w:pPr>
        <w:spacing w:after="0"/>
        <w:rPr>
          <w:rFonts w:eastAsia="Times New Roman" w:cs="Times New Roman"/>
          <w:lang w:eastAsia="en-AU"/>
        </w:rPr>
      </w:pPr>
      <w:r>
        <w:rPr>
          <w:rFonts w:eastAsia="Times New Roman" w:cs="Times New Roman"/>
          <w:lang w:eastAsia="en-AU"/>
        </w:rPr>
        <w:t xml:space="preserve">The Court </w:t>
      </w:r>
      <w:r w:rsidR="00205FA8">
        <w:rPr>
          <w:rFonts w:eastAsia="Times New Roman" w:cs="Times New Roman"/>
          <w:lang w:eastAsia="en-AU"/>
        </w:rPr>
        <w:t>noted a terminal operating at Newcastle would reduce the number of containers railed to Botany</w:t>
      </w:r>
      <w:r w:rsidR="000A6DA8">
        <w:rPr>
          <w:rFonts w:eastAsia="Times New Roman" w:cs="Times New Roman"/>
          <w:lang w:eastAsia="en-AU"/>
        </w:rPr>
        <w:t xml:space="preserve">.  </w:t>
      </w:r>
      <w:r>
        <w:rPr>
          <w:rFonts w:eastAsia="Times New Roman" w:cs="Times New Roman"/>
          <w:lang w:eastAsia="en-AU"/>
        </w:rPr>
        <w:t xml:space="preserve">It </w:t>
      </w:r>
      <w:r w:rsidR="00085150">
        <w:rPr>
          <w:rFonts w:eastAsia="Times New Roman" w:cs="Times New Roman"/>
          <w:lang w:eastAsia="en-AU"/>
        </w:rPr>
        <w:t xml:space="preserve">noted a </w:t>
      </w:r>
      <w:r>
        <w:rPr>
          <w:rFonts w:eastAsia="Times New Roman" w:cs="Times New Roman"/>
          <w:lang w:eastAsia="en-AU"/>
        </w:rPr>
        <w:t>claim</w:t>
      </w:r>
      <w:r w:rsidR="000A6DA8">
        <w:rPr>
          <w:rFonts w:eastAsia="Times New Roman" w:cs="Times New Roman"/>
          <w:lang w:eastAsia="en-AU"/>
        </w:rPr>
        <w:t xml:space="preserve"> that would reduce</w:t>
      </w:r>
      <w:r w:rsidR="00205FA8">
        <w:rPr>
          <w:rFonts w:eastAsia="Times New Roman" w:cs="Times New Roman"/>
          <w:lang w:eastAsia="en-AU"/>
        </w:rPr>
        <w:t xml:space="preserve"> the percentage of Botany railed containers below the State’s target – </w:t>
      </w:r>
      <w:r w:rsidR="00E17EB9">
        <w:rPr>
          <w:rFonts w:eastAsia="Times New Roman" w:cs="Times New Roman"/>
          <w:lang w:eastAsia="en-AU"/>
        </w:rPr>
        <w:t xml:space="preserve">and </w:t>
      </w:r>
      <w:r w:rsidR="00205FA8">
        <w:rPr>
          <w:rFonts w:eastAsia="Times New Roman" w:cs="Times New Roman"/>
          <w:lang w:eastAsia="en-AU"/>
        </w:rPr>
        <w:t>in that respect it is contrary to NSW policy.</w:t>
      </w:r>
    </w:p>
    <w:p w14:paraId="49F794A0" w14:textId="77777777" w:rsidR="000A6DA8" w:rsidRDefault="000A6DA8" w:rsidP="00B268B7">
      <w:pPr>
        <w:spacing w:after="0"/>
        <w:rPr>
          <w:rFonts w:eastAsia="Times New Roman" w:cs="Times New Roman"/>
          <w:lang w:eastAsia="en-AU"/>
        </w:rPr>
      </w:pPr>
    </w:p>
    <w:p w14:paraId="49FCC7A6" w14:textId="6FF7E6F3" w:rsidR="00205FA8" w:rsidRDefault="00857AE2" w:rsidP="00B268B7">
      <w:pPr>
        <w:spacing w:after="0"/>
        <w:rPr>
          <w:rFonts w:eastAsia="Times New Roman" w:cs="Times New Roman"/>
          <w:lang w:eastAsia="en-AU"/>
        </w:rPr>
      </w:pPr>
      <w:r>
        <w:rPr>
          <w:rFonts w:eastAsia="Times New Roman" w:cs="Times New Roman"/>
          <w:lang w:eastAsia="en-AU"/>
        </w:rPr>
        <w:t xml:space="preserve">Such a claim is not necessarily </w:t>
      </w:r>
      <w:r w:rsidR="004E7224">
        <w:rPr>
          <w:rFonts w:eastAsia="Times New Roman" w:cs="Times New Roman"/>
          <w:lang w:eastAsia="en-AU"/>
        </w:rPr>
        <w:t xml:space="preserve">(arithmetically) </w:t>
      </w:r>
      <w:r>
        <w:rPr>
          <w:rFonts w:eastAsia="Times New Roman" w:cs="Times New Roman"/>
          <w:lang w:eastAsia="en-AU"/>
        </w:rPr>
        <w:t xml:space="preserve">true and misunderstands the purpose of </w:t>
      </w:r>
      <w:r w:rsidR="004E7224">
        <w:rPr>
          <w:rFonts w:eastAsia="Times New Roman" w:cs="Times New Roman"/>
          <w:lang w:eastAsia="en-AU"/>
        </w:rPr>
        <w:t>the target</w:t>
      </w:r>
      <w:r>
        <w:rPr>
          <w:rFonts w:eastAsia="Times New Roman" w:cs="Times New Roman"/>
          <w:lang w:eastAsia="en-AU"/>
        </w:rPr>
        <w:t>.  T</w:t>
      </w:r>
      <w:r w:rsidR="00205FA8">
        <w:rPr>
          <w:rFonts w:eastAsia="Times New Roman" w:cs="Times New Roman"/>
          <w:lang w:eastAsia="en-AU"/>
        </w:rPr>
        <w:t>he purpose of the rail</w:t>
      </w:r>
      <w:r w:rsidR="00D0693D">
        <w:rPr>
          <w:rFonts w:eastAsia="Times New Roman" w:cs="Times New Roman"/>
          <w:lang w:eastAsia="en-AU"/>
        </w:rPr>
        <w:t xml:space="preserve"> </w:t>
      </w:r>
      <w:r w:rsidR="00205FA8">
        <w:rPr>
          <w:rFonts w:eastAsia="Times New Roman" w:cs="Times New Roman"/>
          <w:lang w:eastAsia="en-AU"/>
        </w:rPr>
        <w:t xml:space="preserve">target is to reduce </w:t>
      </w:r>
      <w:r w:rsidR="00D0693D">
        <w:rPr>
          <w:rFonts w:eastAsia="Times New Roman" w:cs="Times New Roman"/>
          <w:lang w:eastAsia="en-AU"/>
        </w:rPr>
        <w:t xml:space="preserve">the number of </w:t>
      </w:r>
      <w:r w:rsidR="00205FA8">
        <w:rPr>
          <w:rFonts w:eastAsia="Times New Roman" w:cs="Times New Roman"/>
          <w:lang w:eastAsia="en-AU"/>
        </w:rPr>
        <w:t>trucks on roads approaching Botany.</w:t>
      </w:r>
    </w:p>
    <w:p w14:paraId="6988125F" w14:textId="2435BD5A" w:rsidR="000A6DA8" w:rsidRDefault="000A6DA8" w:rsidP="00B268B7">
      <w:pPr>
        <w:spacing w:after="0"/>
        <w:rPr>
          <w:rFonts w:eastAsia="Times New Roman" w:cs="Times New Roman"/>
          <w:lang w:eastAsia="en-AU"/>
        </w:rPr>
      </w:pPr>
    </w:p>
    <w:p w14:paraId="7688499B" w14:textId="34702852" w:rsidR="00085150" w:rsidRDefault="000A6DA8" w:rsidP="00B268B7">
      <w:pPr>
        <w:spacing w:after="0"/>
        <w:rPr>
          <w:rFonts w:eastAsia="Times New Roman" w:cs="Times New Roman"/>
          <w:lang w:eastAsia="en-AU"/>
        </w:rPr>
      </w:pPr>
      <w:r>
        <w:rPr>
          <w:rFonts w:eastAsia="Times New Roman" w:cs="Times New Roman"/>
          <w:lang w:eastAsia="en-AU"/>
        </w:rPr>
        <w:t>At present, the % of containers railed to Botany is well below the target.  It is questionable whether the target has ever been achieved.</w:t>
      </w:r>
      <w:r w:rsidR="00C0165A">
        <w:rPr>
          <w:rFonts w:eastAsia="Times New Roman" w:cs="Times New Roman"/>
          <w:lang w:eastAsia="en-AU"/>
        </w:rPr>
        <w:t xml:space="preserve">  O</w:t>
      </w:r>
      <w:r>
        <w:rPr>
          <w:rFonts w:eastAsia="Times New Roman" w:cs="Times New Roman"/>
          <w:lang w:eastAsia="en-AU"/>
        </w:rPr>
        <w:t>ver time, the target has reduced</w:t>
      </w:r>
      <w:r w:rsidR="004F18E1">
        <w:rPr>
          <w:rFonts w:eastAsia="Times New Roman" w:cs="Times New Roman"/>
          <w:lang w:eastAsia="en-AU"/>
        </w:rPr>
        <w:t xml:space="preserve"> – it is now 28%</w:t>
      </w:r>
      <w:r>
        <w:rPr>
          <w:rFonts w:eastAsia="Times New Roman" w:cs="Times New Roman"/>
          <w:lang w:eastAsia="en-AU"/>
        </w:rPr>
        <w:t xml:space="preserve">.  In the early 2000’s </w:t>
      </w:r>
      <w:r w:rsidR="003B012C">
        <w:rPr>
          <w:rFonts w:eastAsia="Times New Roman" w:cs="Times New Roman"/>
          <w:lang w:eastAsia="en-AU"/>
        </w:rPr>
        <w:t>a</w:t>
      </w:r>
      <w:r>
        <w:rPr>
          <w:rFonts w:eastAsia="Times New Roman" w:cs="Times New Roman"/>
          <w:lang w:eastAsia="en-AU"/>
        </w:rPr>
        <w:t xml:space="preserve"> 40%</w:t>
      </w:r>
      <w:r w:rsidR="003B012C">
        <w:rPr>
          <w:rFonts w:eastAsia="Times New Roman" w:cs="Times New Roman"/>
          <w:lang w:eastAsia="en-AU"/>
        </w:rPr>
        <w:t xml:space="preserve"> ‘target’ or ambition was </w:t>
      </w:r>
      <w:r w:rsidR="00857AE2">
        <w:rPr>
          <w:rFonts w:eastAsia="Times New Roman" w:cs="Times New Roman"/>
          <w:lang w:eastAsia="en-AU"/>
        </w:rPr>
        <w:t>publicly announced</w:t>
      </w:r>
      <w:r w:rsidR="003B012C">
        <w:rPr>
          <w:rFonts w:eastAsia="Times New Roman" w:cs="Times New Roman"/>
          <w:lang w:eastAsia="en-AU"/>
        </w:rPr>
        <w:t xml:space="preserve"> </w:t>
      </w:r>
      <w:r w:rsidR="00857AE2">
        <w:rPr>
          <w:rFonts w:eastAsia="Times New Roman" w:cs="Times New Roman"/>
          <w:lang w:eastAsia="en-AU"/>
        </w:rPr>
        <w:t xml:space="preserve">as part of </w:t>
      </w:r>
      <w:r w:rsidR="003B012C">
        <w:rPr>
          <w:rFonts w:eastAsia="Times New Roman" w:cs="Times New Roman"/>
          <w:lang w:eastAsia="en-AU"/>
        </w:rPr>
        <w:t>community consultation for the port’s expansion</w:t>
      </w:r>
      <w:r w:rsidR="00857AE2">
        <w:rPr>
          <w:rFonts w:eastAsia="Times New Roman" w:cs="Times New Roman"/>
          <w:lang w:eastAsia="en-AU"/>
        </w:rPr>
        <w:t xml:space="preserve"> and construction of a third terminal</w:t>
      </w:r>
      <w:r>
        <w:rPr>
          <w:rFonts w:eastAsia="Times New Roman" w:cs="Times New Roman"/>
          <w:lang w:eastAsia="en-AU"/>
        </w:rPr>
        <w:t>.</w:t>
      </w:r>
      <w:r w:rsidR="00857AE2">
        <w:rPr>
          <w:rFonts w:eastAsia="Times New Roman" w:cs="Times New Roman"/>
          <w:lang w:eastAsia="en-AU"/>
        </w:rPr>
        <w:t xml:space="preserve">  That indicates concerns about port capacity being effectively limited by road constraints.</w:t>
      </w:r>
      <w:r w:rsidR="004E7224">
        <w:rPr>
          <w:rStyle w:val="FootnoteReference"/>
          <w:rFonts w:eastAsia="Times New Roman" w:cs="Times New Roman"/>
          <w:lang w:eastAsia="en-AU"/>
        </w:rPr>
        <w:footnoteReference w:id="22"/>
      </w:r>
    </w:p>
    <w:p w14:paraId="42F3D506" w14:textId="012B55D4" w:rsidR="00205FA8" w:rsidRDefault="00857AE2" w:rsidP="00B268B7">
      <w:pPr>
        <w:spacing w:after="0"/>
        <w:rPr>
          <w:rFonts w:eastAsia="Times New Roman" w:cs="Times New Roman"/>
          <w:lang w:eastAsia="en-AU"/>
        </w:rPr>
      </w:pPr>
      <w:r>
        <w:rPr>
          <w:rFonts w:eastAsia="Times New Roman" w:cs="Times New Roman"/>
          <w:lang w:eastAsia="en-AU"/>
        </w:rPr>
        <w:t xml:space="preserve"> </w:t>
      </w:r>
    </w:p>
    <w:p w14:paraId="45B7E113" w14:textId="08F839AA" w:rsidR="000A6DA8" w:rsidRDefault="00B1556F" w:rsidP="00613F48">
      <w:pPr>
        <w:pStyle w:val="Heading3"/>
        <w:rPr>
          <w:rFonts w:eastAsia="Times New Roman"/>
          <w:lang w:eastAsia="en-AU"/>
        </w:rPr>
      </w:pPr>
      <w:bookmarkStart w:id="14" w:name="_Toc79490160"/>
      <w:r>
        <w:rPr>
          <w:rFonts w:eastAsia="Times New Roman"/>
          <w:lang w:eastAsia="en-AU"/>
        </w:rPr>
        <w:t>4.</w:t>
      </w:r>
      <w:r w:rsidR="009C3876">
        <w:rPr>
          <w:rFonts w:eastAsia="Times New Roman"/>
          <w:lang w:eastAsia="en-AU"/>
        </w:rPr>
        <w:t>3</w:t>
      </w:r>
      <w:r>
        <w:rPr>
          <w:rFonts w:eastAsia="Times New Roman"/>
          <w:lang w:eastAsia="en-AU"/>
        </w:rPr>
        <w:tab/>
      </w:r>
      <w:r w:rsidR="000A6DA8">
        <w:rPr>
          <w:rFonts w:eastAsia="Times New Roman"/>
          <w:lang w:eastAsia="en-AU"/>
        </w:rPr>
        <w:t>Traffic</w:t>
      </w:r>
      <w:r w:rsidR="003B012C">
        <w:rPr>
          <w:rFonts w:eastAsia="Times New Roman"/>
          <w:lang w:eastAsia="en-AU"/>
        </w:rPr>
        <w:t xml:space="preserve"> congestion</w:t>
      </w:r>
      <w:bookmarkEnd w:id="14"/>
    </w:p>
    <w:p w14:paraId="35C8D74C" w14:textId="0A314C38" w:rsidR="00613F48" w:rsidRPr="00613F48" w:rsidRDefault="00613F48" w:rsidP="00613F48">
      <w:pPr>
        <w:pStyle w:val="Heading4"/>
        <w:rPr>
          <w:lang w:eastAsia="en-AU"/>
        </w:rPr>
      </w:pPr>
      <w:r>
        <w:rPr>
          <w:lang w:eastAsia="en-AU"/>
        </w:rPr>
        <w:t>4.3.1</w:t>
      </w:r>
      <w:r>
        <w:rPr>
          <w:lang w:eastAsia="en-AU"/>
        </w:rPr>
        <w:tab/>
      </w:r>
      <w:r w:rsidR="00CA2F2F">
        <w:rPr>
          <w:lang w:eastAsia="en-AU"/>
        </w:rPr>
        <w:t xml:space="preserve">The trucks are </w:t>
      </w:r>
      <w:r w:rsidR="00C0165A">
        <w:rPr>
          <w:lang w:eastAsia="en-AU"/>
        </w:rPr>
        <w:t xml:space="preserve">just </w:t>
      </w:r>
      <w:r>
        <w:rPr>
          <w:lang w:eastAsia="en-AU"/>
        </w:rPr>
        <w:t xml:space="preserve">2% </w:t>
      </w:r>
      <w:r w:rsidR="00CA2F2F">
        <w:rPr>
          <w:lang w:eastAsia="en-AU"/>
        </w:rPr>
        <w:t xml:space="preserve">of traffic </w:t>
      </w:r>
      <w:r>
        <w:rPr>
          <w:lang w:eastAsia="en-AU"/>
        </w:rPr>
        <w:t>argument</w:t>
      </w:r>
    </w:p>
    <w:p w14:paraId="173BFC6E" w14:textId="5D7F4B7F" w:rsidR="000A6DA8" w:rsidRDefault="00857AE2" w:rsidP="00B268B7">
      <w:pPr>
        <w:spacing w:after="0"/>
        <w:rPr>
          <w:rFonts w:eastAsia="Times New Roman" w:cs="Times New Roman"/>
          <w:lang w:eastAsia="en-AU"/>
        </w:rPr>
      </w:pPr>
      <w:r>
        <w:rPr>
          <w:rFonts w:eastAsia="Times New Roman" w:cs="Times New Roman"/>
          <w:lang w:eastAsia="en-AU"/>
        </w:rPr>
        <w:t>The Court repeated assertions</w:t>
      </w:r>
      <w:r w:rsidR="00FD5611">
        <w:rPr>
          <w:rFonts w:eastAsia="Times New Roman" w:cs="Times New Roman"/>
          <w:lang w:eastAsia="en-AU"/>
        </w:rPr>
        <w:t>:</w:t>
      </w:r>
      <w:r w:rsidR="00E05D71" w:rsidRPr="002C734F">
        <w:rPr>
          <w:rFonts w:eastAsia="Times New Roman" w:cs="Times New Roman"/>
          <w:lang w:eastAsia="en-AU"/>
        </w:rPr>
        <w:t xml:space="preserve"> </w:t>
      </w:r>
      <w:r>
        <w:rPr>
          <w:rFonts w:eastAsia="Times New Roman" w:cs="Times New Roman"/>
          <w:lang w:eastAsia="en-AU"/>
        </w:rPr>
        <w:t>trucks</w:t>
      </w:r>
      <w:r w:rsidR="00FD5611">
        <w:rPr>
          <w:rFonts w:eastAsia="Times New Roman" w:cs="Times New Roman"/>
          <w:lang w:eastAsia="en-AU"/>
        </w:rPr>
        <w:t xml:space="preserve"> movements to/from the port do not cause traffic congestion; </w:t>
      </w:r>
      <w:r w:rsidR="00E05D71" w:rsidRPr="002C734F">
        <w:rPr>
          <w:rFonts w:eastAsia="Times New Roman" w:cs="Times New Roman"/>
          <w:lang w:eastAsia="en-AU"/>
        </w:rPr>
        <w:t xml:space="preserve">only 2% of M5 </w:t>
      </w:r>
      <w:r w:rsidR="006175E0">
        <w:rPr>
          <w:rFonts w:eastAsia="Times New Roman" w:cs="Times New Roman"/>
          <w:lang w:eastAsia="en-AU"/>
        </w:rPr>
        <w:t>E</w:t>
      </w:r>
      <w:r w:rsidR="00E05D71" w:rsidRPr="002C734F">
        <w:rPr>
          <w:rFonts w:eastAsia="Times New Roman" w:cs="Times New Roman"/>
          <w:lang w:eastAsia="en-AU"/>
        </w:rPr>
        <w:t xml:space="preserve">ast </w:t>
      </w:r>
      <w:r w:rsidR="006175E0">
        <w:rPr>
          <w:rFonts w:eastAsia="Times New Roman" w:cs="Times New Roman"/>
          <w:lang w:eastAsia="en-AU"/>
        </w:rPr>
        <w:t xml:space="preserve">traffic is </w:t>
      </w:r>
      <w:r w:rsidR="00E05D71" w:rsidRPr="002C734F">
        <w:rPr>
          <w:rFonts w:eastAsia="Times New Roman" w:cs="Times New Roman"/>
          <w:lang w:eastAsia="en-AU"/>
        </w:rPr>
        <w:t>related to Botany.  Th</w:t>
      </w:r>
      <w:r w:rsidR="00FD5611">
        <w:rPr>
          <w:rFonts w:eastAsia="Times New Roman" w:cs="Times New Roman"/>
          <w:lang w:eastAsia="en-AU"/>
        </w:rPr>
        <w:t>ose</w:t>
      </w:r>
      <w:r w:rsidR="00E05D71" w:rsidRPr="002C734F">
        <w:rPr>
          <w:rFonts w:eastAsia="Times New Roman" w:cs="Times New Roman"/>
          <w:lang w:eastAsia="en-AU"/>
        </w:rPr>
        <w:t xml:space="preserve"> </w:t>
      </w:r>
      <w:r>
        <w:rPr>
          <w:rFonts w:eastAsia="Times New Roman" w:cs="Times New Roman"/>
          <w:lang w:eastAsia="en-AU"/>
        </w:rPr>
        <w:t>assertion</w:t>
      </w:r>
      <w:r w:rsidR="00FD5611">
        <w:rPr>
          <w:rFonts w:eastAsia="Times New Roman" w:cs="Times New Roman"/>
          <w:lang w:eastAsia="en-AU"/>
        </w:rPr>
        <w:t>s</w:t>
      </w:r>
      <w:r>
        <w:rPr>
          <w:rFonts w:eastAsia="Times New Roman" w:cs="Times New Roman"/>
          <w:lang w:eastAsia="en-AU"/>
        </w:rPr>
        <w:t xml:space="preserve"> misrepresent</w:t>
      </w:r>
      <w:r w:rsidR="00FD5611">
        <w:rPr>
          <w:rFonts w:eastAsia="Times New Roman" w:cs="Times New Roman"/>
          <w:lang w:eastAsia="en-AU"/>
        </w:rPr>
        <w:t xml:space="preserve"> tra</w:t>
      </w:r>
      <w:r w:rsidR="000A6DA8">
        <w:rPr>
          <w:rFonts w:eastAsia="Times New Roman" w:cs="Times New Roman"/>
          <w:lang w:eastAsia="en-AU"/>
        </w:rPr>
        <w:t>nsport issues</w:t>
      </w:r>
      <w:r>
        <w:rPr>
          <w:rFonts w:eastAsia="Times New Roman" w:cs="Times New Roman"/>
          <w:lang w:eastAsia="en-AU"/>
        </w:rPr>
        <w:t>.</w:t>
      </w:r>
    </w:p>
    <w:p w14:paraId="5796C9AC" w14:textId="17E3C243" w:rsidR="000A6DA8" w:rsidRDefault="000A6DA8" w:rsidP="00B268B7">
      <w:pPr>
        <w:spacing w:after="0"/>
        <w:rPr>
          <w:rFonts w:eastAsia="Times New Roman" w:cs="Times New Roman"/>
          <w:lang w:eastAsia="en-AU"/>
        </w:rPr>
      </w:pPr>
    </w:p>
    <w:p w14:paraId="67206763" w14:textId="65978677" w:rsidR="008F38E8" w:rsidRDefault="00CA2F2F" w:rsidP="00B268B7">
      <w:pPr>
        <w:spacing w:after="0"/>
        <w:rPr>
          <w:rFonts w:eastAsia="Times New Roman" w:cs="Times New Roman"/>
          <w:lang w:eastAsia="en-AU"/>
        </w:rPr>
      </w:pPr>
      <w:r>
        <w:rPr>
          <w:rFonts w:eastAsia="Times New Roman" w:cs="Times New Roman"/>
          <w:lang w:eastAsia="en-AU"/>
        </w:rPr>
        <w:t>Claims of</w:t>
      </w:r>
      <w:r w:rsidR="00613F48">
        <w:rPr>
          <w:rFonts w:eastAsia="Times New Roman" w:cs="Times New Roman"/>
          <w:lang w:eastAsia="en-AU"/>
        </w:rPr>
        <w:t xml:space="preserve"> truck</w:t>
      </w:r>
      <w:r>
        <w:rPr>
          <w:rFonts w:eastAsia="Times New Roman" w:cs="Times New Roman"/>
          <w:lang w:eastAsia="en-AU"/>
        </w:rPr>
        <w:t>s</w:t>
      </w:r>
      <w:r w:rsidR="00613F48">
        <w:rPr>
          <w:rFonts w:eastAsia="Times New Roman" w:cs="Times New Roman"/>
          <w:lang w:eastAsia="en-AU"/>
        </w:rPr>
        <w:t xml:space="preserve"> </w:t>
      </w:r>
      <w:r w:rsidR="008F38E8">
        <w:rPr>
          <w:rFonts w:eastAsia="Times New Roman" w:cs="Times New Roman"/>
          <w:lang w:eastAsia="en-AU"/>
        </w:rPr>
        <w:t xml:space="preserve">adding to congestion and reducing amenity </w:t>
      </w:r>
      <w:r>
        <w:rPr>
          <w:rFonts w:eastAsia="Times New Roman" w:cs="Times New Roman"/>
          <w:lang w:eastAsia="en-AU"/>
        </w:rPr>
        <w:t>often</w:t>
      </w:r>
      <w:r w:rsidR="00613F48">
        <w:rPr>
          <w:rFonts w:eastAsia="Times New Roman" w:cs="Times New Roman"/>
          <w:lang w:eastAsia="en-AU"/>
        </w:rPr>
        <w:t xml:space="preserve"> arise from concerns of communities</w:t>
      </w:r>
      <w:r w:rsidR="002577F9">
        <w:rPr>
          <w:rFonts w:eastAsia="Times New Roman" w:cs="Times New Roman"/>
          <w:lang w:eastAsia="en-AU"/>
        </w:rPr>
        <w:t xml:space="preserve"> near affected r</w:t>
      </w:r>
      <w:r>
        <w:rPr>
          <w:rFonts w:eastAsia="Times New Roman" w:cs="Times New Roman"/>
          <w:lang w:eastAsia="en-AU"/>
        </w:rPr>
        <w:t>o</w:t>
      </w:r>
      <w:r w:rsidR="002577F9">
        <w:rPr>
          <w:rFonts w:eastAsia="Times New Roman" w:cs="Times New Roman"/>
          <w:lang w:eastAsia="en-AU"/>
        </w:rPr>
        <w:t>ad</w:t>
      </w:r>
      <w:r>
        <w:rPr>
          <w:rFonts w:eastAsia="Times New Roman" w:cs="Times New Roman"/>
          <w:lang w:eastAsia="en-AU"/>
        </w:rPr>
        <w:t>s</w:t>
      </w:r>
      <w:r w:rsidR="00613F48">
        <w:rPr>
          <w:rFonts w:eastAsia="Times New Roman" w:cs="Times New Roman"/>
          <w:lang w:eastAsia="en-AU"/>
        </w:rPr>
        <w:t xml:space="preserve">.  </w:t>
      </w:r>
      <w:r>
        <w:rPr>
          <w:rFonts w:eastAsia="Times New Roman" w:cs="Times New Roman"/>
          <w:lang w:eastAsia="en-AU"/>
        </w:rPr>
        <w:t>The claims are not limited to Port Botany – similar claims are made in relation to Port Melbourne.</w:t>
      </w:r>
      <w:r>
        <w:rPr>
          <w:rStyle w:val="FootnoteReference"/>
          <w:rFonts w:eastAsia="Times New Roman" w:cs="Times New Roman"/>
          <w:lang w:eastAsia="en-AU"/>
        </w:rPr>
        <w:footnoteReference w:id="23"/>
      </w:r>
    </w:p>
    <w:p w14:paraId="4F2E714F" w14:textId="77777777" w:rsidR="008F38E8" w:rsidRDefault="008F38E8" w:rsidP="00B268B7">
      <w:pPr>
        <w:spacing w:after="0"/>
        <w:rPr>
          <w:rFonts w:eastAsia="Times New Roman" w:cs="Times New Roman"/>
          <w:lang w:eastAsia="en-AU"/>
        </w:rPr>
      </w:pPr>
    </w:p>
    <w:p w14:paraId="4E0220B5" w14:textId="7A53DFA4" w:rsidR="00FA4C3C" w:rsidRDefault="00CA2F2F" w:rsidP="00B268B7">
      <w:pPr>
        <w:spacing w:after="0"/>
        <w:rPr>
          <w:rFonts w:eastAsia="Times New Roman" w:cs="Times New Roman"/>
          <w:lang w:eastAsia="en-AU"/>
        </w:rPr>
      </w:pPr>
      <w:r>
        <w:rPr>
          <w:rFonts w:eastAsia="Times New Roman" w:cs="Times New Roman"/>
          <w:lang w:eastAsia="en-AU"/>
        </w:rPr>
        <w:t xml:space="preserve">The claims – and counter-claims - can be politically charged.  For </w:t>
      </w:r>
      <w:r w:rsidR="00C0165A">
        <w:rPr>
          <w:rFonts w:eastAsia="Times New Roman" w:cs="Times New Roman"/>
          <w:lang w:eastAsia="en-AU"/>
        </w:rPr>
        <w:t xml:space="preserve">policy </w:t>
      </w:r>
      <w:r>
        <w:rPr>
          <w:rFonts w:eastAsia="Times New Roman" w:cs="Times New Roman"/>
          <w:lang w:eastAsia="en-AU"/>
        </w:rPr>
        <w:t>purpose</w:t>
      </w:r>
      <w:r w:rsidR="00C0165A">
        <w:rPr>
          <w:rFonts w:eastAsia="Times New Roman" w:cs="Times New Roman"/>
          <w:lang w:eastAsia="en-AU"/>
        </w:rPr>
        <w:t>s,</w:t>
      </w:r>
      <w:r>
        <w:rPr>
          <w:rFonts w:eastAsia="Times New Roman" w:cs="Times New Roman"/>
          <w:lang w:eastAsia="en-AU"/>
        </w:rPr>
        <w:t xml:space="preserve"> it is necessary </w:t>
      </w:r>
      <w:r w:rsidR="0094428C">
        <w:rPr>
          <w:rFonts w:eastAsia="Times New Roman" w:cs="Times New Roman"/>
          <w:lang w:eastAsia="en-AU"/>
        </w:rPr>
        <w:t>to carefully</w:t>
      </w:r>
      <w:r>
        <w:rPr>
          <w:rFonts w:eastAsia="Times New Roman" w:cs="Times New Roman"/>
          <w:lang w:eastAsia="en-AU"/>
        </w:rPr>
        <w:t xml:space="preserve"> assess</w:t>
      </w:r>
      <w:r w:rsidR="00C0165A">
        <w:rPr>
          <w:rFonts w:eastAsia="Times New Roman" w:cs="Times New Roman"/>
          <w:lang w:eastAsia="en-AU"/>
        </w:rPr>
        <w:t xml:space="preserve"> them</w:t>
      </w:r>
      <w:r>
        <w:rPr>
          <w:rFonts w:eastAsia="Times New Roman" w:cs="Times New Roman"/>
          <w:lang w:eastAsia="en-AU"/>
        </w:rPr>
        <w:t xml:space="preserve">.  </w:t>
      </w:r>
    </w:p>
    <w:p w14:paraId="518A9698" w14:textId="77777777" w:rsidR="004E32B3" w:rsidRDefault="004E32B3" w:rsidP="00B268B7">
      <w:pPr>
        <w:spacing w:after="0"/>
        <w:rPr>
          <w:rFonts w:eastAsia="Times New Roman" w:cs="Times New Roman"/>
          <w:lang w:eastAsia="en-AU"/>
        </w:rPr>
      </w:pPr>
    </w:p>
    <w:p w14:paraId="1AC407D9" w14:textId="7343451F" w:rsidR="00FD5611" w:rsidRDefault="00CA2F2F" w:rsidP="00B268B7">
      <w:pPr>
        <w:spacing w:after="0"/>
        <w:rPr>
          <w:rFonts w:eastAsia="Times New Roman" w:cs="Times New Roman"/>
          <w:lang w:eastAsia="en-AU"/>
        </w:rPr>
      </w:pPr>
      <w:r>
        <w:rPr>
          <w:rFonts w:eastAsia="Times New Roman" w:cs="Times New Roman"/>
          <w:lang w:eastAsia="en-AU"/>
        </w:rPr>
        <w:t>For Botany and the M5, t</w:t>
      </w:r>
      <w:r w:rsidR="00FD5611">
        <w:rPr>
          <w:rFonts w:eastAsia="Times New Roman" w:cs="Times New Roman"/>
          <w:lang w:eastAsia="en-AU"/>
        </w:rPr>
        <w:t xml:space="preserve">he </w:t>
      </w:r>
      <w:r w:rsidR="00D0693D">
        <w:rPr>
          <w:rFonts w:eastAsia="Times New Roman" w:cs="Times New Roman"/>
          <w:lang w:eastAsia="en-AU"/>
        </w:rPr>
        <w:t xml:space="preserve">2% figure is </w:t>
      </w:r>
      <w:r w:rsidR="004E32B3">
        <w:rPr>
          <w:rFonts w:eastAsia="Times New Roman" w:cs="Times New Roman"/>
          <w:lang w:eastAsia="en-AU"/>
        </w:rPr>
        <w:t>dubious</w:t>
      </w:r>
      <w:r>
        <w:rPr>
          <w:rFonts w:eastAsia="Times New Roman" w:cs="Times New Roman"/>
          <w:lang w:eastAsia="en-AU"/>
        </w:rPr>
        <w:t>.  The</w:t>
      </w:r>
      <w:r w:rsidR="004E7224">
        <w:rPr>
          <w:rFonts w:eastAsia="Times New Roman" w:cs="Times New Roman"/>
          <w:lang w:eastAsia="en-AU"/>
        </w:rPr>
        <w:t xml:space="preserve"> </w:t>
      </w:r>
      <w:r w:rsidR="00BC2A3F">
        <w:rPr>
          <w:rFonts w:eastAsia="Times New Roman" w:cs="Times New Roman"/>
          <w:lang w:eastAsia="en-AU"/>
        </w:rPr>
        <w:t>inference</w:t>
      </w:r>
      <w:r w:rsidR="00FD5611">
        <w:rPr>
          <w:rFonts w:eastAsia="Times New Roman" w:cs="Times New Roman"/>
          <w:lang w:eastAsia="en-AU"/>
        </w:rPr>
        <w:t xml:space="preserve"> of trucks not contributing to congestion </w:t>
      </w:r>
      <w:r>
        <w:rPr>
          <w:rFonts w:eastAsia="Times New Roman" w:cs="Times New Roman"/>
          <w:lang w:eastAsia="en-AU"/>
        </w:rPr>
        <w:t xml:space="preserve">on relevant roads is </w:t>
      </w:r>
      <w:r w:rsidR="00FD5611">
        <w:rPr>
          <w:rFonts w:eastAsia="Times New Roman" w:cs="Times New Roman"/>
          <w:lang w:eastAsia="en-AU"/>
        </w:rPr>
        <w:t>wrong.</w:t>
      </w:r>
    </w:p>
    <w:p w14:paraId="3911209C" w14:textId="611CE5D3" w:rsidR="00CA2F2F" w:rsidRDefault="00CA2F2F" w:rsidP="00B268B7">
      <w:pPr>
        <w:spacing w:after="0"/>
        <w:rPr>
          <w:rFonts w:eastAsia="Times New Roman" w:cs="Times New Roman"/>
          <w:lang w:eastAsia="en-AU"/>
        </w:rPr>
      </w:pPr>
    </w:p>
    <w:p w14:paraId="05144A39" w14:textId="51E55BA8" w:rsidR="00CA2F2F" w:rsidRDefault="00CA2F2F" w:rsidP="00CA2F2F">
      <w:pPr>
        <w:spacing w:after="0"/>
        <w:rPr>
          <w:rFonts w:eastAsia="Times New Roman" w:cs="Times New Roman"/>
          <w:lang w:eastAsia="en-AU"/>
        </w:rPr>
      </w:pPr>
      <w:r>
        <w:rPr>
          <w:rFonts w:eastAsia="Times New Roman" w:cs="Times New Roman"/>
          <w:lang w:eastAsia="en-AU"/>
        </w:rPr>
        <w:t xml:space="preserve">Congestion, and other adverse effects of road use, extend beyond the M5 and occur throughout the Botany area and neighbouring suburbs.  </w:t>
      </w:r>
    </w:p>
    <w:p w14:paraId="2CA9B1BC" w14:textId="77777777" w:rsidR="00CA2F2F" w:rsidRDefault="00CA2F2F" w:rsidP="00B268B7">
      <w:pPr>
        <w:spacing w:after="0"/>
        <w:rPr>
          <w:rFonts w:eastAsia="Times New Roman" w:cs="Times New Roman"/>
          <w:lang w:eastAsia="en-AU"/>
        </w:rPr>
      </w:pPr>
    </w:p>
    <w:p w14:paraId="073186D9" w14:textId="52C45B2B" w:rsidR="006175E0" w:rsidRDefault="00FD5611" w:rsidP="00B268B7">
      <w:pPr>
        <w:spacing w:after="0"/>
        <w:rPr>
          <w:rFonts w:eastAsia="Times New Roman" w:cs="Times New Roman"/>
          <w:lang w:eastAsia="en-AU"/>
        </w:rPr>
      </w:pPr>
      <w:r>
        <w:rPr>
          <w:rFonts w:eastAsia="Times New Roman" w:cs="Times New Roman"/>
          <w:lang w:eastAsia="en-AU"/>
        </w:rPr>
        <w:lastRenderedPageBreak/>
        <w:t>The provenance of the 2% figure</w:t>
      </w:r>
      <w:r w:rsidR="007C2076">
        <w:rPr>
          <w:rFonts w:eastAsia="Times New Roman" w:cs="Times New Roman"/>
          <w:lang w:eastAsia="en-AU"/>
        </w:rPr>
        <w:t>,</w:t>
      </w:r>
      <w:r w:rsidR="006175E0">
        <w:rPr>
          <w:rFonts w:eastAsia="Times New Roman" w:cs="Times New Roman"/>
          <w:lang w:eastAsia="en-AU"/>
        </w:rPr>
        <w:t xml:space="preserve"> not given in the judgement</w:t>
      </w:r>
      <w:r w:rsidR="007C2076">
        <w:rPr>
          <w:rFonts w:eastAsia="Times New Roman" w:cs="Times New Roman"/>
          <w:lang w:eastAsia="en-AU"/>
        </w:rPr>
        <w:t>,</w:t>
      </w:r>
      <w:r w:rsidR="006175E0">
        <w:rPr>
          <w:rFonts w:eastAsia="Times New Roman" w:cs="Times New Roman"/>
          <w:lang w:eastAsia="en-AU"/>
        </w:rPr>
        <w:t xml:space="preserve"> is not easily </w:t>
      </w:r>
      <w:r w:rsidR="0042138C">
        <w:rPr>
          <w:rFonts w:eastAsia="Times New Roman" w:cs="Times New Roman"/>
          <w:lang w:eastAsia="en-AU"/>
        </w:rPr>
        <w:t>discernible</w:t>
      </w:r>
      <w:r w:rsidR="006175E0">
        <w:rPr>
          <w:rFonts w:eastAsia="Times New Roman" w:cs="Times New Roman"/>
          <w:lang w:eastAsia="en-AU"/>
        </w:rPr>
        <w:t>.</w:t>
      </w:r>
    </w:p>
    <w:p w14:paraId="51EA6D44" w14:textId="296EB214" w:rsidR="00C0165A" w:rsidRDefault="00C0165A" w:rsidP="00B268B7">
      <w:pPr>
        <w:spacing w:after="0"/>
        <w:rPr>
          <w:rFonts w:eastAsia="Times New Roman" w:cs="Times New Roman"/>
          <w:lang w:eastAsia="en-AU"/>
        </w:rPr>
      </w:pPr>
    </w:p>
    <w:p w14:paraId="5981D2CC" w14:textId="77777777" w:rsidR="00C0165A" w:rsidRDefault="00C0165A" w:rsidP="00C0165A">
      <w:pPr>
        <w:spacing w:after="0"/>
        <w:rPr>
          <w:rFonts w:eastAsia="Times New Roman" w:cs="Times New Roman"/>
          <w:lang w:eastAsia="en-AU"/>
        </w:rPr>
      </w:pPr>
      <w:r>
        <w:rPr>
          <w:rFonts w:eastAsia="Times New Roman" w:cs="Times New Roman"/>
          <w:lang w:eastAsia="en-AU"/>
        </w:rPr>
        <w:t>Higher figures – 7% to 15% - for all trucks, not just those from Botany, are cited in the Government’s 2013 Freight and Ports Strategy.</w:t>
      </w:r>
      <w:r>
        <w:rPr>
          <w:rStyle w:val="FootnoteReference"/>
          <w:rFonts w:eastAsia="Times New Roman" w:cs="Times New Roman"/>
          <w:lang w:eastAsia="en-AU"/>
        </w:rPr>
        <w:footnoteReference w:id="24"/>
      </w:r>
    </w:p>
    <w:p w14:paraId="633B58A0" w14:textId="77777777" w:rsidR="006175E0" w:rsidRDefault="006175E0" w:rsidP="00B268B7">
      <w:pPr>
        <w:spacing w:after="0"/>
        <w:rPr>
          <w:rFonts w:eastAsia="Times New Roman" w:cs="Times New Roman"/>
          <w:lang w:eastAsia="en-AU"/>
        </w:rPr>
      </w:pPr>
    </w:p>
    <w:p w14:paraId="7CAAC754" w14:textId="1C078094" w:rsidR="00D305F3" w:rsidRDefault="004E32B3" w:rsidP="00B268B7">
      <w:pPr>
        <w:spacing w:after="0"/>
        <w:rPr>
          <w:rFonts w:eastAsia="Times New Roman" w:cs="Times New Roman"/>
          <w:lang w:eastAsia="en-AU"/>
        </w:rPr>
      </w:pPr>
      <w:r>
        <w:rPr>
          <w:rFonts w:eastAsia="Times New Roman" w:cs="Times New Roman"/>
          <w:lang w:eastAsia="en-AU"/>
        </w:rPr>
        <w:t xml:space="preserve">A </w:t>
      </w:r>
      <w:r w:rsidR="00D305F3">
        <w:rPr>
          <w:rFonts w:eastAsia="Times New Roman" w:cs="Times New Roman"/>
          <w:lang w:eastAsia="en-AU"/>
        </w:rPr>
        <w:t>2%</w:t>
      </w:r>
      <w:r>
        <w:rPr>
          <w:rFonts w:eastAsia="Times New Roman" w:cs="Times New Roman"/>
          <w:lang w:eastAsia="en-AU"/>
        </w:rPr>
        <w:t xml:space="preserve"> figure was </w:t>
      </w:r>
      <w:r w:rsidR="00D305F3">
        <w:rPr>
          <w:rFonts w:eastAsia="Times New Roman" w:cs="Times New Roman"/>
          <w:lang w:eastAsia="en-AU"/>
        </w:rPr>
        <w:t>mentioned</w:t>
      </w:r>
      <w:r>
        <w:rPr>
          <w:rFonts w:eastAsia="Times New Roman" w:cs="Times New Roman"/>
          <w:lang w:eastAsia="en-AU"/>
        </w:rPr>
        <w:t xml:space="preserve"> in the </w:t>
      </w:r>
      <w:r w:rsidR="008B7B07">
        <w:rPr>
          <w:rFonts w:eastAsia="Times New Roman" w:cs="Times New Roman"/>
          <w:lang w:eastAsia="en-AU"/>
        </w:rPr>
        <w:t>(</w:t>
      </w:r>
      <w:r w:rsidR="00186E78">
        <w:rPr>
          <w:rFonts w:eastAsia="Times New Roman" w:cs="Times New Roman"/>
          <w:lang w:eastAsia="en-AU"/>
        </w:rPr>
        <w:t>earlier</w:t>
      </w:r>
      <w:r w:rsidR="008B7B07">
        <w:rPr>
          <w:rFonts w:eastAsia="Times New Roman" w:cs="Times New Roman"/>
          <w:lang w:eastAsia="en-AU"/>
        </w:rPr>
        <w:t>)</w:t>
      </w:r>
      <w:r w:rsidR="00186E78">
        <w:rPr>
          <w:rFonts w:eastAsia="Times New Roman" w:cs="Times New Roman"/>
          <w:lang w:eastAsia="en-AU"/>
        </w:rPr>
        <w:t xml:space="preserve"> </w:t>
      </w:r>
      <w:r w:rsidR="00D305F3">
        <w:rPr>
          <w:rFonts w:eastAsia="Times New Roman" w:cs="Times New Roman"/>
          <w:lang w:eastAsia="en-AU"/>
        </w:rPr>
        <w:t xml:space="preserve">2004 </w:t>
      </w:r>
      <w:r>
        <w:rPr>
          <w:rFonts w:eastAsia="Times New Roman" w:cs="Times New Roman"/>
          <w:lang w:eastAsia="en-AU"/>
        </w:rPr>
        <w:t>Environmental Impact Statement for Botany’s third terminal.</w:t>
      </w:r>
      <w:r w:rsidR="00D305F3">
        <w:rPr>
          <w:rFonts w:eastAsia="Times New Roman" w:cs="Times New Roman"/>
          <w:lang w:eastAsia="en-AU"/>
        </w:rPr>
        <w:t xml:space="preserve">  </w:t>
      </w:r>
      <w:r w:rsidR="00FD5611">
        <w:rPr>
          <w:rFonts w:eastAsia="Times New Roman" w:cs="Times New Roman"/>
          <w:lang w:eastAsia="en-AU"/>
        </w:rPr>
        <w:t xml:space="preserve">The Statement considered a number of roads in the area, but </w:t>
      </w:r>
      <w:r w:rsidR="00A67767">
        <w:rPr>
          <w:rFonts w:eastAsia="Times New Roman" w:cs="Times New Roman"/>
          <w:lang w:eastAsia="en-AU"/>
        </w:rPr>
        <w:t xml:space="preserve">not the M5.  </w:t>
      </w:r>
      <w:r w:rsidR="00D305F3">
        <w:rPr>
          <w:rFonts w:eastAsia="Times New Roman" w:cs="Times New Roman"/>
          <w:lang w:eastAsia="en-AU"/>
        </w:rPr>
        <w:t>It said:</w:t>
      </w:r>
      <w:r>
        <w:rPr>
          <w:rFonts w:eastAsia="Times New Roman" w:cs="Times New Roman"/>
          <w:lang w:eastAsia="en-AU"/>
        </w:rPr>
        <w:t xml:space="preserve">  </w:t>
      </w:r>
    </w:p>
    <w:p w14:paraId="546B16DE" w14:textId="2042029D" w:rsidR="00D305F3" w:rsidRPr="00D305F3" w:rsidRDefault="00D305F3" w:rsidP="00B268B7">
      <w:pPr>
        <w:spacing w:after="0"/>
        <w:ind w:left="720"/>
        <w:rPr>
          <w:i/>
          <w:iCs/>
        </w:rPr>
      </w:pPr>
      <w:r w:rsidRPr="00D305F3">
        <w:rPr>
          <w:rFonts w:eastAsia="Times New Roman" w:cs="Times New Roman"/>
          <w:i/>
          <w:iCs/>
          <w:lang w:eastAsia="en-AU"/>
        </w:rPr>
        <w:t>‘</w:t>
      </w:r>
      <w:r w:rsidRPr="00D305F3">
        <w:rPr>
          <w:i/>
          <w:iCs/>
        </w:rPr>
        <w:t>Although the port is perceived as a major generator of traffic, it would only generate less than 2% of total (morning) peak hourly traffic flows at the subregional level by 2021’.</w:t>
      </w:r>
      <w:r w:rsidR="00BC2A3F">
        <w:rPr>
          <w:rStyle w:val="FootnoteReference"/>
          <w:i/>
          <w:iCs/>
        </w:rPr>
        <w:footnoteReference w:id="25"/>
      </w:r>
    </w:p>
    <w:p w14:paraId="13FD20B7" w14:textId="192D56E7" w:rsidR="00D305F3" w:rsidRDefault="00D305F3" w:rsidP="00B268B7">
      <w:pPr>
        <w:spacing w:after="0"/>
      </w:pPr>
    </w:p>
    <w:p w14:paraId="7B6BA9B1" w14:textId="390B0DEE" w:rsidR="006B3799" w:rsidRDefault="006B3799" w:rsidP="00B268B7">
      <w:pPr>
        <w:spacing w:after="0"/>
      </w:pPr>
      <w:r>
        <w:t xml:space="preserve">The </w:t>
      </w:r>
      <w:r w:rsidR="00433B38">
        <w:t xml:space="preserve">relevant </w:t>
      </w:r>
      <w:r w:rsidR="00566381">
        <w:t>T</w:t>
      </w:r>
      <w:r>
        <w:t xml:space="preserve">echnical </w:t>
      </w:r>
      <w:r w:rsidR="00566381">
        <w:t>A</w:t>
      </w:r>
      <w:r>
        <w:t xml:space="preserve">ppendix referred to an even lower figure, 1%. </w:t>
      </w:r>
      <w:r w:rsidR="00C0165A">
        <w:t xml:space="preserve"> The Appendix </w:t>
      </w:r>
      <w:r>
        <w:t>said the performance of the road network was set to deteriorate</w:t>
      </w:r>
      <w:r w:rsidR="008C7FDA">
        <w:t>, and this</w:t>
      </w:r>
      <w:r>
        <w:t xml:space="preserve"> would impact on the port:</w:t>
      </w:r>
    </w:p>
    <w:p w14:paraId="50F9B79E" w14:textId="0322167E" w:rsidR="006B3799" w:rsidRDefault="006B3799" w:rsidP="00B268B7">
      <w:pPr>
        <w:spacing w:after="0"/>
        <w:ind w:left="720"/>
      </w:pPr>
      <w:r>
        <w:rPr>
          <w:i/>
          <w:iCs/>
        </w:rPr>
        <w:t>‘</w:t>
      </w:r>
      <w:r w:rsidRPr="006B3799">
        <w:rPr>
          <w:i/>
          <w:iCs/>
        </w:rPr>
        <w:t>The forecast deterioration in the road system’s level of service is not caused by the new terminal, as port traffic represents a very minor proportion of total traffic. Most of the increased traffic is caused by private vehicle travel associated with the Airport, Green Square and general background traffic growth. The capacity constraints on the road network, although not caused by port traffic, would impact on the efficiency of road-based transport to and from the port.</w:t>
      </w:r>
      <w:r>
        <w:t>’</w:t>
      </w:r>
      <w:r w:rsidR="00BC2A3F">
        <w:rPr>
          <w:rStyle w:val="FootnoteReference"/>
        </w:rPr>
        <w:footnoteReference w:id="26"/>
      </w:r>
    </w:p>
    <w:p w14:paraId="75846199" w14:textId="77777777" w:rsidR="00B268B7" w:rsidRDefault="00B268B7" w:rsidP="00B268B7">
      <w:pPr>
        <w:spacing w:after="0"/>
        <w:rPr>
          <w:rFonts w:eastAsia="Times New Roman" w:cs="Times New Roman"/>
          <w:lang w:eastAsia="en-AU"/>
        </w:rPr>
      </w:pPr>
    </w:p>
    <w:p w14:paraId="6B4A6186" w14:textId="3FDFAFD0" w:rsidR="00A67767" w:rsidRDefault="006B3799" w:rsidP="00B268B7">
      <w:pPr>
        <w:spacing w:after="0"/>
      </w:pPr>
      <w:r>
        <w:rPr>
          <w:rFonts w:eastAsia="Times New Roman" w:cs="Times New Roman"/>
          <w:lang w:eastAsia="en-AU"/>
        </w:rPr>
        <w:t>After noting (port) trucks carrying dangerous goods are prohibited in the M5 and airport</w:t>
      </w:r>
      <w:r w:rsidR="00BC2A3F">
        <w:rPr>
          <w:rFonts w:eastAsia="Times New Roman" w:cs="Times New Roman"/>
          <w:lang w:eastAsia="en-AU"/>
        </w:rPr>
        <w:t xml:space="preserve">-runway </w:t>
      </w:r>
      <w:r>
        <w:rPr>
          <w:rFonts w:eastAsia="Times New Roman" w:cs="Times New Roman"/>
          <w:lang w:eastAsia="en-AU"/>
        </w:rPr>
        <w:t xml:space="preserve">tunnels, </w:t>
      </w:r>
      <w:r w:rsidR="00566381">
        <w:rPr>
          <w:rFonts w:eastAsia="Times New Roman" w:cs="Times New Roman"/>
          <w:lang w:eastAsia="en-AU"/>
        </w:rPr>
        <w:t>the Appendix</w:t>
      </w:r>
      <w:r w:rsidR="008E10E6">
        <w:rPr>
          <w:rFonts w:eastAsia="Times New Roman" w:cs="Times New Roman"/>
          <w:lang w:eastAsia="en-AU"/>
        </w:rPr>
        <w:t xml:space="preserve"> </w:t>
      </w:r>
      <w:r w:rsidR="00566381">
        <w:rPr>
          <w:rFonts w:eastAsia="Times New Roman" w:cs="Times New Roman"/>
          <w:lang w:eastAsia="en-AU"/>
        </w:rPr>
        <w:t xml:space="preserve">provided </w:t>
      </w:r>
      <w:r w:rsidR="008E10E6">
        <w:rPr>
          <w:rFonts w:eastAsia="Times New Roman" w:cs="Times New Roman"/>
          <w:lang w:eastAsia="en-AU"/>
        </w:rPr>
        <w:t>estimate</w:t>
      </w:r>
      <w:r w:rsidR="00566381">
        <w:rPr>
          <w:rFonts w:eastAsia="Times New Roman" w:cs="Times New Roman"/>
          <w:lang w:eastAsia="en-AU"/>
        </w:rPr>
        <w:t>s of</w:t>
      </w:r>
      <w:r w:rsidR="008E10E6">
        <w:rPr>
          <w:rFonts w:eastAsia="Times New Roman" w:cs="Times New Roman"/>
          <w:lang w:eastAsia="en-AU"/>
        </w:rPr>
        <w:t xml:space="preserve"> truck movements for 2021 based trucks carrying 60% of 3.2 million teu port throughput, </w:t>
      </w:r>
      <w:r w:rsidR="00566381">
        <w:rPr>
          <w:rFonts w:eastAsia="Times New Roman" w:cs="Times New Roman"/>
          <w:lang w:eastAsia="en-AU"/>
        </w:rPr>
        <w:t>and</w:t>
      </w:r>
      <w:r w:rsidR="008E10E6">
        <w:rPr>
          <w:rFonts w:eastAsia="Times New Roman" w:cs="Times New Roman"/>
          <w:lang w:eastAsia="en-AU"/>
        </w:rPr>
        <w:t xml:space="preserve"> very substantial increase</w:t>
      </w:r>
      <w:r w:rsidR="00566381">
        <w:rPr>
          <w:rFonts w:eastAsia="Times New Roman" w:cs="Times New Roman"/>
          <w:lang w:eastAsia="en-AU"/>
        </w:rPr>
        <w:t>s</w:t>
      </w:r>
      <w:r w:rsidR="008E10E6">
        <w:rPr>
          <w:rFonts w:eastAsia="Times New Roman" w:cs="Times New Roman"/>
          <w:lang w:eastAsia="en-AU"/>
        </w:rPr>
        <w:t xml:space="preserve"> in backloading</w:t>
      </w:r>
      <w:r w:rsidR="00A67767">
        <w:rPr>
          <w:rFonts w:eastAsia="Times New Roman" w:cs="Times New Roman"/>
          <w:lang w:eastAsia="en-AU"/>
        </w:rPr>
        <w:t xml:space="preserve"> and hours of operation</w:t>
      </w:r>
      <w:r w:rsidR="008E10E6">
        <w:rPr>
          <w:rFonts w:eastAsia="Times New Roman" w:cs="Times New Roman"/>
          <w:lang w:eastAsia="en-AU"/>
        </w:rPr>
        <w:t>.</w:t>
      </w:r>
      <w:r w:rsidR="00BC2A3F">
        <w:rPr>
          <w:rFonts w:eastAsia="Times New Roman" w:cs="Times New Roman"/>
          <w:lang w:eastAsia="en-AU"/>
        </w:rPr>
        <w:t xml:space="preserve">  </w:t>
      </w:r>
      <w:r w:rsidR="008E10E6">
        <w:rPr>
          <w:rFonts w:eastAsia="Times New Roman" w:cs="Times New Roman"/>
          <w:lang w:eastAsia="en-AU"/>
        </w:rPr>
        <w:t>Background traffic was held at 2016 levels because of limitations in Departmental transport models.</w:t>
      </w:r>
      <w:r w:rsidR="00A67767">
        <w:rPr>
          <w:rFonts w:eastAsia="Times New Roman" w:cs="Times New Roman"/>
          <w:lang w:eastAsia="en-AU"/>
        </w:rPr>
        <w:t xml:space="preserve">  </w:t>
      </w:r>
      <w:r w:rsidR="00566381">
        <w:rPr>
          <w:rFonts w:eastAsia="Times New Roman" w:cs="Times New Roman"/>
          <w:lang w:eastAsia="en-AU"/>
        </w:rPr>
        <w:t xml:space="preserve">The results </w:t>
      </w:r>
      <w:r w:rsidR="004F18E1">
        <w:rPr>
          <w:rFonts w:eastAsia="Times New Roman" w:cs="Times New Roman"/>
          <w:lang w:eastAsia="en-AU"/>
        </w:rPr>
        <w:t xml:space="preserve">on these minimal- trucking assumptions </w:t>
      </w:r>
      <w:r w:rsidR="0042138C">
        <w:rPr>
          <w:rFonts w:eastAsia="Times New Roman" w:cs="Times New Roman"/>
          <w:lang w:eastAsia="en-AU"/>
        </w:rPr>
        <w:t>were</w:t>
      </w:r>
      <w:r w:rsidR="00566381">
        <w:rPr>
          <w:rFonts w:eastAsia="Times New Roman" w:cs="Times New Roman"/>
          <w:lang w:eastAsia="en-AU"/>
        </w:rPr>
        <w:t>:</w:t>
      </w:r>
      <w:r w:rsidR="00A67767">
        <w:t xml:space="preserve"> truck number</w:t>
      </w:r>
      <w:r w:rsidR="00566381">
        <w:t>s</w:t>
      </w:r>
      <w:r w:rsidR="00A67767">
        <w:t xml:space="preserve"> would increase from 6,300 to 14,000 per day, and road network performance </w:t>
      </w:r>
      <w:r w:rsidR="003B012C">
        <w:t xml:space="preserve">would </w:t>
      </w:r>
      <w:r w:rsidR="00A67767">
        <w:t xml:space="preserve">suffer.  </w:t>
      </w:r>
    </w:p>
    <w:p w14:paraId="629E8AA8" w14:textId="397706B5" w:rsidR="008E10E6" w:rsidRDefault="008E10E6" w:rsidP="00B268B7">
      <w:pPr>
        <w:spacing w:after="0"/>
        <w:rPr>
          <w:rFonts w:eastAsia="Times New Roman" w:cs="Times New Roman"/>
          <w:lang w:eastAsia="en-AU"/>
        </w:rPr>
      </w:pPr>
    </w:p>
    <w:p w14:paraId="26493070" w14:textId="489A6DD1" w:rsidR="00A67767" w:rsidRDefault="00A67767" w:rsidP="00B268B7">
      <w:pPr>
        <w:spacing w:after="0"/>
        <w:rPr>
          <w:rFonts w:eastAsia="Times New Roman" w:cs="Times New Roman"/>
          <w:lang w:eastAsia="en-AU"/>
        </w:rPr>
      </w:pPr>
      <w:r>
        <w:rPr>
          <w:rFonts w:eastAsia="Times New Roman" w:cs="Times New Roman"/>
          <w:lang w:eastAsia="en-AU"/>
        </w:rPr>
        <w:t xml:space="preserve">The </w:t>
      </w:r>
      <w:r w:rsidR="00566381">
        <w:rPr>
          <w:rFonts w:eastAsia="Times New Roman" w:cs="Times New Roman"/>
          <w:lang w:eastAsia="en-AU"/>
        </w:rPr>
        <w:t>A</w:t>
      </w:r>
      <w:r>
        <w:rPr>
          <w:rFonts w:eastAsia="Times New Roman" w:cs="Times New Roman"/>
          <w:lang w:eastAsia="en-AU"/>
        </w:rPr>
        <w:t xml:space="preserve">ppendix argued for policies to give road priority to port traffic.  Although this was </w:t>
      </w:r>
      <w:r w:rsidR="00581303">
        <w:rPr>
          <w:rFonts w:eastAsia="Times New Roman" w:cs="Times New Roman"/>
          <w:lang w:eastAsia="en-AU"/>
        </w:rPr>
        <w:t xml:space="preserve">also </w:t>
      </w:r>
      <w:r>
        <w:rPr>
          <w:rFonts w:eastAsia="Times New Roman" w:cs="Times New Roman"/>
          <w:lang w:eastAsia="en-AU"/>
        </w:rPr>
        <w:t>later suggested by</w:t>
      </w:r>
      <w:r w:rsidR="00871635">
        <w:rPr>
          <w:rFonts w:eastAsia="Times New Roman" w:cs="Times New Roman"/>
          <w:lang w:eastAsia="en-AU"/>
        </w:rPr>
        <w:t xml:space="preserve"> the former</w:t>
      </w:r>
      <w:r>
        <w:rPr>
          <w:rFonts w:eastAsia="Times New Roman" w:cs="Times New Roman"/>
          <w:lang w:eastAsia="en-AU"/>
        </w:rPr>
        <w:t xml:space="preserve"> Infrastructure Australia, it has not occurred. </w:t>
      </w:r>
    </w:p>
    <w:p w14:paraId="14FCDE2E" w14:textId="77777777" w:rsidR="00A67767" w:rsidRDefault="00A67767" w:rsidP="00B268B7">
      <w:pPr>
        <w:spacing w:after="0"/>
        <w:rPr>
          <w:rFonts w:eastAsia="Times New Roman" w:cs="Times New Roman"/>
          <w:lang w:eastAsia="en-AU"/>
        </w:rPr>
      </w:pPr>
    </w:p>
    <w:p w14:paraId="2C3A87AD" w14:textId="01B4DFEA" w:rsidR="007C2076" w:rsidRDefault="007C2076" w:rsidP="00B268B7">
      <w:pPr>
        <w:spacing w:after="0"/>
      </w:pPr>
      <w:r>
        <w:t xml:space="preserve">The </w:t>
      </w:r>
      <w:r w:rsidR="00566381">
        <w:t>A</w:t>
      </w:r>
      <w:r>
        <w:t>ppendix was compiled in 2002, a year after the opening of the M5 East.</w:t>
      </w:r>
    </w:p>
    <w:p w14:paraId="1EDD33F4" w14:textId="77777777" w:rsidR="00BC2A3F" w:rsidRDefault="00BC2A3F" w:rsidP="00B268B7">
      <w:pPr>
        <w:spacing w:after="0"/>
      </w:pPr>
    </w:p>
    <w:p w14:paraId="15DF231C" w14:textId="7FF9725D" w:rsidR="00C20EC7" w:rsidRDefault="007846C8" w:rsidP="00B268B7">
      <w:pPr>
        <w:spacing w:after="0"/>
      </w:pPr>
      <w:r>
        <w:t xml:space="preserve">A 2004 </w:t>
      </w:r>
      <w:r w:rsidR="00C20EC7">
        <w:t xml:space="preserve">submission to the Productivity Commission by the </w:t>
      </w:r>
      <w:r w:rsidR="00E17EB9">
        <w:t xml:space="preserve">NSW </w:t>
      </w:r>
      <w:r w:rsidR="00C20EC7">
        <w:t>Freight Infrastructure Advisory Board was less sanguine about the implications of and for Sydney congestion of Botany’s expansion.  It referred to an ‘</w:t>
      </w:r>
      <w:r w:rsidR="00C20EC7" w:rsidRPr="00C20EC7">
        <w:rPr>
          <w:i/>
          <w:iCs/>
        </w:rPr>
        <w:t>explosion</w:t>
      </w:r>
      <w:r w:rsidR="00C20EC7">
        <w:t xml:space="preserve">’ in truck movements </w:t>
      </w:r>
      <w:r w:rsidR="004E1406">
        <w:t>unless</w:t>
      </w:r>
      <w:r w:rsidR="00C20EC7">
        <w:t xml:space="preserve"> many more containers </w:t>
      </w:r>
      <w:r w:rsidR="004E1406">
        <w:t>were</w:t>
      </w:r>
      <w:r w:rsidR="00C20EC7">
        <w:t xml:space="preserve"> </w:t>
      </w:r>
      <w:r w:rsidR="008C7FDA">
        <w:t xml:space="preserve">on </w:t>
      </w:r>
      <w:r w:rsidR="00C20EC7">
        <w:t xml:space="preserve">rail.   </w:t>
      </w:r>
      <w:r w:rsidR="004E1406">
        <w:t>Its d</w:t>
      </w:r>
      <w:r w:rsidR="00C20EC7">
        <w:t>iagram (below) illustrated a near doubling of truck numbers by 2021 even if rail carried 40% of Botany containers.</w:t>
      </w:r>
      <w:r w:rsidR="00BC2A3F">
        <w:rPr>
          <w:rStyle w:val="FootnoteReference"/>
        </w:rPr>
        <w:footnoteReference w:id="27"/>
      </w:r>
    </w:p>
    <w:p w14:paraId="78FFB616" w14:textId="77777777" w:rsidR="00C20EC7" w:rsidRDefault="00C20EC7" w:rsidP="00B268B7">
      <w:pPr>
        <w:spacing w:after="0"/>
      </w:pPr>
    </w:p>
    <w:p w14:paraId="70E43B27" w14:textId="74CEAF09" w:rsidR="007846C8" w:rsidRDefault="00C20EC7" w:rsidP="00B268B7">
      <w:pPr>
        <w:spacing w:after="0"/>
        <w:rPr>
          <w:noProof/>
        </w:rPr>
      </w:pPr>
      <w:r w:rsidRPr="00C20EC7">
        <w:rPr>
          <w:b/>
          <w:bCs/>
        </w:rPr>
        <w:lastRenderedPageBreak/>
        <w:t>Freight Infra</w:t>
      </w:r>
      <w:r>
        <w:rPr>
          <w:b/>
          <w:bCs/>
        </w:rPr>
        <w:t>s</w:t>
      </w:r>
      <w:r w:rsidRPr="00C20EC7">
        <w:rPr>
          <w:b/>
          <w:bCs/>
        </w:rPr>
        <w:t>tructure Advisory Board diagram</w:t>
      </w:r>
    </w:p>
    <w:p w14:paraId="62D94F4C" w14:textId="77777777" w:rsidR="007846C8" w:rsidRDefault="007846C8" w:rsidP="00B268B7">
      <w:pPr>
        <w:spacing w:after="0"/>
        <w:rPr>
          <w:noProof/>
        </w:rPr>
      </w:pPr>
    </w:p>
    <w:p w14:paraId="2CB66F37" w14:textId="7EBE3A8E" w:rsidR="007846C8" w:rsidRDefault="007846C8" w:rsidP="00B268B7">
      <w:pPr>
        <w:spacing w:after="0"/>
      </w:pPr>
      <w:r>
        <w:rPr>
          <w:noProof/>
        </w:rPr>
        <w:drawing>
          <wp:inline distT="0" distB="0" distL="0" distR="0" wp14:anchorId="4DFD89EE" wp14:editId="3D5AD390">
            <wp:extent cx="5408719" cy="2109537"/>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238" t="25628" r="24134" b="11383"/>
                    <a:stretch/>
                  </pic:blipFill>
                  <pic:spPr bwMode="auto">
                    <a:xfrm>
                      <a:off x="0" y="0"/>
                      <a:ext cx="5473803" cy="2134921"/>
                    </a:xfrm>
                    <a:prstGeom prst="rect">
                      <a:avLst/>
                    </a:prstGeom>
                    <a:ln>
                      <a:noFill/>
                    </a:ln>
                    <a:extLst>
                      <a:ext uri="{53640926-AAD7-44D8-BBD7-CCE9431645EC}">
                        <a14:shadowObscured xmlns:a14="http://schemas.microsoft.com/office/drawing/2010/main"/>
                      </a:ext>
                    </a:extLst>
                  </pic:spPr>
                </pic:pic>
              </a:graphicData>
            </a:graphic>
          </wp:inline>
        </w:drawing>
      </w:r>
    </w:p>
    <w:p w14:paraId="3D9522B4" w14:textId="77777777" w:rsidR="007846C8" w:rsidRDefault="007846C8" w:rsidP="00B268B7">
      <w:pPr>
        <w:spacing w:after="0"/>
        <w:rPr>
          <w:rFonts w:eastAsia="Times New Roman" w:cs="Times New Roman"/>
          <w:lang w:eastAsia="en-AU"/>
        </w:rPr>
      </w:pPr>
    </w:p>
    <w:p w14:paraId="5E419299" w14:textId="09E21880" w:rsidR="00A67767" w:rsidRDefault="007C2076" w:rsidP="00B268B7">
      <w:pPr>
        <w:spacing w:after="0"/>
        <w:rPr>
          <w:rFonts w:eastAsia="Times New Roman" w:cs="Times New Roman"/>
          <w:lang w:eastAsia="en-AU"/>
        </w:rPr>
      </w:pPr>
      <w:r>
        <w:rPr>
          <w:rFonts w:eastAsia="Times New Roman" w:cs="Times New Roman"/>
          <w:lang w:eastAsia="en-AU"/>
        </w:rPr>
        <w:t xml:space="preserve">By 2009 </w:t>
      </w:r>
      <w:r w:rsidR="003B012C">
        <w:rPr>
          <w:rFonts w:eastAsia="Times New Roman" w:cs="Times New Roman"/>
          <w:lang w:eastAsia="en-AU"/>
        </w:rPr>
        <w:t xml:space="preserve">– far sooner than expected - </w:t>
      </w:r>
      <w:r>
        <w:rPr>
          <w:rFonts w:eastAsia="Times New Roman" w:cs="Times New Roman"/>
          <w:lang w:eastAsia="en-AU"/>
        </w:rPr>
        <w:t>it was apparent the M5 capacity</w:t>
      </w:r>
      <w:r w:rsidR="00E17EB9">
        <w:rPr>
          <w:rFonts w:eastAsia="Times New Roman" w:cs="Times New Roman"/>
          <w:lang w:eastAsia="en-AU"/>
        </w:rPr>
        <w:t xml:space="preserve"> was being exhausted</w:t>
      </w:r>
      <w:r>
        <w:rPr>
          <w:rFonts w:eastAsia="Times New Roman" w:cs="Times New Roman"/>
          <w:lang w:eastAsia="en-AU"/>
        </w:rPr>
        <w:t>, with adverse effects on trucks and the port.  T</w:t>
      </w:r>
      <w:r w:rsidR="00A67767">
        <w:rPr>
          <w:rFonts w:eastAsia="Times New Roman" w:cs="Times New Roman"/>
          <w:lang w:eastAsia="en-AU"/>
        </w:rPr>
        <w:t xml:space="preserve">he </w:t>
      </w:r>
      <w:r w:rsidR="00BC2A3F">
        <w:rPr>
          <w:rFonts w:eastAsia="Times New Roman" w:cs="Times New Roman"/>
          <w:lang w:eastAsia="en-AU"/>
        </w:rPr>
        <w:t xml:space="preserve">NSW </w:t>
      </w:r>
      <w:r w:rsidR="00A67767">
        <w:rPr>
          <w:rFonts w:eastAsia="Times New Roman" w:cs="Times New Roman"/>
          <w:lang w:eastAsia="en-AU"/>
        </w:rPr>
        <w:t xml:space="preserve">Government </w:t>
      </w:r>
      <w:r>
        <w:rPr>
          <w:rFonts w:eastAsia="Times New Roman" w:cs="Times New Roman"/>
          <w:lang w:eastAsia="en-AU"/>
        </w:rPr>
        <w:t xml:space="preserve">sought </w:t>
      </w:r>
      <w:r w:rsidR="00A67767">
        <w:rPr>
          <w:rFonts w:eastAsia="Times New Roman" w:cs="Times New Roman"/>
          <w:lang w:eastAsia="en-AU"/>
        </w:rPr>
        <w:t xml:space="preserve">Commonwealth funds for </w:t>
      </w:r>
      <w:r>
        <w:rPr>
          <w:rFonts w:eastAsia="Times New Roman" w:cs="Times New Roman"/>
          <w:lang w:eastAsia="en-AU"/>
        </w:rPr>
        <w:t xml:space="preserve">M5 </w:t>
      </w:r>
      <w:r w:rsidR="00A67767">
        <w:rPr>
          <w:rFonts w:eastAsia="Times New Roman" w:cs="Times New Roman"/>
          <w:lang w:eastAsia="en-AU"/>
        </w:rPr>
        <w:t>expansion</w:t>
      </w:r>
      <w:r w:rsidR="00566381">
        <w:rPr>
          <w:rFonts w:eastAsia="Times New Roman" w:cs="Times New Roman"/>
          <w:lang w:eastAsia="en-AU"/>
        </w:rPr>
        <w:t xml:space="preserve"> </w:t>
      </w:r>
      <w:r>
        <w:rPr>
          <w:rFonts w:eastAsia="Times New Roman" w:cs="Times New Roman"/>
          <w:lang w:eastAsia="en-AU"/>
        </w:rPr>
        <w:t xml:space="preserve">arguing port trucks were </w:t>
      </w:r>
      <w:r w:rsidR="00A67767">
        <w:rPr>
          <w:rFonts w:eastAsia="Times New Roman" w:cs="Times New Roman"/>
          <w:lang w:eastAsia="en-AU"/>
        </w:rPr>
        <w:t>the ‘</w:t>
      </w:r>
      <w:r w:rsidR="00A67767" w:rsidRPr="006175E0">
        <w:rPr>
          <w:rFonts w:eastAsia="Times New Roman" w:cs="Times New Roman"/>
          <w:i/>
          <w:iCs/>
          <w:lang w:eastAsia="en-AU"/>
        </w:rPr>
        <w:t xml:space="preserve">key component of the truck movement in the </w:t>
      </w:r>
      <w:r w:rsidR="00A67767" w:rsidRPr="006175E0">
        <w:rPr>
          <w:rFonts w:eastAsia="Times New Roman" w:cs="Times New Roman"/>
          <w:lang w:eastAsia="en-AU"/>
        </w:rPr>
        <w:t>(</w:t>
      </w:r>
      <w:r w:rsidR="00A67767">
        <w:rPr>
          <w:rFonts w:eastAsia="Times New Roman" w:cs="Times New Roman"/>
          <w:lang w:eastAsia="en-AU"/>
        </w:rPr>
        <w:t>M</w:t>
      </w:r>
      <w:r w:rsidR="00A67767" w:rsidRPr="006175E0">
        <w:rPr>
          <w:rFonts w:eastAsia="Times New Roman" w:cs="Times New Roman"/>
          <w:lang w:eastAsia="en-AU"/>
        </w:rPr>
        <w:t>5 East)</w:t>
      </w:r>
      <w:r w:rsidR="00A67767">
        <w:rPr>
          <w:rFonts w:eastAsia="Times New Roman" w:cs="Times New Roman"/>
          <w:lang w:eastAsia="en-AU"/>
        </w:rPr>
        <w:t xml:space="preserve"> </w:t>
      </w:r>
      <w:r w:rsidR="00A67767" w:rsidRPr="006175E0">
        <w:rPr>
          <w:rFonts w:eastAsia="Times New Roman" w:cs="Times New Roman"/>
          <w:i/>
          <w:iCs/>
          <w:lang w:eastAsia="en-AU"/>
        </w:rPr>
        <w:t>tunnel’</w:t>
      </w:r>
      <w:r w:rsidR="00A67767">
        <w:rPr>
          <w:rFonts w:eastAsia="Times New Roman" w:cs="Times New Roman"/>
          <w:lang w:eastAsia="en-AU"/>
        </w:rPr>
        <w:t>.  T</w:t>
      </w:r>
      <w:r w:rsidR="00566381">
        <w:rPr>
          <w:rFonts w:eastAsia="Times New Roman" w:cs="Times New Roman"/>
          <w:lang w:eastAsia="en-AU"/>
        </w:rPr>
        <w:t>he submission to the Commonwealth had t</w:t>
      </w:r>
      <w:r w:rsidR="00A67767">
        <w:rPr>
          <w:rFonts w:eastAsia="Times New Roman" w:cs="Times New Roman"/>
          <w:lang w:eastAsia="en-AU"/>
        </w:rPr>
        <w:t>rucks compris</w:t>
      </w:r>
      <w:r w:rsidR="00566381">
        <w:rPr>
          <w:rFonts w:eastAsia="Times New Roman" w:cs="Times New Roman"/>
          <w:lang w:eastAsia="en-AU"/>
        </w:rPr>
        <w:t>ing</w:t>
      </w:r>
      <w:r w:rsidR="00A67767">
        <w:rPr>
          <w:rFonts w:eastAsia="Times New Roman" w:cs="Times New Roman"/>
          <w:lang w:eastAsia="en-AU"/>
        </w:rPr>
        <w:t xml:space="preserve"> 8% of </w:t>
      </w:r>
      <w:r>
        <w:rPr>
          <w:rFonts w:eastAsia="Times New Roman" w:cs="Times New Roman"/>
          <w:lang w:eastAsia="en-AU"/>
        </w:rPr>
        <w:t xml:space="preserve">that </w:t>
      </w:r>
      <w:r w:rsidR="00A67767">
        <w:rPr>
          <w:rFonts w:eastAsia="Times New Roman" w:cs="Times New Roman"/>
          <w:lang w:eastAsia="en-AU"/>
        </w:rPr>
        <w:t>traffic.</w:t>
      </w:r>
      <w:r w:rsidR="00BC2A3F">
        <w:rPr>
          <w:rStyle w:val="FootnoteReference"/>
          <w:rFonts w:eastAsia="Times New Roman" w:cs="Times New Roman"/>
          <w:lang w:eastAsia="en-AU"/>
        </w:rPr>
        <w:footnoteReference w:id="28"/>
      </w:r>
      <w:r w:rsidR="00A67767">
        <w:rPr>
          <w:rFonts w:eastAsia="Times New Roman" w:cs="Times New Roman"/>
          <w:lang w:eastAsia="en-AU"/>
        </w:rPr>
        <w:t xml:space="preserve">  </w:t>
      </w:r>
    </w:p>
    <w:p w14:paraId="14A1E5F4" w14:textId="77777777" w:rsidR="00A67767" w:rsidRDefault="00A67767" w:rsidP="00B268B7">
      <w:pPr>
        <w:spacing w:after="0"/>
        <w:rPr>
          <w:rFonts w:eastAsia="Times New Roman" w:cs="Times New Roman"/>
          <w:lang w:eastAsia="en-AU"/>
        </w:rPr>
      </w:pPr>
    </w:p>
    <w:p w14:paraId="1A833022" w14:textId="3B8CD0DC" w:rsidR="00FA4C3C" w:rsidRDefault="00FA4C3C" w:rsidP="00B268B7">
      <w:pPr>
        <w:spacing w:after="0"/>
        <w:rPr>
          <w:rFonts w:eastAsia="Times New Roman" w:cs="Times New Roman"/>
          <w:lang w:eastAsia="en-AU"/>
        </w:rPr>
      </w:pPr>
      <w:r>
        <w:rPr>
          <w:rFonts w:eastAsia="Times New Roman" w:cs="Times New Roman"/>
          <w:lang w:eastAsia="en-AU"/>
        </w:rPr>
        <w:t>A</w:t>
      </w:r>
      <w:r w:rsidR="00566381">
        <w:rPr>
          <w:rFonts w:eastAsia="Times New Roman" w:cs="Times New Roman"/>
          <w:lang w:eastAsia="en-AU"/>
        </w:rPr>
        <w:t>round that time, a</w:t>
      </w:r>
      <w:r>
        <w:rPr>
          <w:rFonts w:eastAsia="Times New Roman" w:cs="Times New Roman"/>
          <w:lang w:eastAsia="en-AU"/>
        </w:rPr>
        <w:t xml:space="preserve"> </w:t>
      </w:r>
      <w:r w:rsidR="00566381">
        <w:rPr>
          <w:rFonts w:eastAsia="Times New Roman" w:cs="Times New Roman"/>
          <w:lang w:eastAsia="en-AU"/>
        </w:rPr>
        <w:t xml:space="preserve">technical </w:t>
      </w:r>
      <w:r>
        <w:rPr>
          <w:rFonts w:eastAsia="Times New Roman" w:cs="Times New Roman"/>
          <w:lang w:eastAsia="en-AU"/>
        </w:rPr>
        <w:t xml:space="preserve">report </w:t>
      </w:r>
      <w:r w:rsidR="007C2076">
        <w:rPr>
          <w:rFonts w:eastAsia="Times New Roman" w:cs="Times New Roman"/>
          <w:lang w:eastAsia="en-AU"/>
        </w:rPr>
        <w:t xml:space="preserve">for the Roads and Traffic Authority </w:t>
      </w:r>
      <w:r>
        <w:rPr>
          <w:rFonts w:eastAsia="Times New Roman" w:cs="Times New Roman"/>
          <w:lang w:eastAsia="en-AU"/>
        </w:rPr>
        <w:t xml:space="preserve">identified constraints relevant to port trucks including an 8% grade on the </w:t>
      </w:r>
      <w:r w:rsidR="00566381">
        <w:rPr>
          <w:rFonts w:eastAsia="Times New Roman" w:cs="Times New Roman"/>
          <w:lang w:eastAsia="en-AU"/>
        </w:rPr>
        <w:t>(</w:t>
      </w:r>
      <w:r>
        <w:rPr>
          <w:rFonts w:eastAsia="Times New Roman" w:cs="Times New Roman"/>
          <w:lang w:eastAsia="en-AU"/>
        </w:rPr>
        <w:t>western</w:t>
      </w:r>
      <w:r w:rsidR="00566381">
        <w:rPr>
          <w:rFonts w:eastAsia="Times New Roman" w:cs="Times New Roman"/>
          <w:lang w:eastAsia="en-AU"/>
        </w:rPr>
        <w:t>)</w:t>
      </w:r>
      <w:r>
        <w:rPr>
          <w:rFonts w:eastAsia="Times New Roman" w:cs="Times New Roman"/>
          <w:lang w:eastAsia="en-AU"/>
        </w:rPr>
        <w:t xml:space="preserve"> Kingsgrove tunnel exit.</w:t>
      </w:r>
      <w:r w:rsidR="00BC2A3F">
        <w:rPr>
          <w:rStyle w:val="FootnoteReference"/>
          <w:rFonts w:eastAsia="Times New Roman" w:cs="Times New Roman"/>
          <w:lang w:eastAsia="en-AU"/>
        </w:rPr>
        <w:footnoteReference w:id="29"/>
      </w:r>
    </w:p>
    <w:p w14:paraId="4A16F508" w14:textId="77777777" w:rsidR="00016B34" w:rsidRDefault="00016B34" w:rsidP="00B268B7">
      <w:pPr>
        <w:spacing w:after="0"/>
        <w:rPr>
          <w:rFonts w:eastAsia="Times New Roman" w:cs="Times New Roman"/>
          <w:lang w:eastAsia="en-AU"/>
        </w:rPr>
      </w:pPr>
    </w:p>
    <w:p w14:paraId="73C2B709" w14:textId="233BD995" w:rsidR="00461778" w:rsidRDefault="007C2076" w:rsidP="00B268B7">
      <w:pPr>
        <w:spacing w:after="0"/>
        <w:rPr>
          <w:rFonts w:eastAsia="Times New Roman" w:cs="Times New Roman"/>
          <w:lang w:eastAsia="en-AU"/>
        </w:rPr>
      </w:pPr>
      <w:r>
        <w:rPr>
          <w:rFonts w:eastAsia="Times New Roman" w:cs="Times New Roman"/>
          <w:lang w:eastAsia="en-AU"/>
        </w:rPr>
        <w:t xml:space="preserve">The </w:t>
      </w:r>
      <w:r w:rsidR="00BC2A3F">
        <w:rPr>
          <w:rFonts w:eastAsia="Times New Roman" w:cs="Times New Roman"/>
          <w:lang w:eastAsia="en-AU"/>
        </w:rPr>
        <w:t xml:space="preserve">technical </w:t>
      </w:r>
      <w:r>
        <w:rPr>
          <w:rFonts w:eastAsia="Times New Roman" w:cs="Times New Roman"/>
          <w:lang w:eastAsia="en-AU"/>
        </w:rPr>
        <w:t xml:space="preserve">report </w:t>
      </w:r>
      <w:r w:rsidR="00FA4C3C">
        <w:rPr>
          <w:rFonts w:eastAsia="Times New Roman" w:cs="Times New Roman"/>
          <w:lang w:eastAsia="en-AU"/>
        </w:rPr>
        <w:t>said the nominal capacity of the tunnels were 4,</w:t>
      </w:r>
      <w:r w:rsidR="00461778">
        <w:rPr>
          <w:rFonts w:eastAsia="Times New Roman" w:cs="Times New Roman"/>
          <w:lang w:eastAsia="en-AU"/>
        </w:rPr>
        <w:t>4</w:t>
      </w:r>
      <w:r w:rsidR="00FA4C3C">
        <w:rPr>
          <w:rFonts w:eastAsia="Times New Roman" w:cs="Times New Roman"/>
          <w:lang w:eastAsia="en-AU"/>
        </w:rPr>
        <w:t xml:space="preserve">00 </w:t>
      </w:r>
      <w:r>
        <w:rPr>
          <w:rFonts w:eastAsia="Times New Roman" w:cs="Times New Roman"/>
          <w:lang w:eastAsia="en-AU"/>
        </w:rPr>
        <w:t xml:space="preserve">passenger car units </w:t>
      </w:r>
      <w:r w:rsidR="00FA4C3C">
        <w:rPr>
          <w:rFonts w:eastAsia="Times New Roman" w:cs="Times New Roman"/>
          <w:lang w:eastAsia="en-AU"/>
        </w:rPr>
        <w:t>per hour.</w:t>
      </w:r>
      <w:r w:rsidR="00566381">
        <w:rPr>
          <w:rFonts w:eastAsia="Times New Roman" w:cs="Times New Roman"/>
          <w:lang w:eastAsia="en-AU"/>
        </w:rPr>
        <w:t xml:space="preserve"> </w:t>
      </w:r>
      <w:r w:rsidR="00461778">
        <w:rPr>
          <w:rFonts w:eastAsia="Times New Roman" w:cs="Times New Roman"/>
          <w:lang w:eastAsia="en-AU"/>
        </w:rPr>
        <w:t xml:space="preserve">However, </w:t>
      </w:r>
      <w:r w:rsidR="003B012C">
        <w:rPr>
          <w:rFonts w:eastAsia="Times New Roman" w:cs="Times New Roman"/>
          <w:lang w:eastAsia="en-AU"/>
        </w:rPr>
        <w:t>actual capacity was s</w:t>
      </w:r>
      <w:r w:rsidR="00566381">
        <w:rPr>
          <w:rFonts w:eastAsia="Times New Roman" w:cs="Times New Roman"/>
          <w:lang w:eastAsia="en-AU"/>
        </w:rPr>
        <w:t>ubstantially lower</w:t>
      </w:r>
      <w:r w:rsidR="003B012C">
        <w:rPr>
          <w:rFonts w:eastAsia="Times New Roman" w:cs="Times New Roman"/>
          <w:lang w:eastAsia="en-AU"/>
        </w:rPr>
        <w:t xml:space="preserve">: </w:t>
      </w:r>
      <w:r w:rsidR="00A56782">
        <w:rPr>
          <w:rFonts w:eastAsia="Times New Roman" w:cs="Times New Roman"/>
          <w:lang w:eastAsia="en-AU"/>
        </w:rPr>
        <w:t>by 1</w:t>
      </w:r>
      <w:r w:rsidR="00461778">
        <w:rPr>
          <w:rFonts w:eastAsia="Times New Roman" w:cs="Times New Roman"/>
          <w:lang w:eastAsia="en-AU"/>
        </w:rPr>
        <w:t>0% eastbound</w:t>
      </w:r>
      <w:r w:rsidR="003B012C">
        <w:rPr>
          <w:rFonts w:eastAsia="Times New Roman" w:cs="Times New Roman"/>
          <w:lang w:eastAsia="en-AU"/>
        </w:rPr>
        <w:t>;</w:t>
      </w:r>
      <w:r w:rsidR="00461778">
        <w:rPr>
          <w:rFonts w:eastAsia="Times New Roman" w:cs="Times New Roman"/>
          <w:lang w:eastAsia="en-AU"/>
        </w:rPr>
        <w:t xml:space="preserve"> </w:t>
      </w:r>
      <w:r w:rsidR="00A56782">
        <w:rPr>
          <w:rFonts w:eastAsia="Times New Roman" w:cs="Times New Roman"/>
          <w:lang w:eastAsia="en-AU"/>
        </w:rPr>
        <w:t>by 2</w:t>
      </w:r>
      <w:r w:rsidR="00461778">
        <w:rPr>
          <w:rFonts w:eastAsia="Times New Roman" w:cs="Times New Roman"/>
          <w:lang w:eastAsia="en-AU"/>
        </w:rPr>
        <w:t>5% westbound</w:t>
      </w:r>
      <w:r w:rsidR="003B012C">
        <w:rPr>
          <w:rFonts w:eastAsia="Times New Roman" w:cs="Times New Roman"/>
          <w:lang w:eastAsia="en-AU"/>
        </w:rPr>
        <w:t>.  The difference</w:t>
      </w:r>
      <w:r w:rsidR="00A56782">
        <w:rPr>
          <w:rFonts w:eastAsia="Times New Roman" w:cs="Times New Roman"/>
          <w:lang w:eastAsia="en-AU"/>
        </w:rPr>
        <w:t>s</w:t>
      </w:r>
      <w:r w:rsidR="003B012C">
        <w:rPr>
          <w:rFonts w:eastAsia="Times New Roman" w:cs="Times New Roman"/>
          <w:lang w:eastAsia="en-AU"/>
        </w:rPr>
        <w:t xml:space="preserve"> in part reflecting port traffic:</w:t>
      </w:r>
      <w:r w:rsidR="00461778">
        <w:rPr>
          <w:rFonts w:eastAsia="Times New Roman" w:cs="Times New Roman"/>
          <w:lang w:eastAsia="en-AU"/>
        </w:rPr>
        <w:t xml:space="preserve">  </w:t>
      </w:r>
    </w:p>
    <w:p w14:paraId="79783434" w14:textId="08AEFBD4" w:rsidR="00461778" w:rsidRPr="00461778" w:rsidRDefault="00461778" w:rsidP="00B268B7">
      <w:pPr>
        <w:spacing w:after="0"/>
        <w:ind w:left="720"/>
        <w:rPr>
          <w:rFonts w:eastAsia="Times New Roman" w:cs="Times New Roman"/>
          <w:i/>
          <w:iCs/>
          <w:lang w:eastAsia="en-AU"/>
        </w:rPr>
      </w:pPr>
      <w:r w:rsidRPr="00461778">
        <w:rPr>
          <w:rFonts w:eastAsia="Times New Roman" w:cs="Times New Roman"/>
          <w:i/>
          <w:iCs/>
          <w:lang w:eastAsia="en-AU"/>
        </w:rPr>
        <w:t>‘The difference is attributable to the steeper up grade and higher proportion of laden trucks in the west bound direction resulting in a heavy truck to passenger car unit equivalent of 6.  For the eastbound tunnel the equivalence is 3.</w:t>
      </w:r>
      <w:r>
        <w:rPr>
          <w:rFonts w:eastAsia="Times New Roman" w:cs="Times New Roman"/>
          <w:i/>
          <w:iCs/>
          <w:lang w:eastAsia="en-AU"/>
        </w:rPr>
        <w:t>’</w:t>
      </w:r>
      <w:r w:rsidR="00FA20E9">
        <w:rPr>
          <w:rStyle w:val="FootnoteReference"/>
          <w:rFonts w:eastAsia="Times New Roman" w:cs="Times New Roman"/>
          <w:i/>
          <w:iCs/>
          <w:lang w:eastAsia="en-AU"/>
        </w:rPr>
        <w:footnoteReference w:id="30"/>
      </w:r>
    </w:p>
    <w:p w14:paraId="0FD2D9DD" w14:textId="44507259" w:rsidR="00FA4C3C" w:rsidRDefault="00461778" w:rsidP="00B268B7">
      <w:pPr>
        <w:spacing w:after="0"/>
        <w:rPr>
          <w:rFonts w:eastAsia="Times New Roman" w:cs="Times New Roman"/>
          <w:lang w:eastAsia="en-AU"/>
        </w:rPr>
      </w:pPr>
      <w:r w:rsidRPr="00461778">
        <w:rPr>
          <w:rFonts w:eastAsia="Times New Roman" w:cs="Times New Roman"/>
          <w:i/>
          <w:iCs/>
          <w:lang w:eastAsia="en-AU"/>
        </w:rPr>
        <w:t xml:space="preserve"> </w:t>
      </w:r>
    </w:p>
    <w:p w14:paraId="2FF1E11D" w14:textId="19B0E94B" w:rsidR="00A56782" w:rsidRDefault="003B012C" w:rsidP="00B268B7">
      <w:pPr>
        <w:spacing w:after="0"/>
        <w:rPr>
          <w:rFonts w:eastAsia="Times New Roman" w:cs="Times New Roman"/>
          <w:lang w:eastAsia="en-AU"/>
        </w:rPr>
      </w:pPr>
      <w:r>
        <w:rPr>
          <w:rFonts w:eastAsia="Times New Roman" w:cs="Times New Roman"/>
          <w:lang w:eastAsia="en-AU"/>
        </w:rPr>
        <w:t>This indicates the 2% figure is</w:t>
      </w:r>
      <w:r w:rsidR="004E32B3">
        <w:rPr>
          <w:rFonts w:eastAsia="Times New Roman" w:cs="Times New Roman"/>
          <w:lang w:eastAsia="en-AU"/>
        </w:rPr>
        <w:t xml:space="preserve"> </w:t>
      </w:r>
      <w:r w:rsidR="00D0693D">
        <w:rPr>
          <w:rFonts w:eastAsia="Times New Roman" w:cs="Times New Roman"/>
          <w:lang w:eastAsia="en-AU"/>
        </w:rPr>
        <w:t xml:space="preserve">misleading </w:t>
      </w:r>
      <w:r w:rsidR="00E05D71" w:rsidRPr="002C734F">
        <w:rPr>
          <w:rFonts w:eastAsia="Times New Roman" w:cs="Times New Roman"/>
          <w:lang w:eastAsia="en-AU"/>
        </w:rPr>
        <w:t xml:space="preserve">– as people driving the route would observe.  </w:t>
      </w:r>
      <w:r>
        <w:rPr>
          <w:rFonts w:eastAsia="Times New Roman" w:cs="Times New Roman"/>
          <w:lang w:eastAsia="en-AU"/>
        </w:rPr>
        <w:t>Any figure like</w:t>
      </w:r>
      <w:r w:rsidR="00E05D71" w:rsidRPr="002C734F">
        <w:rPr>
          <w:rFonts w:eastAsia="Times New Roman" w:cs="Times New Roman"/>
          <w:lang w:eastAsia="en-AU"/>
        </w:rPr>
        <w:t xml:space="preserve"> 2% </w:t>
      </w:r>
      <w:r>
        <w:rPr>
          <w:rFonts w:eastAsia="Times New Roman" w:cs="Times New Roman"/>
          <w:lang w:eastAsia="en-AU"/>
        </w:rPr>
        <w:t>seems to</w:t>
      </w:r>
      <w:r w:rsidR="00E05D71" w:rsidRPr="002C734F">
        <w:rPr>
          <w:rFonts w:eastAsia="Times New Roman" w:cs="Times New Roman"/>
          <w:lang w:eastAsia="en-AU"/>
        </w:rPr>
        <w:t xml:space="preserve"> refer to </w:t>
      </w:r>
      <w:r w:rsidR="0074176E" w:rsidRPr="002C734F">
        <w:rPr>
          <w:rFonts w:eastAsia="Times New Roman" w:cs="Times New Roman"/>
          <w:lang w:eastAsia="en-AU"/>
        </w:rPr>
        <w:t>vehicle counts</w:t>
      </w:r>
      <w:r w:rsidR="00BC2A3F">
        <w:rPr>
          <w:rFonts w:eastAsia="Times New Roman" w:cs="Times New Roman"/>
          <w:lang w:eastAsia="en-AU"/>
        </w:rPr>
        <w:t>.  H</w:t>
      </w:r>
      <w:r w:rsidR="0074176E" w:rsidRPr="002C734F">
        <w:rPr>
          <w:rFonts w:eastAsia="Times New Roman" w:cs="Times New Roman"/>
          <w:lang w:eastAsia="en-AU"/>
        </w:rPr>
        <w:t>owever, vehicle type</w:t>
      </w:r>
      <w:r w:rsidR="00A56782">
        <w:rPr>
          <w:rFonts w:eastAsia="Times New Roman" w:cs="Times New Roman"/>
          <w:lang w:eastAsia="en-AU"/>
        </w:rPr>
        <w:t>s</w:t>
      </w:r>
      <w:r w:rsidR="00E15A65">
        <w:rPr>
          <w:rFonts w:eastAsia="Times New Roman" w:cs="Times New Roman"/>
          <w:lang w:eastAsia="en-AU"/>
        </w:rPr>
        <w:t xml:space="preserve"> also </w:t>
      </w:r>
      <w:r w:rsidR="008C7FDA">
        <w:rPr>
          <w:rFonts w:eastAsia="Times New Roman" w:cs="Times New Roman"/>
          <w:lang w:eastAsia="en-AU"/>
        </w:rPr>
        <w:t>affect</w:t>
      </w:r>
      <w:r w:rsidR="00E15A65">
        <w:rPr>
          <w:rFonts w:eastAsia="Times New Roman" w:cs="Times New Roman"/>
          <w:lang w:eastAsia="en-AU"/>
        </w:rPr>
        <w:t xml:space="preserve"> traffic congestion</w:t>
      </w:r>
      <w:r w:rsidR="0074176E" w:rsidRPr="002C734F">
        <w:rPr>
          <w:rFonts w:eastAsia="Times New Roman" w:cs="Times New Roman"/>
          <w:lang w:eastAsia="en-AU"/>
        </w:rPr>
        <w:t xml:space="preserve">.  </w:t>
      </w:r>
    </w:p>
    <w:p w14:paraId="10DEF4D0" w14:textId="77777777" w:rsidR="00A56782" w:rsidRDefault="00A56782" w:rsidP="00B268B7">
      <w:pPr>
        <w:spacing w:after="0"/>
        <w:rPr>
          <w:rFonts w:eastAsia="Times New Roman" w:cs="Times New Roman"/>
          <w:lang w:eastAsia="en-AU"/>
        </w:rPr>
      </w:pPr>
    </w:p>
    <w:p w14:paraId="62A21688" w14:textId="671264BA" w:rsidR="00A5765F" w:rsidRDefault="00566381" w:rsidP="00B268B7">
      <w:pPr>
        <w:spacing w:after="0"/>
        <w:rPr>
          <w:rFonts w:eastAsia="Times New Roman" w:cs="Times New Roman"/>
          <w:lang w:eastAsia="en-AU"/>
        </w:rPr>
      </w:pPr>
      <w:r>
        <w:rPr>
          <w:rFonts w:eastAsia="Times New Roman" w:cs="Times New Roman"/>
          <w:lang w:eastAsia="en-AU"/>
        </w:rPr>
        <w:t>Simplistically</w:t>
      </w:r>
      <w:r w:rsidR="003B012C">
        <w:rPr>
          <w:rFonts w:eastAsia="Times New Roman" w:cs="Times New Roman"/>
          <w:lang w:eastAsia="en-AU"/>
        </w:rPr>
        <w:t xml:space="preserve">, </w:t>
      </w:r>
      <w:r w:rsidR="00A5765F">
        <w:rPr>
          <w:rFonts w:eastAsia="Times New Roman" w:cs="Times New Roman"/>
          <w:lang w:eastAsia="en-AU"/>
        </w:rPr>
        <w:t xml:space="preserve">if 2% of the M5 vehicles were trucks, </w:t>
      </w:r>
      <w:r w:rsidR="00BC2A3F">
        <w:rPr>
          <w:rFonts w:eastAsia="Times New Roman" w:cs="Times New Roman"/>
          <w:lang w:eastAsia="en-AU"/>
        </w:rPr>
        <w:t xml:space="preserve">and trucks had passenger car unit equivalents of 6, </w:t>
      </w:r>
      <w:r w:rsidR="00A5765F">
        <w:rPr>
          <w:rFonts w:eastAsia="Times New Roman" w:cs="Times New Roman"/>
          <w:lang w:eastAsia="en-AU"/>
        </w:rPr>
        <w:t>t</w:t>
      </w:r>
      <w:r w:rsidR="003709F0">
        <w:rPr>
          <w:rFonts w:eastAsia="Times New Roman" w:cs="Times New Roman"/>
          <w:lang w:eastAsia="en-AU"/>
        </w:rPr>
        <w:t>hey</w:t>
      </w:r>
      <w:r w:rsidR="00A5765F">
        <w:rPr>
          <w:rFonts w:eastAsia="Times New Roman" w:cs="Times New Roman"/>
          <w:lang w:eastAsia="en-AU"/>
        </w:rPr>
        <w:t xml:space="preserve"> would use </w:t>
      </w:r>
      <w:r w:rsidR="003B012C">
        <w:rPr>
          <w:rFonts w:eastAsia="Times New Roman" w:cs="Times New Roman"/>
          <w:lang w:eastAsia="en-AU"/>
        </w:rPr>
        <w:t xml:space="preserve">at least 12% </w:t>
      </w:r>
      <w:r w:rsidR="00A56782">
        <w:rPr>
          <w:rFonts w:eastAsia="Times New Roman" w:cs="Times New Roman"/>
          <w:lang w:eastAsia="en-AU"/>
        </w:rPr>
        <w:t xml:space="preserve">of </w:t>
      </w:r>
      <w:r w:rsidR="00A5765F">
        <w:rPr>
          <w:rFonts w:eastAsia="Times New Roman" w:cs="Times New Roman"/>
          <w:lang w:eastAsia="en-AU"/>
        </w:rPr>
        <w:t xml:space="preserve">its </w:t>
      </w:r>
      <w:r w:rsidR="00A56782">
        <w:rPr>
          <w:rFonts w:eastAsia="Times New Roman" w:cs="Times New Roman"/>
          <w:lang w:eastAsia="en-AU"/>
        </w:rPr>
        <w:t xml:space="preserve">westbound </w:t>
      </w:r>
      <w:r w:rsidR="00A5765F">
        <w:rPr>
          <w:rFonts w:eastAsia="Times New Roman" w:cs="Times New Roman"/>
          <w:lang w:eastAsia="en-AU"/>
        </w:rPr>
        <w:t xml:space="preserve">tunnel road space.  It is likely they </w:t>
      </w:r>
      <w:r w:rsidR="008C7FDA">
        <w:rPr>
          <w:rFonts w:eastAsia="Times New Roman" w:cs="Times New Roman"/>
          <w:lang w:eastAsia="en-AU"/>
        </w:rPr>
        <w:t xml:space="preserve">would </w:t>
      </w:r>
      <w:r w:rsidR="00A5765F">
        <w:rPr>
          <w:rFonts w:eastAsia="Times New Roman" w:cs="Times New Roman"/>
          <w:lang w:eastAsia="en-AU"/>
        </w:rPr>
        <w:t xml:space="preserve">use more because of </w:t>
      </w:r>
      <w:r w:rsidR="00A56782">
        <w:rPr>
          <w:rFonts w:eastAsia="Times New Roman" w:cs="Times New Roman"/>
          <w:lang w:eastAsia="en-AU"/>
        </w:rPr>
        <w:t xml:space="preserve">dynamic effects such </w:t>
      </w:r>
      <w:r w:rsidR="00A5765F">
        <w:rPr>
          <w:rFonts w:eastAsia="Times New Roman" w:cs="Times New Roman"/>
          <w:lang w:eastAsia="en-AU"/>
        </w:rPr>
        <w:t xml:space="preserve">as </w:t>
      </w:r>
      <w:r w:rsidR="00A56782">
        <w:rPr>
          <w:rFonts w:eastAsia="Times New Roman" w:cs="Times New Roman"/>
          <w:lang w:eastAsia="en-AU"/>
        </w:rPr>
        <w:t>motorists being cautious of driving behind, or alongside trucks</w:t>
      </w:r>
      <w:r w:rsidR="00A5765F">
        <w:rPr>
          <w:rFonts w:eastAsia="Times New Roman" w:cs="Times New Roman"/>
          <w:lang w:eastAsia="en-AU"/>
        </w:rPr>
        <w:t>.  Increase</w:t>
      </w:r>
      <w:r w:rsidR="003709F0">
        <w:rPr>
          <w:rFonts w:eastAsia="Times New Roman" w:cs="Times New Roman"/>
          <w:lang w:eastAsia="en-AU"/>
        </w:rPr>
        <w:t>s in</w:t>
      </w:r>
      <w:r w:rsidR="00A5765F">
        <w:rPr>
          <w:rFonts w:eastAsia="Times New Roman" w:cs="Times New Roman"/>
          <w:lang w:eastAsia="en-AU"/>
        </w:rPr>
        <w:t xml:space="preserve"> truck sizes since the time of the report would also </w:t>
      </w:r>
      <w:r w:rsidR="00BC2A3F">
        <w:rPr>
          <w:rFonts w:eastAsia="Times New Roman" w:cs="Times New Roman"/>
          <w:lang w:eastAsia="en-AU"/>
        </w:rPr>
        <w:t>increase their use of road space</w:t>
      </w:r>
      <w:r w:rsidR="00A5765F">
        <w:rPr>
          <w:rFonts w:eastAsia="Times New Roman" w:cs="Times New Roman"/>
          <w:lang w:eastAsia="en-AU"/>
        </w:rPr>
        <w:t xml:space="preserve">.  </w:t>
      </w:r>
    </w:p>
    <w:p w14:paraId="5FDF0B40" w14:textId="77777777" w:rsidR="004F18E1" w:rsidRDefault="004F18E1" w:rsidP="00B268B7">
      <w:pPr>
        <w:spacing w:after="0"/>
        <w:rPr>
          <w:rFonts w:eastAsia="Times New Roman" w:cs="Times New Roman"/>
          <w:lang w:eastAsia="en-AU"/>
        </w:rPr>
      </w:pPr>
    </w:p>
    <w:p w14:paraId="629B4E36" w14:textId="0368A06C" w:rsidR="00581303" w:rsidRDefault="00581303" w:rsidP="00B268B7">
      <w:pPr>
        <w:spacing w:after="0"/>
        <w:rPr>
          <w:rFonts w:eastAsia="Times New Roman" w:cs="Times New Roman"/>
          <w:lang w:eastAsia="en-AU"/>
        </w:rPr>
      </w:pPr>
      <w:r>
        <w:rPr>
          <w:rFonts w:eastAsia="Times New Roman" w:cs="Times New Roman"/>
          <w:lang w:eastAsia="en-AU"/>
        </w:rPr>
        <w:t xml:space="preserve">Given </w:t>
      </w:r>
      <w:r w:rsidR="0016595D">
        <w:rPr>
          <w:rFonts w:eastAsia="Times New Roman" w:cs="Times New Roman"/>
          <w:lang w:eastAsia="en-AU"/>
        </w:rPr>
        <w:t xml:space="preserve">road </w:t>
      </w:r>
      <w:r>
        <w:rPr>
          <w:rFonts w:eastAsia="Times New Roman" w:cs="Times New Roman"/>
          <w:lang w:eastAsia="en-AU"/>
        </w:rPr>
        <w:t>congestion is non-linear</w:t>
      </w:r>
      <w:r w:rsidR="0016595D">
        <w:rPr>
          <w:rFonts w:eastAsia="Times New Roman" w:cs="Times New Roman"/>
          <w:lang w:eastAsia="en-AU"/>
        </w:rPr>
        <w:t>, 12% use of road-space on a heavily used corridor is likely to very substantially contribute to congestion.</w:t>
      </w:r>
      <w:r w:rsidR="0016595D">
        <w:rPr>
          <w:rStyle w:val="FootnoteReference"/>
          <w:rFonts w:eastAsia="Times New Roman" w:cs="Times New Roman"/>
          <w:lang w:eastAsia="en-AU"/>
        </w:rPr>
        <w:footnoteReference w:id="31"/>
      </w:r>
    </w:p>
    <w:p w14:paraId="34F7ECE8" w14:textId="683FE88D" w:rsidR="00613F48" w:rsidRDefault="00613F48" w:rsidP="00613F48">
      <w:pPr>
        <w:pStyle w:val="Heading4"/>
        <w:rPr>
          <w:rFonts w:eastAsia="Times New Roman"/>
          <w:lang w:eastAsia="en-AU"/>
        </w:rPr>
      </w:pPr>
      <w:r>
        <w:rPr>
          <w:rFonts w:eastAsia="Times New Roman"/>
          <w:lang w:eastAsia="en-AU"/>
        </w:rPr>
        <w:lastRenderedPageBreak/>
        <w:t>4.3.2</w:t>
      </w:r>
      <w:r>
        <w:rPr>
          <w:rFonts w:eastAsia="Times New Roman"/>
          <w:lang w:eastAsia="en-AU"/>
        </w:rPr>
        <w:tab/>
        <w:t xml:space="preserve">Mixed traffic and the </w:t>
      </w:r>
      <w:r w:rsidR="008C7FDA">
        <w:rPr>
          <w:rFonts w:eastAsia="Times New Roman"/>
          <w:lang w:eastAsia="en-AU"/>
        </w:rPr>
        <w:t>‘freight and ports plans’</w:t>
      </w:r>
    </w:p>
    <w:p w14:paraId="73A635B9" w14:textId="77777777" w:rsidR="00613F48" w:rsidRDefault="00613F48" w:rsidP="00613F48">
      <w:pPr>
        <w:spacing w:after="0"/>
        <w:rPr>
          <w:rFonts w:eastAsia="Times New Roman" w:cs="Times New Roman"/>
          <w:lang w:eastAsia="en-AU"/>
        </w:rPr>
      </w:pPr>
      <w:r>
        <w:rPr>
          <w:rFonts w:eastAsia="Times New Roman" w:cs="Times New Roman"/>
          <w:lang w:eastAsia="en-AU"/>
        </w:rPr>
        <w:t xml:space="preserve">Traffic congestion affects port-function capacity, and freight costs, irrespective of its cause.  Trucks get ‘caught in traffic’ whether or not they create traffic jams. </w:t>
      </w:r>
    </w:p>
    <w:p w14:paraId="4A6801E7" w14:textId="77777777" w:rsidR="00613F48" w:rsidRDefault="00613F48" w:rsidP="00613F48">
      <w:pPr>
        <w:spacing w:after="0"/>
        <w:rPr>
          <w:rFonts w:eastAsia="Times New Roman" w:cs="Times New Roman"/>
          <w:lang w:eastAsia="en-AU"/>
        </w:rPr>
      </w:pPr>
    </w:p>
    <w:p w14:paraId="5FEF8535" w14:textId="45A179D8" w:rsidR="00E15A65" w:rsidRDefault="008C7FDA" w:rsidP="00E15A65">
      <w:pPr>
        <w:spacing w:after="0"/>
        <w:rPr>
          <w:rFonts w:eastAsia="Times New Roman" w:cs="Times New Roman"/>
          <w:lang w:eastAsia="en-AU"/>
        </w:rPr>
      </w:pPr>
      <w:r>
        <w:rPr>
          <w:rFonts w:eastAsia="Times New Roman" w:cs="Times New Roman"/>
          <w:lang w:eastAsia="en-AU"/>
        </w:rPr>
        <w:t>R</w:t>
      </w:r>
      <w:r w:rsidR="00A5765F">
        <w:rPr>
          <w:rFonts w:eastAsia="Times New Roman" w:cs="Times New Roman"/>
          <w:lang w:eastAsia="en-AU"/>
        </w:rPr>
        <w:t xml:space="preserve">apid utilisation of road capacity by mixed car-truck traffic and adverse effects of congestion on freight costs were </w:t>
      </w:r>
      <w:r w:rsidR="00A56782">
        <w:rPr>
          <w:rFonts w:eastAsia="Times New Roman" w:cs="Times New Roman"/>
          <w:lang w:eastAsia="en-AU"/>
        </w:rPr>
        <w:t xml:space="preserve">among </w:t>
      </w:r>
      <w:r w:rsidR="0074176E" w:rsidRPr="002C734F">
        <w:rPr>
          <w:rFonts w:eastAsia="Times New Roman" w:cs="Times New Roman"/>
          <w:lang w:eastAsia="en-AU"/>
        </w:rPr>
        <w:t>reason</w:t>
      </w:r>
      <w:r w:rsidR="00A5765F">
        <w:rPr>
          <w:rFonts w:eastAsia="Times New Roman" w:cs="Times New Roman"/>
          <w:lang w:eastAsia="en-AU"/>
        </w:rPr>
        <w:t>s</w:t>
      </w:r>
      <w:r w:rsidR="0074176E" w:rsidRPr="002C734F">
        <w:rPr>
          <w:rFonts w:eastAsia="Times New Roman" w:cs="Times New Roman"/>
          <w:lang w:eastAsia="en-AU"/>
        </w:rPr>
        <w:t xml:space="preserve"> </w:t>
      </w:r>
      <w:r w:rsidR="00871635">
        <w:rPr>
          <w:rFonts w:eastAsia="Times New Roman" w:cs="Times New Roman"/>
          <w:lang w:eastAsia="en-AU"/>
        </w:rPr>
        <w:t xml:space="preserve">the former </w:t>
      </w:r>
      <w:r w:rsidR="0074176E" w:rsidRPr="002C734F">
        <w:rPr>
          <w:rFonts w:eastAsia="Times New Roman" w:cs="Times New Roman"/>
          <w:lang w:eastAsia="en-AU"/>
        </w:rPr>
        <w:t>Infrastructure Australia recommended investigat</w:t>
      </w:r>
      <w:r w:rsidR="00A56782">
        <w:rPr>
          <w:rFonts w:eastAsia="Times New Roman" w:cs="Times New Roman"/>
          <w:lang w:eastAsia="en-AU"/>
        </w:rPr>
        <w:t>ion of</w:t>
      </w:r>
      <w:r w:rsidR="00E15A65">
        <w:rPr>
          <w:rFonts w:eastAsia="Times New Roman" w:cs="Times New Roman"/>
          <w:lang w:eastAsia="en-AU"/>
        </w:rPr>
        <w:t>:</w:t>
      </w:r>
    </w:p>
    <w:p w14:paraId="62AF7387" w14:textId="0C55C785" w:rsidR="00613F48" w:rsidRDefault="00871635" w:rsidP="00E15A65">
      <w:pPr>
        <w:spacing w:after="0"/>
        <w:ind w:left="720"/>
        <w:rPr>
          <w:rFonts w:eastAsia="Times New Roman" w:cs="Times New Roman"/>
          <w:lang w:eastAsia="en-AU"/>
        </w:rPr>
      </w:pPr>
      <w:r w:rsidRPr="00871635">
        <w:rPr>
          <w:i/>
          <w:iCs/>
        </w:rPr>
        <w:t>‘</w:t>
      </w:r>
      <w:proofErr w:type="gramStart"/>
      <w:r w:rsidRPr="00871635">
        <w:rPr>
          <w:i/>
          <w:iCs/>
        </w:rPr>
        <w:t>dedicated</w:t>
      </w:r>
      <w:proofErr w:type="gramEnd"/>
      <w:r w:rsidRPr="00871635">
        <w:rPr>
          <w:i/>
          <w:iCs/>
        </w:rPr>
        <w:t xml:space="preserve"> road freight infrastructure…… between capital city ports and intermodal terminal/freight cluster sites’</w:t>
      </w:r>
      <w:r w:rsidR="0074176E" w:rsidRPr="002C734F">
        <w:rPr>
          <w:rFonts w:eastAsia="Times New Roman" w:cs="Times New Roman"/>
          <w:lang w:eastAsia="en-AU"/>
        </w:rPr>
        <w:t>.</w:t>
      </w:r>
      <w:r w:rsidR="004F18E1">
        <w:rPr>
          <w:rStyle w:val="FootnoteReference"/>
          <w:rFonts w:eastAsia="Times New Roman" w:cs="Times New Roman"/>
          <w:lang w:eastAsia="en-AU"/>
        </w:rPr>
        <w:footnoteReference w:id="32"/>
      </w:r>
    </w:p>
    <w:p w14:paraId="3525C179" w14:textId="77777777" w:rsidR="00613F48" w:rsidRDefault="00613F48" w:rsidP="00B268B7">
      <w:pPr>
        <w:spacing w:after="0"/>
        <w:rPr>
          <w:rFonts w:eastAsia="Times New Roman" w:cs="Times New Roman"/>
          <w:lang w:eastAsia="en-AU"/>
        </w:rPr>
      </w:pPr>
    </w:p>
    <w:p w14:paraId="0C926B02" w14:textId="788D7D06" w:rsidR="0074176E" w:rsidRDefault="00A5765F" w:rsidP="00B268B7">
      <w:pPr>
        <w:spacing w:after="0"/>
      </w:pPr>
      <w:r>
        <w:rPr>
          <w:rFonts w:eastAsia="Times New Roman" w:cs="Times New Roman"/>
          <w:lang w:eastAsia="en-AU"/>
        </w:rPr>
        <w:t>NSW, however, did not explore this option</w:t>
      </w:r>
      <w:r w:rsidR="006449D5">
        <w:rPr>
          <w:rFonts w:eastAsia="Times New Roman" w:cs="Times New Roman"/>
          <w:lang w:eastAsia="en-AU"/>
        </w:rPr>
        <w:t>.   I</w:t>
      </w:r>
      <w:r>
        <w:rPr>
          <w:rFonts w:eastAsia="Times New Roman" w:cs="Times New Roman"/>
          <w:lang w:eastAsia="en-AU"/>
        </w:rPr>
        <w:t>ts policy of requiring mixed traffic-roads persists.</w:t>
      </w:r>
      <w:r w:rsidR="00871635" w:rsidRPr="00871635">
        <w:t xml:space="preserve"> </w:t>
      </w:r>
    </w:p>
    <w:p w14:paraId="1938E313" w14:textId="7A85CB81" w:rsidR="00871635" w:rsidRDefault="00871635" w:rsidP="00B268B7">
      <w:pPr>
        <w:spacing w:after="0"/>
      </w:pPr>
    </w:p>
    <w:p w14:paraId="32E73006" w14:textId="77777777" w:rsidR="00E15A65" w:rsidRDefault="00E15A65" w:rsidP="00E15A65">
      <w:pPr>
        <w:spacing w:after="0"/>
        <w:rPr>
          <w:rFonts w:eastAsia="Times New Roman" w:cs="Times New Roman"/>
          <w:lang w:eastAsia="en-AU"/>
        </w:rPr>
      </w:pPr>
      <w:r>
        <w:rPr>
          <w:rFonts w:eastAsia="Times New Roman" w:cs="Times New Roman"/>
          <w:lang w:eastAsia="en-AU"/>
        </w:rPr>
        <w:t>A 2014 report for the Commonwealth’s Bureau of Infrastructure, Transport and Regional Economics recognised substantial congestion issues, going beyond actual and virtual truck queues at the port precinct, impacting Botany capacity:</w:t>
      </w:r>
    </w:p>
    <w:p w14:paraId="6A2A19D6" w14:textId="77777777" w:rsidR="00E15A65" w:rsidRPr="004113D3" w:rsidRDefault="00E15A65" w:rsidP="00E15A65">
      <w:pPr>
        <w:spacing w:after="0"/>
        <w:ind w:left="720"/>
        <w:rPr>
          <w:rFonts w:eastAsia="Times New Roman" w:cs="Times New Roman"/>
          <w:i/>
          <w:iCs/>
          <w:lang w:eastAsia="en-AU"/>
        </w:rPr>
      </w:pPr>
      <w:r w:rsidRPr="004113D3">
        <w:rPr>
          <w:i/>
          <w:iCs/>
        </w:rPr>
        <w:t>‘The effectiveness and efficiency of the surrounding land infrastructure connections to the port will have a significant bearing on the ultimate throughput capable of being serviced by Port Botany.’</w:t>
      </w:r>
      <w:r>
        <w:rPr>
          <w:rStyle w:val="FootnoteReference"/>
          <w:i/>
          <w:iCs/>
        </w:rPr>
        <w:footnoteReference w:id="33"/>
      </w:r>
    </w:p>
    <w:p w14:paraId="673C4938" w14:textId="77777777" w:rsidR="00E347B6" w:rsidRDefault="00E347B6" w:rsidP="00140F87">
      <w:pPr>
        <w:spacing w:after="0"/>
      </w:pPr>
    </w:p>
    <w:p w14:paraId="35036C31" w14:textId="3C58716B" w:rsidR="00E15A65" w:rsidRDefault="00E15A65" w:rsidP="00B268B7">
      <w:pPr>
        <w:spacing w:after="0"/>
      </w:pPr>
      <w:r>
        <w:t>There is little s</w:t>
      </w:r>
      <w:r w:rsidR="00871635">
        <w:t xml:space="preserve">ubsequent public information on </w:t>
      </w:r>
      <w:r>
        <w:t>the road impacts on Port Botany’s capacity, including on the effects of road improvements and increased background traffic</w:t>
      </w:r>
      <w:r w:rsidR="00871635">
        <w:t>.</w:t>
      </w:r>
    </w:p>
    <w:p w14:paraId="2803E4B3" w14:textId="77777777" w:rsidR="008C7FDA" w:rsidRDefault="008C7FDA" w:rsidP="00B268B7">
      <w:pPr>
        <w:spacing w:after="0"/>
      </w:pPr>
    </w:p>
    <w:p w14:paraId="081FCE0B" w14:textId="0B822482" w:rsidR="004E065B" w:rsidRDefault="00871635" w:rsidP="00B268B7">
      <w:pPr>
        <w:spacing w:after="0"/>
      </w:pPr>
      <w:r>
        <w:t xml:space="preserve">NSW </w:t>
      </w:r>
      <w:r w:rsidR="004E065B">
        <w:t xml:space="preserve">transport </w:t>
      </w:r>
      <w:r w:rsidR="00051BC4">
        <w:t xml:space="preserve">and planning </w:t>
      </w:r>
      <w:r w:rsidR="004E065B">
        <w:t>documents focus very heavily on movement of people with freight apparently an after-thought.</w:t>
      </w:r>
      <w:r w:rsidR="004E065B">
        <w:rPr>
          <w:rStyle w:val="FootnoteReference"/>
        </w:rPr>
        <w:footnoteReference w:id="34"/>
      </w:r>
      <w:r w:rsidR="004E065B">
        <w:t xml:space="preserve">  </w:t>
      </w:r>
    </w:p>
    <w:p w14:paraId="1FD35889" w14:textId="77777777" w:rsidR="004E065B" w:rsidRDefault="004E065B" w:rsidP="00B268B7">
      <w:pPr>
        <w:spacing w:after="0"/>
      </w:pPr>
    </w:p>
    <w:p w14:paraId="564D8A9A" w14:textId="2A037A05" w:rsidR="00E15A65" w:rsidRDefault="004E065B" w:rsidP="00B268B7">
      <w:pPr>
        <w:spacing w:after="0"/>
      </w:pPr>
      <w:r>
        <w:t xml:space="preserve">NSW </w:t>
      </w:r>
      <w:r w:rsidR="00871635">
        <w:t xml:space="preserve">has produced </w:t>
      </w:r>
      <w:r w:rsidR="00353E1B">
        <w:t xml:space="preserve">port and </w:t>
      </w:r>
      <w:r w:rsidR="00871635">
        <w:t>freight ‘</w:t>
      </w:r>
      <w:r w:rsidR="008C7FDA">
        <w:t>plan</w:t>
      </w:r>
      <w:r w:rsidR="00871635">
        <w:t>’</w:t>
      </w:r>
      <w:r w:rsidR="00353E1B">
        <w:t xml:space="preserve"> documents</w:t>
      </w:r>
      <w:r w:rsidR="00051BC4">
        <w:t xml:space="preserve">.  These </w:t>
      </w:r>
      <w:r w:rsidR="00E15A65">
        <w:t xml:space="preserve">have </w:t>
      </w:r>
      <w:r w:rsidR="00353E1B">
        <w:t>assert</w:t>
      </w:r>
      <w:r w:rsidR="00E15A65">
        <w:t>ed</w:t>
      </w:r>
      <w:r w:rsidR="00353E1B">
        <w:t xml:space="preserve"> a rail target of 20% of Botany containers</w:t>
      </w:r>
      <w:r w:rsidR="00051BC4">
        <w:t>, or 28% by 2021</w:t>
      </w:r>
      <w:r w:rsidR="00E15A65">
        <w:t>, presumably because of road traffic concerns.  However, these</w:t>
      </w:r>
      <w:r w:rsidR="00051BC4">
        <w:t xml:space="preserve"> targets have not been met</w:t>
      </w:r>
      <w:r w:rsidR="00353E1B">
        <w:t>.</w:t>
      </w:r>
      <w:r w:rsidR="008C7FDA">
        <w:rPr>
          <w:rStyle w:val="FootnoteReference"/>
        </w:rPr>
        <w:footnoteReference w:id="35"/>
      </w:r>
      <w:r w:rsidR="00353E1B">
        <w:t xml:space="preserve">  </w:t>
      </w:r>
    </w:p>
    <w:p w14:paraId="444062A8" w14:textId="77777777" w:rsidR="00E15A65" w:rsidRDefault="00E15A65" w:rsidP="00B268B7">
      <w:pPr>
        <w:spacing w:after="0"/>
      </w:pPr>
    </w:p>
    <w:p w14:paraId="228EF0A3" w14:textId="77CB1061" w:rsidR="004E065B" w:rsidRDefault="00353E1B" w:rsidP="00B268B7">
      <w:pPr>
        <w:spacing w:after="0"/>
      </w:pPr>
      <w:r>
        <w:t>There are ‘summary business cases’ for various road projects including for the Sydney Gateway to connect Kingsford Smith Airport and Port Botany to the M5 and M4 tunnels.</w:t>
      </w:r>
      <w:r w:rsidR="004E065B" w:rsidRPr="004E065B">
        <w:rPr>
          <w:rStyle w:val="FootnoteReference"/>
        </w:rPr>
        <w:t xml:space="preserve"> </w:t>
      </w:r>
      <w:r w:rsidR="004E065B">
        <w:rPr>
          <w:rStyle w:val="FootnoteReference"/>
        </w:rPr>
        <w:footnoteReference w:id="36"/>
      </w:r>
      <w:r>
        <w:t xml:space="preserve">  </w:t>
      </w:r>
    </w:p>
    <w:p w14:paraId="5813855C" w14:textId="5A2B07FE" w:rsidR="004E065B" w:rsidRDefault="004E065B" w:rsidP="00B268B7">
      <w:pPr>
        <w:spacing w:after="0"/>
      </w:pPr>
      <w:r>
        <w:lastRenderedPageBreak/>
        <w:t>There also are summary assessments of business cases, for example by the new Infrastructure Australia for WestConnex, which include an M5 expansion.  However, these are unreliable.</w:t>
      </w:r>
      <w:r>
        <w:rPr>
          <w:rStyle w:val="FootnoteReference"/>
        </w:rPr>
        <w:footnoteReference w:id="37"/>
      </w:r>
      <w:r w:rsidRPr="004E065B">
        <w:rPr>
          <w:rStyle w:val="FootnoteReference"/>
        </w:rPr>
        <w:t xml:space="preserve"> </w:t>
      </w:r>
    </w:p>
    <w:p w14:paraId="32F645F6" w14:textId="77777777" w:rsidR="004E065B" w:rsidRDefault="004E065B" w:rsidP="00B268B7">
      <w:pPr>
        <w:spacing w:after="0"/>
      </w:pPr>
    </w:p>
    <w:p w14:paraId="1755CEA8" w14:textId="20156C5C" w:rsidR="00AE19A8" w:rsidRDefault="00353E1B" w:rsidP="00B268B7">
      <w:pPr>
        <w:spacing w:after="0"/>
      </w:pPr>
      <w:r>
        <w:t>While the</w:t>
      </w:r>
      <w:r w:rsidR="00051BC4">
        <w:t xml:space="preserve"> many references to </w:t>
      </w:r>
      <w:r>
        <w:t xml:space="preserve">Port Botany </w:t>
      </w:r>
      <w:r w:rsidR="00051BC4">
        <w:t>suggests awareness that road transport remains a critical issue</w:t>
      </w:r>
      <w:r w:rsidR="00B268B7">
        <w:t>,</w:t>
      </w:r>
      <w:r>
        <w:t xml:space="preserve"> none provide</w:t>
      </w:r>
      <w:r w:rsidR="00F34483">
        <w:t>d</w:t>
      </w:r>
      <w:r>
        <w:t xml:space="preserve"> any information or forecast of the effect of trucks on congestion</w:t>
      </w:r>
      <w:r w:rsidR="00B268B7">
        <w:t xml:space="preserve">.  </w:t>
      </w:r>
      <w:r w:rsidR="00F34483">
        <w:t>Nor did they</w:t>
      </w:r>
      <w:r w:rsidR="00B268B7">
        <w:t xml:space="preserve"> provide estimates of </w:t>
      </w:r>
      <w:r>
        <w:t>the effect of congestion on trucking</w:t>
      </w:r>
      <w:r w:rsidR="00051BC4">
        <w:t>, Botany and container freight costs</w:t>
      </w:r>
      <w:r>
        <w:t>. Th</w:t>
      </w:r>
      <w:r w:rsidR="00051BC4">
        <w:t>at these</w:t>
      </w:r>
      <w:r>
        <w:t xml:space="preserve"> documents include vague and ambiguous route plans</w:t>
      </w:r>
      <w:r w:rsidR="006449D5">
        <w:t>,</w:t>
      </w:r>
      <w:r w:rsidR="00051BC4">
        <w:t xml:space="preserve"> with</w:t>
      </w:r>
      <w:r w:rsidR="006449D5">
        <w:t xml:space="preserve">out </w:t>
      </w:r>
      <w:r w:rsidR="00051BC4">
        <w:t>data</w:t>
      </w:r>
      <w:r w:rsidR="006449D5">
        <w:t>,</w:t>
      </w:r>
      <w:r w:rsidR="00051BC4">
        <w:t xml:space="preserve"> suggests they </w:t>
      </w:r>
      <w:r>
        <w:t>aim at promoting rather than contributing to policy</w:t>
      </w:r>
      <w:r w:rsidR="00051BC4">
        <w:t xml:space="preserve">, and </w:t>
      </w:r>
      <w:r w:rsidR="006449D5">
        <w:t xml:space="preserve">at </w:t>
      </w:r>
      <w:r w:rsidR="00051BC4">
        <w:t>assuaging local communities affected by trucks</w:t>
      </w:r>
      <w:r>
        <w:t>.</w:t>
      </w:r>
    </w:p>
    <w:p w14:paraId="70587EFE" w14:textId="77777777" w:rsidR="00B268B7" w:rsidRDefault="00B268B7" w:rsidP="00B268B7">
      <w:pPr>
        <w:spacing w:after="0"/>
      </w:pPr>
    </w:p>
    <w:p w14:paraId="7A16CA4B" w14:textId="78FAC898" w:rsidR="00353E1B" w:rsidRDefault="00AE19A8" w:rsidP="00B268B7">
      <w:pPr>
        <w:spacing w:after="0"/>
      </w:pPr>
      <w:r>
        <w:t xml:space="preserve">Significantly, the </w:t>
      </w:r>
      <w:r w:rsidR="004F18E1">
        <w:t xml:space="preserve">NSW </w:t>
      </w:r>
      <w:r>
        <w:t xml:space="preserve">2013 Ports and Freight Strategy admitted policy – including </w:t>
      </w:r>
      <w:r w:rsidR="003B3D43">
        <w:t>use-</w:t>
      </w:r>
      <w:r>
        <w:t>Botany</w:t>
      </w:r>
      <w:r w:rsidR="00374321">
        <w:t>-</w:t>
      </w:r>
      <w:r w:rsidR="00B268B7">
        <w:t>capacity</w:t>
      </w:r>
      <w:r w:rsidR="00374321">
        <w:t>-</w:t>
      </w:r>
      <w:r w:rsidR="003B3D43">
        <w:t>fir</w:t>
      </w:r>
      <w:r>
        <w:t>st - had been developed in ignorance of the contribution of freight to Sydney-road congestion, and the impact of that congestion on freight.  While it called for identification of relevant costs, the 2018 update did not provide any indication of progress on that front.</w:t>
      </w:r>
      <w:r>
        <w:rPr>
          <w:rStyle w:val="FootnoteReference"/>
        </w:rPr>
        <w:footnoteReference w:id="38"/>
      </w:r>
      <w:r>
        <w:t xml:space="preserve"> </w:t>
      </w:r>
      <w:r w:rsidR="00051BC4">
        <w:t xml:space="preserve"> </w:t>
      </w:r>
    </w:p>
    <w:p w14:paraId="1BBAA2D4" w14:textId="620563DF" w:rsidR="002A7759" w:rsidRDefault="002A7759" w:rsidP="00B268B7">
      <w:pPr>
        <w:spacing w:after="0"/>
      </w:pPr>
    </w:p>
    <w:p w14:paraId="03D55F72" w14:textId="18C54B97" w:rsidR="002A7759" w:rsidRDefault="002A7759" w:rsidP="00B268B7">
      <w:pPr>
        <w:spacing w:after="0"/>
      </w:pPr>
      <w:r>
        <w:t xml:space="preserve">In 2019, a Parliamentary Committee </w:t>
      </w:r>
      <w:r w:rsidR="00F34483">
        <w:t xml:space="preserve">referred to </w:t>
      </w:r>
      <w:r>
        <w:t>the lack of proper information on the topi</w:t>
      </w:r>
      <w:r w:rsidR="00F34483">
        <w:t>c</w:t>
      </w:r>
      <w:r>
        <w:t>:</w:t>
      </w:r>
    </w:p>
    <w:p w14:paraId="548060FB" w14:textId="787E53A9" w:rsidR="002A7759" w:rsidRDefault="002A7759" w:rsidP="002A7759">
      <w:pPr>
        <w:spacing w:after="0"/>
        <w:ind w:left="720"/>
        <w:rPr>
          <w:lang w:eastAsia="en-GB"/>
        </w:rPr>
      </w:pPr>
      <w:r w:rsidRPr="002A7759">
        <w:rPr>
          <w:i/>
          <w:iCs/>
        </w:rPr>
        <w:t xml:space="preserve">‘contradictory evidence </w:t>
      </w:r>
      <w:proofErr w:type="gramStart"/>
      <w:r w:rsidRPr="002A7759">
        <w:rPr>
          <w:i/>
          <w:iCs/>
        </w:rPr>
        <w:t>…..</w:t>
      </w:r>
      <w:proofErr w:type="gramEnd"/>
      <w:r w:rsidRPr="002A7759">
        <w:rPr>
          <w:i/>
          <w:iCs/>
        </w:rPr>
        <w:t xml:space="preserve"> On the one hand, Port of Newcastle argues that a container terminal at Newcastle will decrease pressure on the Sydney transport network and therefore reduce the need for planned infrastructure investments in Sydney. On the other hand, the Government argues that the majority of these transport infrastructure investments in Sydney are not focussed on freight and are mainly about addressing population growth and delivering economic benefits.</w:t>
      </w:r>
      <w:r>
        <w:t>’</w:t>
      </w:r>
      <w:r>
        <w:rPr>
          <w:rStyle w:val="FootnoteReference"/>
        </w:rPr>
        <w:footnoteReference w:id="39"/>
      </w:r>
    </w:p>
    <w:p w14:paraId="1AB980DA" w14:textId="2DD64A8B" w:rsidR="000B0ADD" w:rsidRDefault="000B0ADD" w:rsidP="00E15A65">
      <w:pPr>
        <w:pStyle w:val="Heading3"/>
        <w:rPr>
          <w:rFonts w:eastAsia="Times New Roman"/>
          <w:lang w:eastAsia="en-AU"/>
        </w:rPr>
      </w:pPr>
    </w:p>
    <w:p w14:paraId="5C8F1A50" w14:textId="77777777" w:rsidR="00BF5BE0" w:rsidRDefault="002A7759" w:rsidP="002A7759">
      <w:pPr>
        <w:rPr>
          <w:lang w:eastAsia="en-AU"/>
        </w:rPr>
      </w:pPr>
      <w:r>
        <w:rPr>
          <w:lang w:eastAsia="en-AU"/>
        </w:rPr>
        <w:t>While it is possible to reconcile both sentiments</w:t>
      </w:r>
      <w:r w:rsidR="00BF5BE0">
        <w:rPr>
          <w:lang w:eastAsia="en-AU"/>
        </w:rPr>
        <w:t xml:space="preserve"> – Newcastle’s decreasing of pressure on Sydney’s transport network is unlikely to defer metropolitan ‘infrastructure investments’ – the statement is important for three reasons.  </w:t>
      </w:r>
    </w:p>
    <w:p w14:paraId="5C38CF92" w14:textId="77777777" w:rsidR="00BF5BE0" w:rsidRDefault="00BF5BE0" w:rsidP="002A7759">
      <w:pPr>
        <w:rPr>
          <w:lang w:eastAsia="en-AU"/>
        </w:rPr>
      </w:pPr>
      <w:r>
        <w:rPr>
          <w:lang w:eastAsia="en-AU"/>
        </w:rPr>
        <w:t xml:space="preserve">First it indicates the primary problem is Botany facing, rather than causing, traffic congestion.  </w:t>
      </w:r>
    </w:p>
    <w:p w14:paraId="10F68B2B" w14:textId="0A7FFA78" w:rsidR="002A7759" w:rsidRDefault="00BF5BE0" w:rsidP="002A7759">
      <w:pPr>
        <w:rPr>
          <w:lang w:eastAsia="en-AU"/>
        </w:rPr>
      </w:pPr>
      <w:r>
        <w:rPr>
          <w:lang w:eastAsia="en-AU"/>
        </w:rPr>
        <w:t>Second, it implies the use-Botany-first policy was developed in the absence of data on the issue – or at least data the Government made available to Parliament.</w:t>
      </w:r>
      <w:r w:rsidR="002A7759">
        <w:rPr>
          <w:lang w:eastAsia="en-AU"/>
        </w:rPr>
        <w:t xml:space="preserve"> </w:t>
      </w:r>
    </w:p>
    <w:p w14:paraId="7770C4F9" w14:textId="77777777" w:rsidR="006449D5" w:rsidRDefault="00BF5BE0" w:rsidP="002A7759">
      <w:pPr>
        <w:rPr>
          <w:lang w:eastAsia="en-AU"/>
        </w:rPr>
      </w:pPr>
      <w:r>
        <w:rPr>
          <w:lang w:eastAsia="en-AU"/>
        </w:rPr>
        <w:t>Third, it apparently conflicts with the Court’s finding of ‘</w:t>
      </w:r>
      <w:r w:rsidRPr="004F18E1">
        <w:rPr>
          <w:i/>
          <w:iCs/>
          <w:lang w:eastAsia="en-AU"/>
        </w:rPr>
        <w:t>enormous investment</w:t>
      </w:r>
      <w:r>
        <w:rPr>
          <w:lang w:eastAsia="en-AU"/>
        </w:rPr>
        <w:t xml:space="preserve">’ by the State and Commonwealth to support Botany supply chains since 2013.  </w:t>
      </w:r>
    </w:p>
    <w:p w14:paraId="6AB88CAE" w14:textId="70EAB6B9" w:rsidR="00BF5BE0" w:rsidRPr="002A7759" w:rsidRDefault="00BF5BE0" w:rsidP="002A7759">
      <w:pPr>
        <w:rPr>
          <w:lang w:eastAsia="en-AU"/>
        </w:rPr>
      </w:pPr>
      <w:r>
        <w:rPr>
          <w:lang w:eastAsia="en-AU"/>
        </w:rPr>
        <w:lastRenderedPageBreak/>
        <w:t xml:space="preserve">Instead, the NSW Government told Parliament that at least </w:t>
      </w:r>
      <w:r w:rsidR="004F18E1">
        <w:rPr>
          <w:lang w:eastAsia="en-AU"/>
        </w:rPr>
        <w:t>its</w:t>
      </w:r>
      <w:r>
        <w:rPr>
          <w:lang w:eastAsia="en-AU"/>
        </w:rPr>
        <w:t xml:space="preserve"> transport investments were </w:t>
      </w:r>
      <w:r w:rsidR="007441A3">
        <w:rPr>
          <w:lang w:eastAsia="en-AU"/>
        </w:rPr>
        <w:t xml:space="preserve">mainly </w:t>
      </w:r>
      <w:r>
        <w:rPr>
          <w:lang w:eastAsia="en-AU"/>
        </w:rPr>
        <w:t>for other purposes</w:t>
      </w:r>
      <w:r w:rsidR="007441A3">
        <w:rPr>
          <w:lang w:eastAsia="en-AU"/>
        </w:rPr>
        <w:t xml:space="preserve"> and not even focussed on freight, let alone port freight</w:t>
      </w:r>
      <w:r>
        <w:rPr>
          <w:lang w:eastAsia="en-AU"/>
        </w:rPr>
        <w:t>.</w:t>
      </w:r>
      <w:r>
        <w:rPr>
          <w:rStyle w:val="FootnoteReference"/>
          <w:lang w:eastAsia="en-AU"/>
        </w:rPr>
        <w:footnoteReference w:id="40"/>
      </w:r>
      <w:r>
        <w:rPr>
          <w:lang w:eastAsia="en-AU"/>
        </w:rPr>
        <w:t xml:space="preserve"> </w:t>
      </w:r>
    </w:p>
    <w:p w14:paraId="41BE9432" w14:textId="7F0C6CDE" w:rsidR="00E15A65" w:rsidRDefault="00B1556F" w:rsidP="00E15A65">
      <w:pPr>
        <w:pStyle w:val="Heading3"/>
        <w:rPr>
          <w:rFonts w:eastAsia="Times New Roman"/>
          <w:lang w:eastAsia="en-AU"/>
        </w:rPr>
      </w:pPr>
      <w:bookmarkStart w:id="16" w:name="_Toc79490161"/>
      <w:r>
        <w:rPr>
          <w:rFonts w:eastAsia="Times New Roman"/>
          <w:lang w:eastAsia="en-AU"/>
        </w:rPr>
        <w:t>4.</w:t>
      </w:r>
      <w:r w:rsidR="00E15A65">
        <w:rPr>
          <w:rFonts w:eastAsia="Times New Roman"/>
          <w:lang w:eastAsia="en-AU"/>
        </w:rPr>
        <w:t>4</w:t>
      </w:r>
      <w:r w:rsidR="00E15A65">
        <w:rPr>
          <w:rFonts w:eastAsia="Times New Roman"/>
          <w:lang w:eastAsia="en-AU"/>
        </w:rPr>
        <w:tab/>
        <w:t>Port Botany’s catchment</w:t>
      </w:r>
      <w:bookmarkEnd w:id="16"/>
    </w:p>
    <w:p w14:paraId="4C1CE743" w14:textId="1BC8CBDE" w:rsidR="00A56782" w:rsidRPr="002C734F" w:rsidRDefault="00E15A65" w:rsidP="00B268B7">
      <w:pPr>
        <w:pStyle w:val="Heading4"/>
        <w:spacing w:before="0"/>
        <w:rPr>
          <w:rFonts w:eastAsia="Times New Roman"/>
          <w:lang w:eastAsia="en-AU"/>
        </w:rPr>
      </w:pPr>
      <w:r>
        <w:rPr>
          <w:rFonts w:eastAsia="Times New Roman"/>
          <w:lang w:eastAsia="en-AU"/>
        </w:rPr>
        <w:t>4.4.1</w:t>
      </w:r>
      <w:r w:rsidR="00B1556F">
        <w:rPr>
          <w:rFonts w:eastAsia="Times New Roman"/>
          <w:lang w:eastAsia="en-AU"/>
        </w:rPr>
        <w:tab/>
      </w:r>
      <w:r w:rsidR="00A56782">
        <w:rPr>
          <w:rFonts w:eastAsia="Times New Roman"/>
          <w:lang w:eastAsia="en-AU"/>
        </w:rPr>
        <w:t xml:space="preserve">The </w:t>
      </w:r>
      <w:r w:rsidR="009C3876">
        <w:rPr>
          <w:rFonts w:eastAsia="Times New Roman"/>
          <w:lang w:eastAsia="en-AU"/>
        </w:rPr>
        <w:t xml:space="preserve">80% of cargo within </w:t>
      </w:r>
      <w:r w:rsidR="00A56782">
        <w:rPr>
          <w:rFonts w:eastAsia="Times New Roman"/>
          <w:lang w:eastAsia="en-AU"/>
        </w:rPr>
        <w:t>40km claim</w:t>
      </w:r>
    </w:p>
    <w:p w14:paraId="0E7419E2" w14:textId="36DBDA7B" w:rsidR="00015EC9" w:rsidRDefault="00A5765F" w:rsidP="00B268B7">
      <w:pPr>
        <w:spacing w:after="0"/>
        <w:rPr>
          <w:rFonts w:eastAsia="Times New Roman" w:cs="Times New Roman"/>
          <w:lang w:eastAsia="en-AU"/>
        </w:rPr>
      </w:pPr>
      <w:r>
        <w:rPr>
          <w:rFonts w:eastAsia="Times New Roman" w:cs="Times New Roman"/>
          <w:lang w:eastAsia="en-AU"/>
        </w:rPr>
        <w:t>The Court cited a</w:t>
      </w:r>
      <w:r w:rsidR="0074176E" w:rsidRPr="002C734F">
        <w:rPr>
          <w:rFonts w:eastAsia="Times New Roman" w:cs="Times New Roman"/>
          <w:lang w:eastAsia="en-AU"/>
        </w:rPr>
        <w:t xml:space="preserve"> belief </w:t>
      </w:r>
      <w:r w:rsidR="003709F0">
        <w:rPr>
          <w:rFonts w:eastAsia="Times New Roman" w:cs="Times New Roman"/>
          <w:lang w:eastAsia="en-AU"/>
        </w:rPr>
        <w:t xml:space="preserve">the vast </w:t>
      </w:r>
      <w:r w:rsidR="004F18E1">
        <w:rPr>
          <w:rFonts w:eastAsia="Times New Roman" w:cs="Times New Roman"/>
          <w:lang w:eastAsia="en-AU"/>
        </w:rPr>
        <w:t>bulk</w:t>
      </w:r>
      <w:r w:rsidR="003709F0">
        <w:rPr>
          <w:rFonts w:eastAsia="Times New Roman" w:cs="Times New Roman"/>
          <w:lang w:eastAsia="en-AU"/>
        </w:rPr>
        <w:t xml:space="preserve"> of</w:t>
      </w:r>
      <w:r w:rsidR="0074176E" w:rsidRPr="002C734F">
        <w:rPr>
          <w:rFonts w:eastAsia="Times New Roman" w:cs="Times New Roman"/>
          <w:lang w:eastAsia="en-AU"/>
        </w:rPr>
        <w:t xml:space="preserve"> containers presently </w:t>
      </w:r>
      <w:r w:rsidR="004F18E1">
        <w:rPr>
          <w:rFonts w:eastAsia="Times New Roman" w:cs="Times New Roman"/>
          <w:lang w:eastAsia="en-AU"/>
        </w:rPr>
        <w:t>transiting</w:t>
      </w:r>
      <w:r w:rsidR="0074176E" w:rsidRPr="002C734F">
        <w:rPr>
          <w:rFonts w:eastAsia="Times New Roman" w:cs="Times New Roman"/>
          <w:lang w:eastAsia="en-AU"/>
        </w:rPr>
        <w:t xml:space="preserve"> Botany are destined within 40km of the port.  </w:t>
      </w:r>
      <w:r w:rsidR="00015EC9">
        <w:rPr>
          <w:rFonts w:eastAsia="Times New Roman" w:cs="Times New Roman"/>
          <w:lang w:eastAsia="en-AU"/>
        </w:rPr>
        <w:t>As is the case with the 2% of trucks claim</w:t>
      </w:r>
      <w:r w:rsidR="00282D1C">
        <w:rPr>
          <w:rFonts w:eastAsia="Times New Roman" w:cs="Times New Roman"/>
          <w:lang w:eastAsia="en-AU"/>
        </w:rPr>
        <w:t>,</w:t>
      </w:r>
      <w:r w:rsidR="003709F0">
        <w:rPr>
          <w:rFonts w:eastAsia="Times New Roman" w:cs="Times New Roman"/>
          <w:lang w:eastAsia="en-AU"/>
        </w:rPr>
        <w:t xml:space="preserve"> </w:t>
      </w:r>
      <w:r w:rsidR="004F18E1">
        <w:rPr>
          <w:rFonts w:eastAsia="Times New Roman" w:cs="Times New Roman"/>
          <w:lang w:eastAsia="en-AU"/>
        </w:rPr>
        <w:t>its</w:t>
      </w:r>
      <w:r w:rsidR="00015EC9">
        <w:rPr>
          <w:rFonts w:eastAsia="Times New Roman" w:cs="Times New Roman"/>
          <w:lang w:eastAsia="en-AU"/>
        </w:rPr>
        <w:t xml:space="preserve"> relevance and </w:t>
      </w:r>
      <w:r w:rsidR="00191457">
        <w:rPr>
          <w:rFonts w:eastAsia="Times New Roman" w:cs="Times New Roman"/>
          <w:lang w:eastAsia="en-AU"/>
        </w:rPr>
        <w:t xml:space="preserve">accuracy </w:t>
      </w:r>
      <w:r w:rsidR="004F18E1">
        <w:rPr>
          <w:rFonts w:eastAsia="Times New Roman" w:cs="Times New Roman"/>
          <w:lang w:eastAsia="en-AU"/>
        </w:rPr>
        <w:t>are</w:t>
      </w:r>
      <w:r w:rsidR="00015EC9">
        <w:rPr>
          <w:rFonts w:eastAsia="Times New Roman" w:cs="Times New Roman"/>
          <w:lang w:eastAsia="en-AU"/>
        </w:rPr>
        <w:t xml:space="preserve"> in doubt.</w:t>
      </w:r>
    </w:p>
    <w:p w14:paraId="1B166E9B" w14:textId="013912C4" w:rsidR="00015EC9" w:rsidRDefault="00015EC9" w:rsidP="00B268B7">
      <w:pPr>
        <w:spacing w:after="0"/>
        <w:rPr>
          <w:rFonts w:eastAsia="Times New Roman" w:cs="Times New Roman"/>
          <w:lang w:eastAsia="en-AU"/>
        </w:rPr>
      </w:pPr>
    </w:p>
    <w:p w14:paraId="7BE52FDB" w14:textId="083A5BCB" w:rsidR="00ED13AD" w:rsidRDefault="00ED13AD" w:rsidP="00B268B7">
      <w:pPr>
        <w:spacing w:after="0"/>
        <w:rPr>
          <w:rFonts w:eastAsia="Times New Roman" w:cs="Times New Roman"/>
          <w:lang w:eastAsia="en-AU"/>
        </w:rPr>
      </w:pPr>
      <w:r>
        <w:rPr>
          <w:rFonts w:eastAsia="Times New Roman" w:cs="Times New Roman"/>
          <w:lang w:eastAsia="en-AU"/>
        </w:rPr>
        <w:t xml:space="preserve">Apocryphal stories have early estimates of x% of containers within y% of port distorted by data referring to the </w:t>
      </w:r>
      <w:r w:rsidRPr="002C734F">
        <w:rPr>
          <w:rFonts w:eastAsia="Times New Roman" w:cs="Times New Roman"/>
          <w:lang w:eastAsia="en-AU"/>
        </w:rPr>
        <w:t>location of freight forward</w:t>
      </w:r>
      <w:r>
        <w:rPr>
          <w:rFonts w:eastAsia="Times New Roman" w:cs="Times New Roman"/>
          <w:lang w:eastAsia="en-AU"/>
        </w:rPr>
        <w:t>ers’ administrative</w:t>
      </w:r>
      <w:r w:rsidRPr="002C734F">
        <w:rPr>
          <w:rFonts w:eastAsia="Times New Roman" w:cs="Times New Roman"/>
          <w:lang w:eastAsia="en-AU"/>
        </w:rPr>
        <w:t xml:space="preserve"> offices rather than w</w:t>
      </w:r>
      <w:r>
        <w:rPr>
          <w:rFonts w:eastAsia="Times New Roman" w:cs="Times New Roman"/>
          <w:lang w:eastAsia="en-AU"/>
        </w:rPr>
        <w:t>arehouses etc.</w:t>
      </w:r>
    </w:p>
    <w:p w14:paraId="41E02B73" w14:textId="77777777" w:rsidR="00F10DDE" w:rsidRDefault="00F10DDE" w:rsidP="00B268B7">
      <w:pPr>
        <w:spacing w:after="0"/>
        <w:rPr>
          <w:rFonts w:eastAsia="Times New Roman" w:cs="Times New Roman"/>
          <w:lang w:eastAsia="en-AU"/>
        </w:rPr>
      </w:pPr>
    </w:p>
    <w:p w14:paraId="05D2EF12" w14:textId="1F330090" w:rsidR="006C3997" w:rsidRDefault="00015EC9" w:rsidP="00B268B7">
      <w:pPr>
        <w:spacing w:after="0"/>
      </w:pPr>
      <w:r>
        <w:rPr>
          <w:rFonts w:eastAsia="Times New Roman" w:cs="Times New Roman"/>
          <w:lang w:eastAsia="en-AU"/>
        </w:rPr>
        <w:t xml:space="preserve">Provenance </w:t>
      </w:r>
      <w:r w:rsidR="00ED13AD">
        <w:rPr>
          <w:rFonts w:eastAsia="Times New Roman" w:cs="Times New Roman"/>
          <w:lang w:eastAsia="en-AU"/>
        </w:rPr>
        <w:t xml:space="preserve">of the 80% within 40 km </w:t>
      </w:r>
      <w:r w:rsidR="007846C8">
        <w:rPr>
          <w:rFonts w:eastAsia="Times New Roman" w:cs="Times New Roman"/>
          <w:lang w:eastAsia="en-AU"/>
        </w:rPr>
        <w:t xml:space="preserve">includes </w:t>
      </w:r>
      <w:proofErr w:type="gramStart"/>
      <w:r w:rsidR="007846C8">
        <w:rPr>
          <w:rFonts w:eastAsia="Times New Roman" w:cs="Times New Roman"/>
          <w:lang w:eastAsia="en-AU"/>
        </w:rPr>
        <w:t>a</w:t>
      </w:r>
      <w:proofErr w:type="gramEnd"/>
      <w:r w:rsidR="007846C8">
        <w:rPr>
          <w:rFonts w:eastAsia="Times New Roman" w:cs="Times New Roman"/>
          <w:lang w:eastAsia="en-AU"/>
        </w:rPr>
        <w:t xml:space="preserve"> NSW Freight Infrastructure Advisory Board (2005) submission to the Productivity Commission.  This shows the 40km boundary to be ‘as the crow flies’ rather than by road or by rail.</w:t>
      </w:r>
      <w:r w:rsidR="00DE5B9B">
        <w:rPr>
          <w:rFonts w:eastAsia="Times New Roman" w:cs="Times New Roman"/>
          <w:lang w:eastAsia="en-AU"/>
        </w:rPr>
        <w:t xml:space="preserve">  85% of port containers were </w:t>
      </w:r>
      <w:r w:rsidR="00B7003C">
        <w:rPr>
          <w:rFonts w:eastAsia="Times New Roman" w:cs="Times New Roman"/>
          <w:lang w:eastAsia="en-AU"/>
        </w:rPr>
        <w:t xml:space="preserve">said to be </w:t>
      </w:r>
      <w:r w:rsidR="00DE5B9B">
        <w:rPr>
          <w:rFonts w:eastAsia="Times New Roman" w:cs="Times New Roman"/>
          <w:lang w:eastAsia="en-AU"/>
        </w:rPr>
        <w:t>within this area.</w:t>
      </w:r>
      <w:r w:rsidR="007846C8">
        <w:rPr>
          <w:rFonts w:eastAsia="Times New Roman" w:cs="Times New Roman"/>
          <w:lang w:eastAsia="en-AU"/>
        </w:rPr>
        <w:t xml:space="preserve"> </w:t>
      </w:r>
      <w:r w:rsidR="004F18E1">
        <w:rPr>
          <w:rFonts w:eastAsia="Times New Roman" w:cs="Times New Roman"/>
          <w:lang w:eastAsia="en-AU"/>
        </w:rPr>
        <w:t>It said</w:t>
      </w:r>
      <w:r w:rsidR="006C3997">
        <w:t>:</w:t>
      </w:r>
    </w:p>
    <w:p w14:paraId="27B915E0" w14:textId="0FFA04B3" w:rsidR="006C3997" w:rsidRPr="00597F5B" w:rsidRDefault="006C3997" w:rsidP="00B268B7">
      <w:pPr>
        <w:spacing w:after="0"/>
        <w:ind w:left="720"/>
        <w:rPr>
          <w:rFonts w:eastAsia="Times New Roman" w:cs="Times New Roman"/>
          <w:i/>
          <w:iCs/>
          <w:lang w:eastAsia="en-AU"/>
        </w:rPr>
      </w:pPr>
      <w:r w:rsidRPr="00597F5B">
        <w:rPr>
          <w:i/>
          <w:iCs/>
        </w:rPr>
        <w:t>‘No longer are the industries relevant to Port Botany – warehousing, container storage and handling – concentrated around Botany and Alexandria. New industrial and warehousing activities have fanned out across Sydney, attaching themselves to new arterial roads like the M4, M5 and the soon to be completed M7.’</w:t>
      </w:r>
      <w:r w:rsidR="004F18E1" w:rsidRPr="004F18E1">
        <w:rPr>
          <w:rStyle w:val="FootnoteReference"/>
          <w:rFonts w:eastAsia="Times New Roman" w:cs="Times New Roman"/>
          <w:lang w:eastAsia="en-AU"/>
        </w:rPr>
        <w:t xml:space="preserve"> </w:t>
      </w:r>
      <w:r w:rsidR="004F18E1">
        <w:rPr>
          <w:rStyle w:val="FootnoteReference"/>
          <w:rFonts w:eastAsia="Times New Roman" w:cs="Times New Roman"/>
          <w:lang w:eastAsia="en-AU"/>
        </w:rPr>
        <w:footnoteReference w:id="41"/>
      </w:r>
    </w:p>
    <w:p w14:paraId="593B84B5" w14:textId="73B079F1" w:rsidR="006C3997" w:rsidRDefault="006C3997" w:rsidP="00B268B7">
      <w:pPr>
        <w:spacing w:after="0"/>
      </w:pPr>
    </w:p>
    <w:p w14:paraId="37C8F7EC" w14:textId="041EC54E" w:rsidR="00597F5B" w:rsidRDefault="00597F5B" w:rsidP="00B268B7">
      <w:pPr>
        <w:spacing w:after="0"/>
      </w:pPr>
      <w:r>
        <w:t xml:space="preserve">This was consistent with the Appendix </w:t>
      </w:r>
      <w:r w:rsidR="004E1406">
        <w:t>to the Environmental Impact Statement for the port expansion</w:t>
      </w:r>
      <w:r>
        <w:t xml:space="preserve"> which recognised freight activity is shifting further away from the port:</w:t>
      </w:r>
    </w:p>
    <w:p w14:paraId="33DBE131" w14:textId="428ACC49" w:rsidR="00597F5B" w:rsidRDefault="00597F5B" w:rsidP="00B268B7">
      <w:pPr>
        <w:spacing w:after="0"/>
        <w:ind w:left="720"/>
      </w:pPr>
      <w:r>
        <w:t>‘</w:t>
      </w:r>
      <w:proofErr w:type="gramStart"/>
      <w:r w:rsidRPr="007C2076">
        <w:rPr>
          <w:i/>
          <w:iCs/>
        </w:rPr>
        <w:t>the</w:t>
      </w:r>
      <w:proofErr w:type="gramEnd"/>
      <w:r w:rsidRPr="007C2076">
        <w:rPr>
          <w:i/>
          <w:iCs/>
        </w:rPr>
        <w:t xml:space="preserve"> western and south western areas (including Blacktown, Liverpool and Fairfield) are expected to increase in importance due to new land releases and their proximity to transport improvements such as the Western Sydney Orbital. The proportion of port throughput that travels to/from these outer suburbs is expected to increase from 55% to 65% by 2021.</w:t>
      </w:r>
      <w:r>
        <w:t>’</w:t>
      </w:r>
      <w:r w:rsidR="004E1406">
        <w:rPr>
          <w:rStyle w:val="FootnoteReference"/>
        </w:rPr>
        <w:footnoteReference w:id="42"/>
      </w:r>
    </w:p>
    <w:p w14:paraId="3AB7F234" w14:textId="77777777" w:rsidR="007846C8" w:rsidRDefault="007846C8" w:rsidP="00B268B7">
      <w:pPr>
        <w:spacing w:after="0"/>
        <w:rPr>
          <w:rFonts w:eastAsia="Times New Roman" w:cs="Times New Roman"/>
          <w:lang w:eastAsia="en-AU"/>
        </w:rPr>
      </w:pPr>
    </w:p>
    <w:p w14:paraId="5A7992A8" w14:textId="6E5C5AC2" w:rsidR="00597F5B" w:rsidRDefault="00597F5B" w:rsidP="00B268B7">
      <w:pPr>
        <w:spacing w:after="0"/>
      </w:pPr>
      <w:r>
        <w:t>By 2016, the demographic centre of Sydney was near Parramatta, itself 40km by road from the port and well to the east of the M7.  Given the growth of Sydney, this may move further west.</w:t>
      </w:r>
    </w:p>
    <w:p w14:paraId="633C454B" w14:textId="2E80AFA1" w:rsidR="00806FF8" w:rsidRDefault="00DE5B9B" w:rsidP="00B268B7">
      <w:pPr>
        <w:spacing w:after="0"/>
      </w:pPr>
      <w:r>
        <w:t xml:space="preserve">With that background, continuation of the 80% within </w:t>
      </w:r>
      <w:r w:rsidR="00806FF8">
        <w:t xml:space="preserve">a crow flying </w:t>
      </w:r>
      <w:r>
        <w:t>40km over the past two decades would be surprising.   It would be most surprising into the future.</w:t>
      </w:r>
    </w:p>
    <w:p w14:paraId="2D6A4F40" w14:textId="77777777" w:rsidR="004F18E1" w:rsidRDefault="004F18E1" w:rsidP="00B268B7">
      <w:pPr>
        <w:spacing w:after="0"/>
      </w:pPr>
    </w:p>
    <w:p w14:paraId="43207DAB" w14:textId="09917CB8" w:rsidR="000B0ADD" w:rsidRDefault="000B0ADD" w:rsidP="00B268B7">
      <w:pPr>
        <w:spacing w:after="0"/>
      </w:pPr>
      <w:r>
        <w:t>The Court itself cited information from Transport for NSW that seemingly contradicted the 40km claim</w:t>
      </w:r>
      <w:r w:rsidR="002A7759">
        <w:t>, putting just over half – rather than 80% - of containers in that ring</w:t>
      </w:r>
      <w:r>
        <w:t>:</w:t>
      </w:r>
    </w:p>
    <w:p w14:paraId="19DE878F" w14:textId="2B2D676D" w:rsidR="000B0ADD" w:rsidRDefault="004F18E1" w:rsidP="000B0ADD">
      <w:pPr>
        <w:spacing w:after="0"/>
        <w:ind w:left="720"/>
      </w:pPr>
      <w:r>
        <w:rPr>
          <w:i/>
          <w:iCs/>
        </w:rPr>
        <w:t>‘</w:t>
      </w:r>
      <w:proofErr w:type="gramStart"/>
      <w:r w:rsidR="000B0ADD" w:rsidRPr="000B0ADD">
        <w:rPr>
          <w:i/>
          <w:iCs/>
        </w:rPr>
        <w:t>more</w:t>
      </w:r>
      <w:proofErr w:type="gramEnd"/>
      <w:r w:rsidR="000B0ADD" w:rsidRPr="000B0ADD">
        <w:rPr>
          <w:i/>
          <w:iCs/>
        </w:rPr>
        <w:t xml:space="preserve"> than 57% of containers imported into NSW are delivered to locations with 40 km of Port Botany and around 70% of containers are delivered to locations within 60 km of that port.</w:t>
      </w:r>
      <w:r>
        <w:rPr>
          <w:i/>
          <w:iCs/>
        </w:rPr>
        <w:t>’</w:t>
      </w:r>
      <w:r w:rsidR="000B0ADD">
        <w:rPr>
          <w:rStyle w:val="FootnoteReference"/>
        </w:rPr>
        <w:footnoteReference w:id="43"/>
      </w:r>
    </w:p>
    <w:p w14:paraId="3674A87E" w14:textId="77777777" w:rsidR="002A7759" w:rsidRDefault="002A7759" w:rsidP="00B268B7">
      <w:pPr>
        <w:spacing w:after="0"/>
      </w:pPr>
    </w:p>
    <w:p w14:paraId="14D06690" w14:textId="041322EE" w:rsidR="000B0ADD" w:rsidRDefault="000B0ADD" w:rsidP="00B268B7">
      <w:pPr>
        <w:spacing w:after="0"/>
      </w:pPr>
      <w:r>
        <w:t>The latter distance, 60km</w:t>
      </w:r>
      <w:r w:rsidR="00B540D1">
        <w:t xml:space="preserve"> as the crow flies</w:t>
      </w:r>
      <w:r>
        <w:t>, is half that between Botany and Newcastle.</w:t>
      </w:r>
    </w:p>
    <w:p w14:paraId="3528FA45" w14:textId="67331A31" w:rsidR="00ED13AD" w:rsidRDefault="00ED13AD" w:rsidP="00ED13AD">
      <w:pPr>
        <w:pStyle w:val="Heading4"/>
      </w:pPr>
      <w:r>
        <w:lastRenderedPageBreak/>
        <w:t>4.4.2</w:t>
      </w:r>
      <w:r>
        <w:tab/>
        <w:t>Actual distances and the road network</w:t>
      </w:r>
    </w:p>
    <w:p w14:paraId="0D331CC3" w14:textId="25A4AFC5" w:rsidR="002E7173" w:rsidRDefault="00806FF8" w:rsidP="00B268B7">
      <w:pPr>
        <w:spacing w:after="0"/>
      </w:pPr>
      <w:r>
        <w:t>Actual road distances from Botany vary from how the ‘crow flies’.</w:t>
      </w:r>
      <w:r w:rsidR="00ED13AD" w:rsidRPr="00ED13AD">
        <w:rPr>
          <w:sz w:val="18"/>
          <w:szCs w:val="18"/>
        </w:rPr>
        <w:t xml:space="preserve"> </w:t>
      </w:r>
      <w:r w:rsidR="00ED13AD" w:rsidRPr="00ED13AD">
        <w:t>For example, as the crow flies Campbelltown and Horsley Park are within 40km of the port but more than 50km by road</w:t>
      </w:r>
      <w:r w:rsidR="00ED13AD">
        <w:t>.</w:t>
      </w:r>
      <w:r w:rsidR="00ED13AD">
        <w:rPr>
          <w:rStyle w:val="FootnoteReference"/>
        </w:rPr>
        <w:t xml:space="preserve"> </w:t>
      </w:r>
      <w:r w:rsidR="00393C96">
        <w:rPr>
          <w:rStyle w:val="FootnoteReference"/>
        </w:rPr>
        <w:footnoteReference w:id="44"/>
      </w:r>
    </w:p>
    <w:p w14:paraId="6BE1E5E2" w14:textId="40B2249B" w:rsidR="001E5789" w:rsidRDefault="00806FF8" w:rsidP="00B268B7">
      <w:pPr>
        <w:spacing w:after="0"/>
      </w:pPr>
      <w:r>
        <w:t xml:space="preserve">  </w:t>
      </w:r>
    </w:p>
    <w:p w14:paraId="230BE3E1" w14:textId="77777777" w:rsidR="00F10DDE" w:rsidRDefault="002E7173" w:rsidP="00B268B7">
      <w:pPr>
        <w:spacing w:after="0"/>
      </w:pPr>
      <w:r>
        <w:t xml:space="preserve">There is </w:t>
      </w:r>
      <w:r w:rsidR="00806FF8">
        <w:t xml:space="preserve">a conspicuous gap in </w:t>
      </w:r>
      <w:r w:rsidR="00E12982">
        <w:t xml:space="preserve">the NSW (and national) freight and ports strategy’s </w:t>
      </w:r>
      <w:r>
        <w:t xml:space="preserve">key </w:t>
      </w:r>
      <w:r w:rsidR="00806FF8">
        <w:t>freight</w:t>
      </w:r>
      <w:r>
        <w:t xml:space="preserve"> routes.  </w:t>
      </w:r>
    </w:p>
    <w:p w14:paraId="718D34AF" w14:textId="77777777" w:rsidR="00C34441" w:rsidRDefault="00C34441" w:rsidP="00B268B7">
      <w:pPr>
        <w:spacing w:after="0"/>
      </w:pPr>
    </w:p>
    <w:p w14:paraId="3D9FB50C" w14:textId="52390BF9" w:rsidR="00806FF8" w:rsidRPr="001E5789" w:rsidRDefault="00E12982" w:rsidP="00B268B7">
      <w:pPr>
        <w:spacing w:after="0"/>
      </w:pPr>
      <w:r>
        <w:t xml:space="preserve">A 20km arterial road segment </w:t>
      </w:r>
      <w:r w:rsidR="002E7173">
        <w:t>between Botany and the Pacific Motorway</w:t>
      </w:r>
      <w:r>
        <w:t xml:space="preserve"> – from </w:t>
      </w:r>
      <w:r w:rsidR="001E5789">
        <w:t>the M4 at S</w:t>
      </w:r>
      <w:r w:rsidR="00806FF8">
        <w:t xml:space="preserve">trathfield </w:t>
      </w:r>
      <w:r>
        <w:t xml:space="preserve">to </w:t>
      </w:r>
      <w:r w:rsidR="00806FF8">
        <w:t xml:space="preserve">the </w:t>
      </w:r>
      <w:r w:rsidR="001E5789">
        <w:t xml:space="preserve">M2 </w:t>
      </w:r>
      <w:r>
        <w:t xml:space="preserve">- is excluded.  Even after WestConnex and the Sydney Gateway are completed, this gap will remain.  The designated freight route adds an extra </w:t>
      </w:r>
      <w:r w:rsidR="001E5789">
        <w:t>40km</w:t>
      </w:r>
      <w:r>
        <w:t xml:space="preserve"> </w:t>
      </w:r>
      <w:r w:rsidR="00A93484">
        <w:t xml:space="preserve">– and an extra $72 - </w:t>
      </w:r>
      <w:r>
        <w:t>to trips</w:t>
      </w:r>
      <w:r w:rsidR="001E5789">
        <w:t xml:space="preserve"> between Newcastle and Port Botany.</w:t>
      </w:r>
      <w:r w:rsidR="001E5789">
        <w:rPr>
          <w:rStyle w:val="FootnoteReference"/>
        </w:rPr>
        <w:footnoteReference w:id="45"/>
      </w:r>
      <w:r w:rsidR="001E5789">
        <w:t xml:space="preserve">  </w:t>
      </w:r>
      <w:r w:rsidR="00806FF8">
        <w:rPr>
          <w:rFonts w:eastAsia="Times New Roman" w:cs="Times New Roman"/>
          <w:lang w:eastAsia="en-AU"/>
        </w:rPr>
        <w:t xml:space="preserve"> </w:t>
      </w:r>
      <w:r>
        <w:rPr>
          <w:rFonts w:eastAsia="Times New Roman" w:cs="Times New Roman"/>
          <w:lang w:eastAsia="en-AU"/>
        </w:rPr>
        <w:t xml:space="preserve"> </w:t>
      </w:r>
    </w:p>
    <w:p w14:paraId="7156099A" w14:textId="77777777" w:rsidR="00806FF8" w:rsidRDefault="00806FF8" w:rsidP="00B268B7">
      <w:pPr>
        <w:spacing w:after="0"/>
        <w:rPr>
          <w:rFonts w:eastAsia="Times New Roman" w:cs="Times New Roman"/>
          <w:lang w:eastAsia="en-AU"/>
        </w:rPr>
      </w:pPr>
    </w:p>
    <w:p w14:paraId="7C8D135A" w14:textId="5C89CD1A" w:rsidR="00AE19A8" w:rsidRDefault="00ED13AD" w:rsidP="00B268B7">
      <w:pPr>
        <w:spacing w:after="0"/>
      </w:pPr>
      <w:r>
        <w:t xml:space="preserve">These factors undermine the </w:t>
      </w:r>
      <w:r w:rsidR="00FB01C0">
        <w:t xml:space="preserve">analytical </w:t>
      </w:r>
      <w:r w:rsidR="00B52C84">
        <w:t>utility</w:t>
      </w:r>
      <w:r w:rsidR="00FB01C0">
        <w:t xml:space="preserve"> of </w:t>
      </w:r>
      <w:r>
        <w:t>claims such as 80% within 40km.</w:t>
      </w:r>
      <w:r w:rsidR="00FB01C0">
        <w:t xml:space="preserve">  A trip of 40km on congested roads creates higher financial and social costs than </w:t>
      </w:r>
      <w:r w:rsidR="00B52C84">
        <w:t xml:space="preserve">a 40km trip on an uncongested route.  </w:t>
      </w:r>
    </w:p>
    <w:p w14:paraId="0082C5FF" w14:textId="77777777" w:rsidR="00AE19A8" w:rsidRDefault="00AE19A8" w:rsidP="00B268B7">
      <w:pPr>
        <w:spacing w:after="0"/>
      </w:pPr>
    </w:p>
    <w:p w14:paraId="7A5D41E1" w14:textId="323D9017" w:rsidR="00B52C84" w:rsidRDefault="00B52C84" w:rsidP="00B268B7">
      <w:pPr>
        <w:spacing w:after="0"/>
      </w:pPr>
      <w:r>
        <w:t xml:space="preserve">Given competition in the trucking sector, a better proxy </w:t>
      </w:r>
      <w:r w:rsidR="00191457">
        <w:t>of</w:t>
      </w:r>
      <w:r>
        <w:t xml:space="preserve"> implications of distance/time remoteness from port is trucking cost.  The Bureau of Transport etc. Economics put the </w:t>
      </w:r>
      <w:r w:rsidR="00191457">
        <w:t xml:space="preserve">June 2020 </w:t>
      </w:r>
      <w:r>
        <w:t xml:space="preserve">land transport – road – cost per teu in Sydney to be higher than every other port in Australia: $480, around half of all port related costs.  Costs in much smaller cities are substantially less – Adelaide </w:t>
      </w:r>
      <w:r w:rsidR="00191457">
        <w:t xml:space="preserve">by </w:t>
      </w:r>
      <w:r>
        <w:t xml:space="preserve">$100, Perth (Fremantle) </w:t>
      </w:r>
      <w:r w:rsidR="00191457">
        <w:t xml:space="preserve">by </w:t>
      </w:r>
      <w:r>
        <w:t>$60.</w:t>
      </w:r>
      <w:r w:rsidR="00AE19A8">
        <w:rPr>
          <w:rStyle w:val="FootnoteReference"/>
        </w:rPr>
        <w:footnoteReference w:id="46"/>
      </w:r>
      <w:r>
        <w:t xml:space="preserve"> </w:t>
      </w:r>
    </w:p>
    <w:p w14:paraId="7ECD8C62" w14:textId="2E8F7720" w:rsidR="009426C2" w:rsidRDefault="009426C2" w:rsidP="00B268B7">
      <w:pPr>
        <w:spacing w:after="0"/>
      </w:pPr>
    </w:p>
    <w:p w14:paraId="2722688B" w14:textId="42DD99FE" w:rsidR="00806FF8" w:rsidRDefault="009426C2" w:rsidP="00B268B7">
      <w:pPr>
        <w:spacing w:after="0"/>
      </w:pPr>
      <w:r>
        <w:t xml:space="preserve">Since that report, costs of trucking </w:t>
      </w:r>
      <w:r w:rsidR="00806FF8">
        <w:t>between</w:t>
      </w:r>
      <w:r>
        <w:t xml:space="preserve"> Botany </w:t>
      </w:r>
      <w:r w:rsidR="00806FF8">
        <w:t xml:space="preserve">and </w:t>
      </w:r>
      <w:r>
        <w:t>Newcastle have increased by $45.50</w:t>
      </w:r>
      <w:r w:rsidR="00806FF8">
        <w:t xml:space="preserve"> due to tolls on new motorways</w:t>
      </w:r>
      <w:r>
        <w:t>.</w:t>
      </w:r>
      <w:r w:rsidR="005A4170">
        <w:t xml:space="preserve">  There will be additional toll costs once WestConnex is completed.</w:t>
      </w:r>
      <w:r>
        <w:rPr>
          <w:rStyle w:val="FootnoteReference"/>
        </w:rPr>
        <w:footnoteReference w:id="47"/>
      </w:r>
    </w:p>
    <w:p w14:paraId="66281273" w14:textId="2D8E415A" w:rsidR="00553044" w:rsidRDefault="00553044" w:rsidP="00B268B7">
      <w:pPr>
        <w:spacing w:after="0"/>
      </w:pPr>
    </w:p>
    <w:p w14:paraId="456DEA8B" w14:textId="311575F4" w:rsidR="00ED13AD" w:rsidRDefault="00ED13AD" w:rsidP="00ED13AD">
      <w:pPr>
        <w:pStyle w:val="Heading4"/>
      </w:pPr>
      <w:r>
        <w:t>4.4.3</w:t>
      </w:r>
      <w:r>
        <w:tab/>
        <w:t xml:space="preserve">Competition </w:t>
      </w:r>
      <w:r w:rsidR="00F34483">
        <w:t xml:space="preserve">law </w:t>
      </w:r>
      <w:r>
        <w:t>or policy analysis?</w:t>
      </w:r>
    </w:p>
    <w:p w14:paraId="0DDC8F23" w14:textId="2BCFF2A2" w:rsidR="00553044" w:rsidRDefault="00553044" w:rsidP="00B268B7">
      <w:pPr>
        <w:spacing w:after="0"/>
        <w:rPr>
          <w:rFonts w:eastAsia="Times New Roman" w:cs="Times New Roman"/>
          <w:lang w:eastAsia="en-AU"/>
        </w:rPr>
      </w:pPr>
      <w:r>
        <w:rPr>
          <w:rFonts w:eastAsia="Times New Roman" w:cs="Times New Roman"/>
          <w:lang w:eastAsia="en-AU"/>
        </w:rPr>
        <w:t xml:space="preserve">The matter of distances from ports – ‘port catchments’ – received considerable attention from the Court.  The Court preferred specific calculations </w:t>
      </w:r>
      <w:r w:rsidR="00191457">
        <w:rPr>
          <w:rFonts w:eastAsia="Times New Roman" w:cs="Times New Roman"/>
          <w:lang w:eastAsia="en-AU"/>
        </w:rPr>
        <w:t>and assessments by</w:t>
      </w:r>
      <w:r>
        <w:rPr>
          <w:rFonts w:eastAsia="Times New Roman" w:cs="Times New Roman"/>
          <w:lang w:eastAsia="en-AU"/>
        </w:rPr>
        <w:t xml:space="preserve"> ‘experts’ over more general reports such as by Deloitte.  That is understandable in Court processes deciding questions about specific, contemporaneous effects on competition.  </w:t>
      </w:r>
    </w:p>
    <w:p w14:paraId="616BE078" w14:textId="77777777" w:rsidR="00553044" w:rsidRDefault="00553044" w:rsidP="00B268B7">
      <w:pPr>
        <w:spacing w:after="0"/>
        <w:rPr>
          <w:rFonts w:eastAsia="Times New Roman" w:cs="Times New Roman"/>
          <w:lang w:eastAsia="en-AU"/>
        </w:rPr>
      </w:pPr>
    </w:p>
    <w:p w14:paraId="13538001" w14:textId="77777777" w:rsidR="00ED13AD" w:rsidRDefault="00553044" w:rsidP="00B268B7">
      <w:pPr>
        <w:spacing w:after="0"/>
        <w:rPr>
          <w:rFonts w:eastAsia="Times New Roman" w:cs="Times New Roman"/>
          <w:lang w:eastAsia="en-AU"/>
        </w:rPr>
      </w:pPr>
      <w:r>
        <w:rPr>
          <w:rFonts w:eastAsia="Times New Roman" w:cs="Times New Roman"/>
          <w:lang w:eastAsia="en-AU"/>
        </w:rPr>
        <w:t xml:space="preserve">However, such an approach does not translate to policy.  The reason: the location of (dis)assembly areas </w:t>
      </w:r>
      <w:r w:rsidR="0042138C">
        <w:rPr>
          <w:rFonts w:eastAsia="Times New Roman" w:cs="Times New Roman"/>
          <w:lang w:eastAsia="en-AU"/>
        </w:rPr>
        <w:t>reflect</w:t>
      </w:r>
      <w:r>
        <w:rPr>
          <w:rFonts w:eastAsia="Times New Roman" w:cs="Times New Roman"/>
          <w:lang w:eastAsia="en-AU"/>
        </w:rPr>
        <w:t xml:space="preserve"> ports as functions – including precinct sites, land transport distance and ease, and warehousing factors including truck access, land costs and opening/closing hours.  </w:t>
      </w:r>
    </w:p>
    <w:p w14:paraId="2C845798" w14:textId="77777777" w:rsidR="00ED13AD" w:rsidRDefault="00ED13AD" w:rsidP="00B268B7">
      <w:pPr>
        <w:spacing w:after="0"/>
        <w:rPr>
          <w:rFonts w:eastAsia="Times New Roman" w:cs="Times New Roman"/>
          <w:lang w:eastAsia="en-AU"/>
        </w:rPr>
      </w:pPr>
    </w:p>
    <w:p w14:paraId="6CFC5479" w14:textId="6C21268D" w:rsidR="006C26E4" w:rsidRDefault="006C26E4" w:rsidP="00B268B7">
      <w:pPr>
        <w:spacing w:after="0"/>
        <w:rPr>
          <w:rFonts w:eastAsia="Times New Roman" w:cs="Times New Roman"/>
          <w:lang w:eastAsia="en-AU"/>
        </w:rPr>
      </w:pPr>
      <w:r>
        <w:rPr>
          <w:rFonts w:eastAsia="Times New Roman" w:cs="Times New Roman"/>
          <w:lang w:eastAsia="en-AU"/>
        </w:rPr>
        <w:lastRenderedPageBreak/>
        <w:t>As Deloitte point</w:t>
      </w:r>
      <w:r w:rsidR="00282D1C">
        <w:rPr>
          <w:rFonts w:eastAsia="Times New Roman" w:cs="Times New Roman"/>
          <w:lang w:eastAsia="en-AU"/>
        </w:rPr>
        <w:t>ed</w:t>
      </w:r>
      <w:r>
        <w:rPr>
          <w:rFonts w:eastAsia="Times New Roman" w:cs="Times New Roman"/>
          <w:lang w:eastAsia="en-AU"/>
        </w:rPr>
        <w:t xml:space="preserve"> out, aspects in ‘origins/destinations’ of containers include truck staging point</w:t>
      </w:r>
      <w:r w:rsidR="00ED13AD">
        <w:rPr>
          <w:rFonts w:eastAsia="Times New Roman" w:cs="Times New Roman"/>
          <w:lang w:eastAsia="en-AU"/>
        </w:rPr>
        <w:t>s</w:t>
      </w:r>
      <w:r>
        <w:rPr>
          <w:rFonts w:eastAsia="Times New Roman" w:cs="Times New Roman"/>
          <w:lang w:eastAsia="en-AU"/>
        </w:rPr>
        <w:t xml:space="preserve">, location of freight forwarder’s customs clearances, initial deposit of container and unpacking.  </w:t>
      </w:r>
      <w:r w:rsidR="00553044">
        <w:rPr>
          <w:rFonts w:eastAsia="Times New Roman" w:cs="Times New Roman"/>
          <w:lang w:eastAsia="en-AU"/>
        </w:rPr>
        <w:t>In short, (dis)assembly areas are mobile</w:t>
      </w:r>
      <w:r w:rsidR="0024010A">
        <w:rPr>
          <w:rFonts w:eastAsia="Times New Roman" w:cs="Times New Roman"/>
          <w:lang w:eastAsia="en-AU"/>
        </w:rPr>
        <w:t xml:space="preserve"> in the medium term</w:t>
      </w:r>
      <w:r w:rsidR="00553044">
        <w:rPr>
          <w:rFonts w:eastAsia="Times New Roman" w:cs="Times New Roman"/>
          <w:lang w:eastAsia="en-AU"/>
        </w:rPr>
        <w:t>.</w:t>
      </w:r>
      <w:r>
        <w:rPr>
          <w:rStyle w:val="FootnoteReference"/>
          <w:rFonts w:eastAsia="Times New Roman" w:cs="Times New Roman"/>
          <w:lang w:eastAsia="en-AU"/>
        </w:rPr>
        <w:footnoteReference w:id="48"/>
      </w:r>
      <w:r w:rsidR="00553044">
        <w:rPr>
          <w:rFonts w:eastAsia="Times New Roman" w:cs="Times New Roman"/>
          <w:lang w:eastAsia="en-AU"/>
        </w:rPr>
        <w:t xml:space="preserve">  </w:t>
      </w:r>
    </w:p>
    <w:p w14:paraId="1C98E455" w14:textId="77777777" w:rsidR="006C26E4" w:rsidRDefault="006C26E4" w:rsidP="00B268B7">
      <w:pPr>
        <w:spacing w:after="0"/>
        <w:rPr>
          <w:rFonts w:eastAsia="Times New Roman" w:cs="Times New Roman"/>
          <w:lang w:eastAsia="en-AU"/>
        </w:rPr>
      </w:pPr>
    </w:p>
    <w:p w14:paraId="028F42A0" w14:textId="09B1B29C" w:rsidR="00553044" w:rsidRDefault="00553044" w:rsidP="00B268B7">
      <w:pPr>
        <w:spacing w:after="0"/>
        <w:rPr>
          <w:rFonts w:eastAsia="Times New Roman" w:cs="Times New Roman"/>
          <w:lang w:eastAsia="en-AU"/>
        </w:rPr>
      </w:pPr>
      <w:r>
        <w:rPr>
          <w:rFonts w:eastAsia="Times New Roman" w:cs="Times New Roman"/>
          <w:lang w:eastAsia="en-AU"/>
        </w:rPr>
        <w:t xml:space="preserve">For policy and strategic planning, generalisations – such as made by Deloitte – are necessary.  </w:t>
      </w:r>
      <w:r w:rsidR="0024010A">
        <w:rPr>
          <w:rFonts w:eastAsia="Times New Roman" w:cs="Times New Roman"/>
          <w:lang w:eastAsia="en-AU"/>
        </w:rPr>
        <w:t>Hence</w:t>
      </w:r>
      <w:r w:rsidR="00191457">
        <w:rPr>
          <w:rFonts w:eastAsia="Times New Roman" w:cs="Times New Roman"/>
          <w:lang w:eastAsia="en-AU"/>
        </w:rPr>
        <w:t>,</w:t>
      </w:r>
      <w:r>
        <w:rPr>
          <w:rFonts w:eastAsia="Times New Roman" w:cs="Times New Roman"/>
          <w:lang w:eastAsia="en-AU"/>
        </w:rPr>
        <w:t xml:space="preserve"> it would be premature to conclude the Court ‘experts’ made a convincing case that current policy is correct and sustainable. </w:t>
      </w:r>
    </w:p>
    <w:p w14:paraId="4F3B63A3" w14:textId="5E922181" w:rsidR="00D0693D" w:rsidRDefault="00D0693D" w:rsidP="00B268B7">
      <w:pPr>
        <w:spacing w:after="0"/>
        <w:rPr>
          <w:lang w:eastAsia="en-AU"/>
        </w:rPr>
      </w:pPr>
    </w:p>
    <w:p w14:paraId="69939F69" w14:textId="2CEB0AA1" w:rsidR="000129A3" w:rsidRDefault="00553044" w:rsidP="00B268B7">
      <w:pPr>
        <w:spacing w:after="0"/>
        <w:rPr>
          <w:rFonts w:eastAsia="Times New Roman" w:cs="Times New Roman"/>
          <w:lang w:eastAsia="en-AU"/>
        </w:rPr>
      </w:pPr>
      <w:r>
        <w:rPr>
          <w:rFonts w:eastAsia="Times New Roman" w:cs="Times New Roman"/>
          <w:lang w:eastAsia="en-AU"/>
        </w:rPr>
        <w:t>Once circularity – cargo through Botany is moved near Botany – is ignored, the policy question re Newcastle is</w:t>
      </w:r>
      <w:r w:rsidR="00282D1C">
        <w:rPr>
          <w:rFonts w:eastAsia="Times New Roman" w:cs="Times New Roman"/>
          <w:lang w:eastAsia="en-AU"/>
        </w:rPr>
        <w:t xml:space="preserve"> seen as</w:t>
      </w:r>
      <w:r>
        <w:rPr>
          <w:rFonts w:eastAsia="Times New Roman" w:cs="Times New Roman"/>
          <w:lang w:eastAsia="en-AU"/>
        </w:rPr>
        <w:t xml:space="preserve">: can cargo move through </w:t>
      </w:r>
      <w:r w:rsidR="0024010A">
        <w:rPr>
          <w:rFonts w:eastAsia="Times New Roman" w:cs="Times New Roman"/>
          <w:lang w:eastAsia="en-AU"/>
        </w:rPr>
        <w:t xml:space="preserve">lower cost </w:t>
      </w:r>
      <w:r>
        <w:rPr>
          <w:rFonts w:eastAsia="Times New Roman" w:cs="Times New Roman"/>
          <w:lang w:eastAsia="en-AU"/>
        </w:rPr>
        <w:t xml:space="preserve">pathways </w:t>
      </w:r>
      <w:r w:rsidR="00282D1C">
        <w:rPr>
          <w:rFonts w:eastAsia="Times New Roman" w:cs="Times New Roman"/>
          <w:lang w:eastAsia="en-AU"/>
        </w:rPr>
        <w:t>via</w:t>
      </w:r>
      <w:r>
        <w:rPr>
          <w:rFonts w:eastAsia="Times New Roman" w:cs="Times New Roman"/>
          <w:lang w:eastAsia="en-AU"/>
        </w:rPr>
        <w:t xml:space="preserve"> Newcastle than </w:t>
      </w:r>
      <w:r w:rsidR="00282D1C">
        <w:rPr>
          <w:rFonts w:eastAsia="Times New Roman" w:cs="Times New Roman"/>
          <w:lang w:eastAsia="en-AU"/>
        </w:rPr>
        <w:t>via</w:t>
      </w:r>
      <w:r>
        <w:rPr>
          <w:rFonts w:eastAsia="Times New Roman" w:cs="Times New Roman"/>
          <w:lang w:eastAsia="en-AU"/>
        </w:rPr>
        <w:t xml:space="preserve"> Botany</w:t>
      </w:r>
      <w:r w:rsidR="00282D1C">
        <w:rPr>
          <w:rFonts w:eastAsia="Times New Roman" w:cs="Times New Roman"/>
          <w:lang w:eastAsia="en-AU"/>
        </w:rPr>
        <w:t>?</w:t>
      </w:r>
      <w:r>
        <w:rPr>
          <w:rFonts w:eastAsia="Times New Roman" w:cs="Times New Roman"/>
          <w:lang w:eastAsia="en-AU"/>
        </w:rPr>
        <w:t xml:space="preserve">  </w:t>
      </w:r>
    </w:p>
    <w:p w14:paraId="11BAD42E" w14:textId="77777777" w:rsidR="00282D1C" w:rsidRDefault="00282D1C" w:rsidP="00B268B7">
      <w:pPr>
        <w:spacing w:after="0"/>
        <w:rPr>
          <w:rFonts w:eastAsia="Times New Roman" w:cs="Times New Roman"/>
          <w:lang w:eastAsia="en-AU"/>
        </w:rPr>
      </w:pPr>
    </w:p>
    <w:p w14:paraId="1C99F678" w14:textId="0C168856" w:rsidR="00191457" w:rsidRDefault="00553044" w:rsidP="00B268B7">
      <w:pPr>
        <w:spacing w:after="0"/>
        <w:rPr>
          <w:rFonts w:eastAsia="Times New Roman" w:cs="Times New Roman"/>
          <w:lang w:eastAsia="en-AU"/>
        </w:rPr>
      </w:pPr>
      <w:r>
        <w:rPr>
          <w:rFonts w:eastAsia="Times New Roman" w:cs="Times New Roman"/>
          <w:lang w:eastAsia="en-AU"/>
        </w:rPr>
        <w:t>The issue is not whether containerised goods destined for western Sydney will move through Newcastle, but whether containers for Newcastle should be required to move through Botany.</w:t>
      </w:r>
      <w:r w:rsidR="00191457">
        <w:rPr>
          <w:rFonts w:eastAsia="Times New Roman" w:cs="Times New Roman"/>
          <w:lang w:eastAsia="en-AU"/>
        </w:rPr>
        <w:t xml:space="preserve">  </w:t>
      </w:r>
    </w:p>
    <w:p w14:paraId="2441DEE7" w14:textId="495DF10F" w:rsidR="00EB225F" w:rsidRDefault="00EB225F" w:rsidP="00B268B7">
      <w:pPr>
        <w:spacing w:after="0"/>
        <w:rPr>
          <w:rFonts w:eastAsia="Times New Roman" w:cs="Times New Roman"/>
          <w:lang w:eastAsia="en-AU"/>
        </w:rPr>
      </w:pPr>
    </w:p>
    <w:p w14:paraId="2C6D2030" w14:textId="3B45AC89" w:rsidR="00191457" w:rsidRDefault="00EB225F" w:rsidP="00B268B7">
      <w:pPr>
        <w:spacing w:after="0"/>
        <w:rPr>
          <w:rFonts w:eastAsia="Times New Roman" w:cs="Times New Roman"/>
          <w:lang w:eastAsia="en-AU"/>
        </w:rPr>
      </w:pPr>
      <w:r>
        <w:rPr>
          <w:rFonts w:eastAsia="Times New Roman" w:cs="Times New Roman"/>
          <w:lang w:eastAsia="en-AU"/>
        </w:rPr>
        <w:t>Th</w:t>
      </w:r>
      <w:r w:rsidR="00A8149C">
        <w:rPr>
          <w:rFonts w:eastAsia="Times New Roman" w:cs="Times New Roman"/>
          <w:lang w:eastAsia="en-AU"/>
        </w:rPr>
        <w:t>e</w:t>
      </w:r>
      <w:r>
        <w:rPr>
          <w:rFonts w:eastAsia="Times New Roman" w:cs="Times New Roman"/>
          <w:lang w:eastAsia="en-AU"/>
        </w:rPr>
        <w:t xml:space="preserve"> </w:t>
      </w:r>
      <w:r w:rsidR="0024010A">
        <w:rPr>
          <w:rFonts w:eastAsia="Times New Roman" w:cs="Times New Roman"/>
          <w:lang w:eastAsia="en-AU"/>
        </w:rPr>
        <w:t xml:space="preserve">issues for </w:t>
      </w:r>
      <w:r>
        <w:rPr>
          <w:rFonts w:eastAsia="Times New Roman" w:cs="Times New Roman"/>
          <w:lang w:eastAsia="en-AU"/>
        </w:rPr>
        <w:t>Port Kembla</w:t>
      </w:r>
      <w:r w:rsidR="0024010A">
        <w:rPr>
          <w:rFonts w:eastAsia="Times New Roman" w:cs="Times New Roman"/>
          <w:lang w:eastAsia="en-AU"/>
        </w:rPr>
        <w:t xml:space="preserve"> differ</w:t>
      </w:r>
      <w:r w:rsidR="006C26E4">
        <w:rPr>
          <w:rFonts w:eastAsia="Times New Roman" w:cs="Times New Roman"/>
          <w:lang w:eastAsia="en-AU"/>
        </w:rPr>
        <w:t xml:space="preserve"> from Newcastle</w:t>
      </w:r>
      <w:r w:rsidR="0024010A">
        <w:rPr>
          <w:rFonts w:eastAsia="Times New Roman" w:cs="Times New Roman"/>
          <w:lang w:eastAsia="en-AU"/>
        </w:rPr>
        <w:t xml:space="preserve"> because it</w:t>
      </w:r>
      <w:r>
        <w:rPr>
          <w:rFonts w:eastAsia="Times New Roman" w:cs="Times New Roman"/>
          <w:lang w:eastAsia="en-AU"/>
        </w:rPr>
        <w:t xml:space="preserve"> </w:t>
      </w:r>
      <w:r w:rsidR="00C20EC7">
        <w:rPr>
          <w:rFonts w:eastAsia="Times New Roman" w:cs="Times New Roman"/>
          <w:lang w:eastAsia="en-AU"/>
        </w:rPr>
        <w:t>has a smaller local population and is</w:t>
      </w:r>
      <w:r>
        <w:rPr>
          <w:rFonts w:eastAsia="Times New Roman" w:cs="Times New Roman"/>
          <w:lang w:eastAsia="en-AU"/>
        </w:rPr>
        <w:t xml:space="preserve"> closer to </w:t>
      </w:r>
      <w:r w:rsidR="00C20EC7">
        <w:rPr>
          <w:rFonts w:eastAsia="Times New Roman" w:cs="Times New Roman"/>
          <w:lang w:eastAsia="en-AU"/>
        </w:rPr>
        <w:t xml:space="preserve">south western Sydney.  </w:t>
      </w:r>
      <w:r w:rsidR="006C26E4">
        <w:rPr>
          <w:rFonts w:eastAsia="Times New Roman" w:cs="Times New Roman"/>
          <w:lang w:eastAsia="en-AU"/>
        </w:rPr>
        <w:t xml:space="preserve">Kembla is likely to be an overflow for Sydney containers.  </w:t>
      </w:r>
      <w:r w:rsidR="0024010A">
        <w:rPr>
          <w:rFonts w:eastAsia="Times New Roman" w:cs="Times New Roman"/>
          <w:lang w:eastAsia="en-AU"/>
        </w:rPr>
        <w:t>T</w:t>
      </w:r>
      <w:r w:rsidR="00C20EC7">
        <w:rPr>
          <w:rFonts w:eastAsia="Times New Roman" w:cs="Times New Roman"/>
          <w:lang w:eastAsia="en-AU"/>
        </w:rPr>
        <w:t xml:space="preserve">he principal question </w:t>
      </w:r>
      <w:r w:rsidR="0024010A">
        <w:rPr>
          <w:rFonts w:eastAsia="Times New Roman" w:cs="Times New Roman"/>
          <w:lang w:eastAsia="en-AU"/>
        </w:rPr>
        <w:t xml:space="preserve">there </w:t>
      </w:r>
      <w:r w:rsidR="00C20EC7">
        <w:rPr>
          <w:rFonts w:eastAsia="Times New Roman" w:cs="Times New Roman"/>
          <w:lang w:eastAsia="en-AU"/>
        </w:rPr>
        <w:t xml:space="preserve">is coordination, including of land use and transport routes in the Sydney basin.   The bundled sale of </w:t>
      </w:r>
      <w:r>
        <w:rPr>
          <w:rFonts w:eastAsia="Times New Roman" w:cs="Times New Roman"/>
          <w:lang w:eastAsia="en-AU"/>
        </w:rPr>
        <w:t xml:space="preserve">Botany </w:t>
      </w:r>
      <w:r w:rsidR="00C20EC7">
        <w:rPr>
          <w:rFonts w:eastAsia="Times New Roman" w:cs="Times New Roman"/>
          <w:lang w:eastAsia="en-AU"/>
        </w:rPr>
        <w:t>and Kembla recognised this.</w:t>
      </w:r>
      <w:r w:rsidR="002E7173">
        <w:rPr>
          <w:rStyle w:val="FootnoteReference"/>
          <w:rFonts w:eastAsia="Times New Roman" w:cs="Times New Roman"/>
          <w:lang w:eastAsia="en-AU"/>
        </w:rPr>
        <w:footnoteReference w:id="49"/>
      </w:r>
      <w:r>
        <w:rPr>
          <w:rFonts w:eastAsia="Times New Roman" w:cs="Times New Roman"/>
          <w:lang w:eastAsia="en-AU"/>
        </w:rPr>
        <w:t xml:space="preserve">  </w:t>
      </w:r>
    </w:p>
    <w:p w14:paraId="7AF8C494" w14:textId="542ECBEC" w:rsidR="00AE7FBE" w:rsidRDefault="00AE7FBE" w:rsidP="00B268B7">
      <w:pPr>
        <w:spacing w:after="0"/>
        <w:rPr>
          <w:rFonts w:eastAsia="Times New Roman" w:cs="Times New Roman"/>
          <w:lang w:eastAsia="en-AU"/>
        </w:rPr>
      </w:pPr>
    </w:p>
    <w:p w14:paraId="225201D1" w14:textId="4EE5BEA5" w:rsidR="00AE7FBE" w:rsidRDefault="00AE7FBE" w:rsidP="00B268B7">
      <w:pPr>
        <w:spacing w:after="0"/>
        <w:rPr>
          <w:rFonts w:eastAsia="Times New Roman" w:cs="Times New Roman"/>
          <w:lang w:eastAsia="en-AU"/>
        </w:rPr>
      </w:pPr>
      <w:r>
        <w:rPr>
          <w:rFonts w:eastAsia="Times New Roman" w:cs="Times New Roman"/>
          <w:lang w:eastAsia="en-AU"/>
        </w:rPr>
        <w:t xml:space="preserve">Hence the Court’s inference that Newcastle and Kembla may compete to be the next </w:t>
      </w:r>
      <w:r w:rsidR="00F34483">
        <w:rPr>
          <w:rFonts w:eastAsia="Times New Roman" w:cs="Times New Roman"/>
          <w:lang w:eastAsia="en-AU"/>
        </w:rPr>
        <w:t xml:space="preserve">NSW </w:t>
      </w:r>
      <w:r>
        <w:rPr>
          <w:rFonts w:eastAsia="Times New Roman" w:cs="Times New Roman"/>
          <w:lang w:eastAsia="en-AU"/>
        </w:rPr>
        <w:t xml:space="preserve">container port </w:t>
      </w:r>
      <w:r>
        <w:t xml:space="preserve">misunderstands the </w:t>
      </w:r>
      <w:r w:rsidR="00F34483">
        <w:t xml:space="preserve">potential </w:t>
      </w:r>
      <w:r>
        <w:t>functionalities of those ports.</w:t>
      </w:r>
      <w:r>
        <w:rPr>
          <w:rStyle w:val="FootnoteReference"/>
        </w:rPr>
        <w:footnoteReference w:id="50"/>
      </w:r>
    </w:p>
    <w:p w14:paraId="59A8DE9F" w14:textId="77777777" w:rsidR="00EB225F" w:rsidRDefault="00EB225F" w:rsidP="00B268B7">
      <w:pPr>
        <w:spacing w:after="0"/>
        <w:rPr>
          <w:rFonts w:eastAsia="Times New Roman" w:cs="Times New Roman"/>
          <w:lang w:eastAsia="en-AU"/>
        </w:rPr>
      </w:pPr>
    </w:p>
    <w:p w14:paraId="7F580377" w14:textId="2FCD45CE" w:rsidR="00553044" w:rsidRDefault="006C26E4" w:rsidP="00B268B7">
      <w:pPr>
        <w:spacing w:after="0"/>
        <w:rPr>
          <w:rFonts w:eastAsia="Times New Roman" w:cs="Times New Roman"/>
          <w:lang w:eastAsia="en-AU"/>
        </w:rPr>
      </w:pPr>
      <w:r>
        <w:rPr>
          <w:rFonts w:eastAsia="Times New Roman" w:cs="Times New Roman"/>
          <w:lang w:eastAsia="en-AU"/>
        </w:rPr>
        <w:t>A</w:t>
      </w:r>
      <w:r w:rsidR="00191457">
        <w:rPr>
          <w:rFonts w:eastAsia="Times New Roman" w:cs="Times New Roman"/>
          <w:lang w:eastAsia="en-AU"/>
        </w:rPr>
        <w:t xml:space="preserve">ssessment </w:t>
      </w:r>
      <w:r w:rsidR="00553044">
        <w:rPr>
          <w:rFonts w:eastAsia="Times New Roman" w:cs="Times New Roman"/>
          <w:lang w:eastAsia="en-AU"/>
        </w:rPr>
        <w:t>of policy issue</w:t>
      </w:r>
      <w:r w:rsidR="00C20EC7">
        <w:rPr>
          <w:rFonts w:eastAsia="Times New Roman" w:cs="Times New Roman"/>
          <w:lang w:eastAsia="en-AU"/>
        </w:rPr>
        <w:t>s</w:t>
      </w:r>
      <w:r w:rsidR="00553044">
        <w:rPr>
          <w:rFonts w:eastAsia="Times New Roman" w:cs="Times New Roman"/>
          <w:lang w:eastAsia="en-AU"/>
        </w:rPr>
        <w:t xml:space="preserve"> </w:t>
      </w:r>
      <w:r>
        <w:rPr>
          <w:rFonts w:eastAsia="Times New Roman" w:cs="Times New Roman"/>
          <w:lang w:eastAsia="en-AU"/>
        </w:rPr>
        <w:t xml:space="preserve">should </w:t>
      </w:r>
      <w:r w:rsidR="00191457">
        <w:rPr>
          <w:rFonts w:eastAsia="Times New Roman" w:cs="Times New Roman"/>
          <w:lang w:eastAsia="en-AU"/>
        </w:rPr>
        <w:t xml:space="preserve">have regard to matters raised by Deloitte, and </w:t>
      </w:r>
      <w:r w:rsidR="00553044">
        <w:rPr>
          <w:rFonts w:eastAsia="Times New Roman" w:cs="Times New Roman"/>
          <w:lang w:eastAsia="en-AU"/>
        </w:rPr>
        <w:t xml:space="preserve">include </w:t>
      </w:r>
      <w:r w:rsidR="0024010A">
        <w:rPr>
          <w:rFonts w:eastAsia="Times New Roman" w:cs="Times New Roman"/>
          <w:lang w:eastAsia="en-AU"/>
        </w:rPr>
        <w:t xml:space="preserve">consideration </w:t>
      </w:r>
      <w:r w:rsidR="00553044">
        <w:rPr>
          <w:rFonts w:eastAsia="Times New Roman" w:cs="Times New Roman"/>
          <w:lang w:eastAsia="en-AU"/>
        </w:rPr>
        <w:t xml:space="preserve">of urban traffic, including direction </w:t>
      </w:r>
      <w:r w:rsidR="00191457">
        <w:rPr>
          <w:rFonts w:eastAsia="Times New Roman" w:cs="Times New Roman"/>
          <w:lang w:eastAsia="en-AU"/>
        </w:rPr>
        <w:t xml:space="preserve">of ‘background’ peak </w:t>
      </w:r>
      <w:r w:rsidR="00553044">
        <w:rPr>
          <w:rFonts w:eastAsia="Times New Roman" w:cs="Times New Roman"/>
          <w:lang w:eastAsia="en-AU"/>
        </w:rPr>
        <w:t>flows.</w:t>
      </w:r>
      <w:r w:rsidR="00191457">
        <w:rPr>
          <w:rFonts w:eastAsia="Times New Roman" w:cs="Times New Roman"/>
          <w:lang w:eastAsia="en-AU"/>
        </w:rPr>
        <w:t xml:space="preserve">  If the best that can be said </w:t>
      </w:r>
      <w:r w:rsidR="00C20EC7">
        <w:rPr>
          <w:rFonts w:eastAsia="Times New Roman" w:cs="Times New Roman"/>
          <w:lang w:eastAsia="en-AU"/>
        </w:rPr>
        <w:t xml:space="preserve">for the </w:t>
      </w:r>
      <w:r w:rsidR="0024010A">
        <w:rPr>
          <w:rFonts w:eastAsia="Times New Roman" w:cs="Times New Roman"/>
          <w:lang w:eastAsia="en-AU"/>
        </w:rPr>
        <w:t>NSW</w:t>
      </w:r>
      <w:r w:rsidR="00C20EC7">
        <w:rPr>
          <w:rFonts w:eastAsia="Times New Roman" w:cs="Times New Roman"/>
          <w:lang w:eastAsia="en-AU"/>
        </w:rPr>
        <w:t xml:space="preserve"> policy </w:t>
      </w:r>
      <w:r w:rsidR="00191457">
        <w:rPr>
          <w:rFonts w:eastAsia="Times New Roman" w:cs="Times New Roman"/>
          <w:lang w:eastAsia="en-AU"/>
        </w:rPr>
        <w:t>is that most containers are currently addressed within the inner-middle Sydney basin, the conclusion to be drawn is that policy has not been competently established.</w:t>
      </w:r>
    </w:p>
    <w:p w14:paraId="41A0F03D" w14:textId="562D1AD1" w:rsidR="00EB225F" w:rsidRDefault="00EB225F" w:rsidP="00B268B7">
      <w:pPr>
        <w:spacing w:after="0"/>
        <w:rPr>
          <w:rFonts w:eastAsia="Times New Roman" w:cs="Times New Roman"/>
          <w:lang w:eastAsia="en-AU"/>
        </w:rPr>
      </w:pPr>
    </w:p>
    <w:p w14:paraId="271C2F87" w14:textId="3912A38F" w:rsidR="00553044" w:rsidRDefault="00191457" w:rsidP="00B268B7">
      <w:pPr>
        <w:spacing w:after="0"/>
        <w:rPr>
          <w:lang w:eastAsia="en-AU"/>
        </w:rPr>
      </w:pPr>
      <w:r>
        <w:rPr>
          <w:lang w:eastAsia="en-AU"/>
        </w:rPr>
        <w:t>Given th</w:t>
      </w:r>
      <w:r w:rsidR="0024010A">
        <w:rPr>
          <w:lang w:eastAsia="en-AU"/>
        </w:rPr>
        <w:t>at</w:t>
      </w:r>
      <w:r>
        <w:rPr>
          <w:lang w:eastAsia="en-AU"/>
        </w:rPr>
        <w:t xml:space="preserve"> inherent circularity</w:t>
      </w:r>
      <w:r w:rsidR="006C26E4">
        <w:rPr>
          <w:lang w:eastAsia="en-AU"/>
        </w:rPr>
        <w:t xml:space="preserve"> - of Botany containers going through Botany -</w:t>
      </w:r>
      <w:r>
        <w:rPr>
          <w:lang w:eastAsia="en-AU"/>
        </w:rPr>
        <w:t xml:space="preserve"> the only way in which Newcastle could address the Court’s reasoning would be to sign-up potential container customers.</w:t>
      </w:r>
    </w:p>
    <w:p w14:paraId="72775ED6" w14:textId="77777777" w:rsidR="00362798" w:rsidRDefault="00362798" w:rsidP="00B268B7">
      <w:pPr>
        <w:spacing w:after="0"/>
        <w:rPr>
          <w:lang w:eastAsia="en-AU"/>
        </w:rPr>
      </w:pPr>
    </w:p>
    <w:p w14:paraId="5CD601B2" w14:textId="7DB145E8" w:rsidR="00A56782" w:rsidRDefault="00B1556F" w:rsidP="00ED13AD">
      <w:pPr>
        <w:pStyle w:val="Heading3"/>
        <w:rPr>
          <w:lang w:eastAsia="en-AU"/>
        </w:rPr>
      </w:pPr>
      <w:bookmarkStart w:id="17" w:name="_Toc79490162"/>
      <w:r>
        <w:rPr>
          <w:lang w:eastAsia="en-AU"/>
        </w:rPr>
        <w:t>4.</w:t>
      </w:r>
      <w:r w:rsidR="00ED13AD">
        <w:rPr>
          <w:lang w:eastAsia="en-AU"/>
        </w:rPr>
        <w:t>5</w:t>
      </w:r>
      <w:r>
        <w:rPr>
          <w:lang w:eastAsia="en-AU"/>
        </w:rPr>
        <w:tab/>
      </w:r>
      <w:r w:rsidR="00A56782">
        <w:rPr>
          <w:lang w:eastAsia="en-AU"/>
        </w:rPr>
        <w:t>Infrastructure Australia assessment</w:t>
      </w:r>
      <w:r w:rsidR="0016595D">
        <w:rPr>
          <w:lang w:eastAsia="en-AU"/>
        </w:rPr>
        <w:t>?</w:t>
      </w:r>
      <w:bookmarkEnd w:id="17"/>
    </w:p>
    <w:p w14:paraId="2556A335" w14:textId="16897663" w:rsidR="0016595D" w:rsidRDefault="00A56782" w:rsidP="00B268B7">
      <w:pPr>
        <w:spacing w:after="0"/>
        <w:rPr>
          <w:lang w:eastAsia="en-AU"/>
        </w:rPr>
      </w:pPr>
      <w:r>
        <w:rPr>
          <w:lang w:eastAsia="en-AU"/>
        </w:rPr>
        <w:t xml:space="preserve">The Court </w:t>
      </w:r>
      <w:r w:rsidR="00A5765F">
        <w:rPr>
          <w:lang w:eastAsia="en-AU"/>
        </w:rPr>
        <w:t xml:space="preserve">commented </w:t>
      </w:r>
      <w:r w:rsidR="0016595D">
        <w:rPr>
          <w:lang w:eastAsia="en-AU"/>
        </w:rPr>
        <w:t xml:space="preserve">that the NSW approach to the policy of </w:t>
      </w:r>
      <w:r w:rsidR="003B3D43">
        <w:rPr>
          <w:lang w:eastAsia="en-AU"/>
        </w:rPr>
        <w:t>use-</w:t>
      </w:r>
      <w:r w:rsidR="0016595D">
        <w:rPr>
          <w:lang w:eastAsia="en-AU"/>
        </w:rPr>
        <w:t>Botany</w:t>
      </w:r>
      <w:r w:rsidR="001F7B44">
        <w:rPr>
          <w:lang w:eastAsia="en-AU"/>
        </w:rPr>
        <w:t>-</w:t>
      </w:r>
      <w:r w:rsidR="0016595D">
        <w:rPr>
          <w:lang w:eastAsia="en-AU"/>
        </w:rPr>
        <w:t>capacity</w:t>
      </w:r>
      <w:r w:rsidR="00641572">
        <w:rPr>
          <w:lang w:eastAsia="en-AU"/>
        </w:rPr>
        <w:t>-</w:t>
      </w:r>
      <w:r w:rsidR="0016595D">
        <w:rPr>
          <w:lang w:eastAsia="en-AU"/>
        </w:rPr>
        <w:t>first is similar to the approach used by Infrastructure Australia to approve funding for project proposals</w:t>
      </w:r>
      <w:r w:rsidR="00BC2080">
        <w:rPr>
          <w:lang w:eastAsia="en-AU"/>
        </w:rPr>
        <w:t xml:space="preserve"> – using the example of Maldon-Dombarton</w:t>
      </w:r>
      <w:r w:rsidR="0016595D">
        <w:rPr>
          <w:lang w:eastAsia="en-AU"/>
        </w:rPr>
        <w:t>.</w:t>
      </w:r>
    </w:p>
    <w:p w14:paraId="11D50226" w14:textId="33C02281" w:rsidR="0016595D" w:rsidRDefault="0016595D" w:rsidP="00B268B7">
      <w:pPr>
        <w:spacing w:after="0"/>
        <w:rPr>
          <w:lang w:eastAsia="en-AU"/>
        </w:rPr>
      </w:pPr>
    </w:p>
    <w:p w14:paraId="6CF87944" w14:textId="16C32FBE" w:rsidR="0016595D" w:rsidRDefault="0016595D" w:rsidP="00B268B7">
      <w:pPr>
        <w:spacing w:after="0"/>
        <w:rPr>
          <w:lang w:eastAsia="en-AU"/>
        </w:rPr>
      </w:pPr>
      <w:r>
        <w:rPr>
          <w:lang w:eastAsia="en-AU"/>
        </w:rPr>
        <w:t>Th</w:t>
      </w:r>
      <w:r w:rsidR="006449D5">
        <w:rPr>
          <w:lang w:eastAsia="en-AU"/>
        </w:rPr>
        <w:t>at</w:t>
      </w:r>
      <w:r>
        <w:rPr>
          <w:lang w:eastAsia="en-AU"/>
        </w:rPr>
        <w:t xml:space="preserve"> was misguided.</w:t>
      </w:r>
    </w:p>
    <w:p w14:paraId="33EC4658" w14:textId="77777777" w:rsidR="0016595D" w:rsidRDefault="0016595D" w:rsidP="0016595D">
      <w:pPr>
        <w:spacing w:after="0"/>
        <w:rPr>
          <w:lang w:eastAsia="en-AU"/>
        </w:rPr>
      </w:pPr>
    </w:p>
    <w:p w14:paraId="205B5F9E" w14:textId="54B2EA5F" w:rsidR="0016595D" w:rsidRDefault="0016595D" w:rsidP="0016595D">
      <w:pPr>
        <w:spacing w:after="0"/>
        <w:rPr>
          <w:lang w:eastAsia="en-AU"/>
        </w:rPr>
      </w:pPr>
      <w:r>
        <w:rPr>
          <w:lang w:eastAsia="en-AU"/>
        </w:rPr>
        <w:t xml:space="preserve">Infrastructure Australia does not approve funding, but merely makes recommendations as to whether proposals have merit.  </w:t>
      </w:r>
    </w:p>
    <w:p w14:paraId="6C6FEBBD" w14:textId="00C9DE29" w:rsidR="0016595D" w:rsidRDefault="0016595D" w:rsidP="0016595D">
      <w:pPr>
        <w:spacing w:after="0"/>
        <w:rPr>
          <w:lang w:eastAsia="en-AU"/>
        </w:rPr>
      </w:pPr>
    </w:p>
    <w:p w14:paraId="655B9DC5" w14:textId="4F923002" w:rsidR="0016595D" w:rsidRDefault="0016595D" w:rsidP="0016595D">
      <w:pPr>
        <w:spacing w:after="0"/>
        <w:rPr>
          <w:lang w:eastAsia="en-AU"/>
        </w:rPr>
      </w:pPr>
      <w:r>
        <w:rPr>
          <w:lang w:eastAsia="en-AU"/>
        </w:rPr>
        <w:lastRenderedPageBreak/>
        <w:t xml:space="preserve">Infrastructure Australia’s stated assessment framework </w:t>
      </w:r>
      <w:r w:rsidR="001F7B44">
        <w:rPr>
          <w:lang w:eastAsia="en-AU"/>
        </w:rPr>
        <w:t xml:space="preserve">– for assessing whether proposals should be </w:t>
      </w:r>
      <w:r>
        <w:rPr>
          <w:lang w:eastAsia="en-AU"/>
        </w:rPr>
        <w:t>recommend</w:t>
      </w:r>
      <w:r w:rsidR="001F7B44">
        <w:rPr>
          <w:lang w:eastAsia="en-AU"/>
        </w:rPr>
        <w:t>ed</w:t>
      </w:r>
      <w:r>
        <w:rPr>
          <w:lang w:eastAsia="en-AU"/>
        </w:rPr>
        <w:t xml:space="preserve"> </w:t>
      </w:r>
      <w:r w:rsidR="001F7B44">
        <w:rPr>
          <w:lang w:eastAsia="en-AU"/>
        </w:rPr>
        <w:t xml:space="preserve">- </w:t>
      </w:r>
      <w:r>
        <w:rPr>
          <w:lang w:eastAsia="en-AU"/>
        </w:rPr>
        <w:t xml:space="preserve">involves </w:t>
      </w:r>
      <w:r w:rsidR="001F7B44">
        <w:rPr>
          <w:lang w:eastAsia="en-AU"/>
        </w:rPr>
        <w:t xml:space="preserve">the proponent demonstrating proposals have been developed in </w:t>
      </w:r>
      <w:r>
        <w:rPr>
          <w:lang w:eastAsia="en-AU"/>
        </w:rPr>
        <w:t>four stages: problem identification; options analysis; business case development; post-completion review.</w:t>
      </w:r>
      <w:r w:rsidR="001F7B44">
        <w:rPr>
          <w:rStyle w:val="FootnoteReference"/>
          <w:lang w:eastAsia="en-AU"/>
        </w:rPr>
        <w:footnoteReference w:id="51"/>
      </w:r>
    </w:p>
    <w:p w14:paraId="5B5C8CFB" w14:textId="00E4B964" w:rsidR="0016595D" w:rsidRDefault="0016595D" w:rsidP="0016595D">
      <w:pPr>
        <w:spacing w:after="0"/>
        <w:rPr>
          <w:lang w:eastAsia="en-AU"/>
        </w:rPr>
      </w:pPr>
      <w:r>
        <w:rPr>
          <w:lang w:eastAsia="en-AU"/>
        </w:rPr>
        <w:t xml:space="preserve"> </w:t>
      </w:r>
    </w:p>
    <w:p w14:paraId="4111470B" w14:textId="1FBB8888" w:rsidR="001F7B44" w:rsidRDefault="001F7B44" w:rsidP="0016595D">
      <w:pPr>
        <w:spacing w:after="0"/>
        <w:rPr>
          <w:lang w:eastAsia="en-AU"/>
        </w:rPr>
      </w:pPr>
      <w:r>
        <w:rPr>
          <w:lang w:eastAsia="en-AU"/>
        </w:rPr>
        <w:t xml:space="preserve">In the case of the </w:t>
      </w:r>
      <w:r w:rsidR="003B3D43">
        <w:rPr>
          <w:lang w:eastAsia="en-AU"/>
        </w:rPr>
        <w:t>use-</w:t>
      </w:r>
      <w:r>
        <w:rPr>
          <w:lang w:eastAsia="en-AU"/>
        </w:rPr>
        <w:t>Botany-capacity</w:t>
      </w:r>
      <w:r w:rsidR="00641572">
        <w:rPr>
          <w:lang w:eastAsia="en-AU"/>
        </w:rPr>
        <w:t>-</w:t>
      </w:r>
      <w:r>
        <w:rPr>
          <w:lang w:eastAsia="en-AU"/>
        </w:rPr>
        <w:t xml:space="preserve">first policy, there is </w:t>
      </w:r>
      <w:r w:rsidR="00F10DDE">
        <w:rPr>
          <w:lang w:eastAsia="en-AU"/>
        </w:rPr>
        <w:t>yet to be any</w:t>
      </w:r>
      <w:r>
        <w:rPr>
          <w:lang w:eastAsia="en-AU"/>
        </w:rPr>
        <w:t xml:space="preserve"> demonstration NSW has undertaken any of these stages.  In fact, indications are to the contrary.</w:t>
      </w:r>
    </w:p>
    <w:p w14:paraId="696EAC95" w14:textId="77777777" w:rsidR="001F7B44" w:rsidRDefault="001F7B44" w:rsidP="0016595D">
      <w:pPr>
        <w:spacing w:after="0"/>
        <w:rPr>
          <w:lang w:eastAsia="en-AU"/>
        </w:rPr>
      </w:pPr>
    </w:p>
    <w:p w14:paraId="5E5957DD" w14:textId="1A32688B" w:rsidR="00F10DDE" w:rsidRDefault="00E91039" w:rsidP="00B268B7">
      <w:pPr>
        <w:spacing w:after="0"/>
        <w:rPr>
          <w:lang w:eastAsia="en-AU"/>
        </w:rPr>
      </w:pPr>
      <w:r>
        <w:rPr>
          <w:lang w:eastAsia="en-AU"/>
        </w:rPr>
        <w:t xml:space="preserve">For </w:t>
      </w:r>
      <w:r w:rsidR="001F7B44">
        <w:rPr>
          <w:lang w:eastAsia="en-AU"/>
        </w:rPr>
        <w:t xml:space="preserve">Infrastructure Australia’s framework, it is insufficient to say State development is a problem.  Rather, problems identified by the State in other proposals </w:t>
      </w:r>
      <w:r>
        <w:rPr>
          <w:lang w:eastAsia="en-AU"/>
        </w:rPr>
        <w:t xml:space="preserve">– and by Infrastructure Australia - </w:t>
      </w:r>
      <w:r w:rsidR="001F7B44">
        <w:rPr>
          <w:lang w:eastAsia="en-AU"/>
        </w:rPr>
        <w:t xml:space="preserve">include Sydney traffic congestion along corridors needed </w:t>
      </w:r>
      <w:r w:rsidR="00F10DDE">
        <w:rPr>
          <w:lang w:eastAsia="en-AU"/>
        </w:rPr>
        <w:t>for</w:t>
      </w:r>
      <w:r w:rsidR="001F7B44">
        <w:rPr>
          <w:lang w:eastAsia="en-AU"/>
        </w:rPr>
        <w:t xml:space="preserve"> trucks from Botany.  </w:t>
      </w:r>
    </w:p>
    <w:p w14:paraId="5BAD387A" w14:textId="77777777" w:rsidR="00B540D1" w:rsidRDefault="00B540D1" w:rsidP="00B268B7">
      <w:pPr>
        <w:spacing w:after="0"/>
        <w:rPr>
          <w:lang w:eastAsia="en-AU"/>
        </w:rPr>
      </w:pPr>
    </w:p>
    <w:p w14:paraId="497C4A14" w14:textId="6E4C6DB2" w:rsidR="001F7B44" w:rsidRDefault="00BC2080" w:rsidP="00B268B7">
      <w:pPr>
        <w:spacing w:after="0"/>
        <w:rPr>
          <w:lang w:eastAsia="en-AU"/>
        </w:rPr>
      </w:pPr>
      <w:r>
        <w:rPr>
          <w:lang w:eastAsia="en-AU"/>
        </w:rPr>
        <w:t xml:space="preserve">Sydney has consistently had the highest actual and forecast (2031) congestion costs of all Australian urban areas.  </w:t>
      </w:r>
      <w:r w:rsidR="001F7B44">
        <w:rPr>
          <w:lang w:eastAsia="en-AU"/>
        </w:rPr>
        <w:t xml:space="preserve">In that respect </w:t>
      </w:r>
      <w:r w:rsidR="003B3D43">
        <w:rPr>
          <w:lang w:eastAsia="en-AU"/>
        </w:rPr>
        <w:t>us</w:t>
      </w:r>
      <w:r w:rsidR="00AC4548">
        <w:rPr>
          <w:lang w:eastAsia="en-AU"/>
        </w:rPr>
        <w:t>ing</w:t>
      </w:r>
      <w:r w:rsidR="003B3D43">
        <w:rPr>
          <w:lang w:eastAsia="en-AU"/>
        </w:rPr>
        <w:t>-</w:t>
      </w:r>
      <w:r w:rsidR="001F7B44">
        <w:rPr>
          <w:lang w:eastAsia="en-AU"/>
        </w:rPr>
        <w:t>Botany</w:t>
      </w:r>
      <w:r w:rsidR="00E91039">
        <w:rPr>
          <w:lang w:eastAsia="en-AU"/>
        </w:rPr>
        <w:t>-capacity</w:t>
      </w:r>
      <w:r w:rsidR="00641572">
        <w:rPr>
          <w:lang w:eastAsia="en-AU"/>
        </w:rPr>
        <w:t>-</w:t>
      </w:r>
      <w:r w:rsidR="00E91039">
        <w:rPr>
          <w:lang w:eastAsia="en-AU"/>
        </w:rPr>
        <w:t>first</w:t>
      </w:r>
      <w:r w:rsidR="001F7B44">
        <w:rPr>
          <w:lang w:eastAsia="en-AU"/>
        </w:rPr>
        <w:t xml:space="preserve"> is part of a problem rather than an answer.</w:t>
      </w:r>
      <w:r w:rsidR="001F7B44">
        <w:rPr>
          <w:rStyle w:val="FootnoteReference"/>
          <w:lang w:eastAsia="en-AU"/>
        </w:rPr>
        <w:footnoteReference w:id="52"/>
      </w:r>
    </w:p>
    <w:p w14:paraId="74CDD1A7" w14:textId="13DD3A42" w:rsidR="001F7B44" w:rsidRDefault="001F7B44" w:rsidP="00B268B7">
      <w:pPr>
        <w:spacing w:after="0"/>
        <w:rPr>
          <w:lang w:eastAsia="en-AU"/>
        </w:rPr>
      </w:pPr>
    </w:p>
    <w:p w14:paraId="2910AA5A" w14:textId="69869B99" w:rsidR="001F7B44" w:rsidRDefault="002379AA" w:rsidP="00B268B7">
      <w:pPr>
        <w:spacing w:after="0"/>
        <w:rPr>
          <w:lang w:eastAsia="en-AU"/>
        </w:rPr>
      </w:pPr>
      <w:r>
        <w:rPr>
          <w:lang w:eastAsia="en-AU"/>
        </w:rPr>
        <w:t>There is no</w:t>
      </w:r>
      <w:r w:rsidR="004451D6">
        <w:rPr>
          <w:lang w:eastAsia="en-AU"/>
        </w:rPr>
        <w:t>t any</w:t>
      </w:r>
      <w:r>
        <w:rPr>
          <w:lang w:eastAsia="en-AU"/>
        </w:rPr>
        <w:t xml:space="preserve"> </w:t>
      </w:r>
      <w:r w:rsidR="00044E2C">
        <w:rPr>
          <w:lang w:eastAsia="en-AU"/>
        </w:rPr>
        <w:t>demonstration</w:t>
      </w:r>
      <w:r>
        <w:rPr>
          <w:lang w:eastAsia="en-AU"/>
        </w:rPr>
        <w:t xml:space="preserve"> of identification or assessment of options to deal with whatever problem </w:t>
      </w:r>
      <w:r w:rsidR="003B3D43">
        <w:rPr>
          <w:lang w:eastAsia="en-AU"/>
        </w:rPr>
        <w:t>use-</w:t>
      </w:r>
      <w:r>
        <w:rPr>
          <w:lang w:eastAsia="en-AU"/>
        </w:rPr>
        <w:t>Botany-capacity</w:t>
      </w:r>
      <w:r w:rsidR="00641572">
        <w:rPr>
          <w:lang w:eastAsia="en-AU"/>
        </w:rPr>
        <w:t>-</w:t>
      </w:r>
      <w:r>
        <w:rPr>
          <w:lang w:eastAsia="en-AU"/>
        </w:rPr>
        <w:t>first is supposed to address.  Necessary evidence would include road traffic analysis, and port catchment analysis.  Ideally, it would include general equilibrium</w:t>
      </w:r>
      <w:r w:rsidR="00BC2080">
        <w:rPr>
          <w:lang w:eastAsia="en-AU"/>
        </w:rPr>
        <w:t xml:space="preserve"> </w:t>
      </w:r>
      <w:r>
        <w:rPr>
          <w:lang w:eastAsia="en-AU"/>
        </w:rPr>
        <w:t>modelling of alternatives including container tasks undertaken outside the metropolitan area.</w:t>
      </w:r>
      <w:r>
        <w:rPr>
          <w:rStyle w:val="FootnoteReference"/>
          <w:lang w:eastAsia="en-AU"/>
        </w:rPr>
        <w:footnoteReference w:id="53"/>
      </w:r>
    </w:p>
    <w:p w14:paraId="5DE657F8" w14:textId="77777777" w:rsidR="002379AA" w:rsidRDefault="002379AA" w:rsidP="00B268B7">
      <w:pPr>
        <w:spacing w:after="0"/>
        <w:rPr>
          <w:lang w:eastAsia="en-AU"/>
        </w:rPr>
      </w:pPr>
    </w:p>
    <w:p w14:paraId="439BC959" w14:textId="36A9F5F0" w:rsidR="002379AA" w:rsidRDefault="002379AA" w:rsidP="00B268B7">
      <w:pPr>
        <w:spacing w:after="0"/>
        <w:rPr>
          <w:lang w:eastAsia="en-AU"/>
        </w:rPr>
      </w:pPr>
      <w:r>
        <w:rPr>
          <w:lang w:eastAsia="en-AU"/>
        </w:rPr>
        <w:t>There is no</w:t>
      </w:r>
      <w:r w:rsidR="004451D6">
        <w:rPr>
          <w:lang w:eastAsia="en-AU"/>
        </w:rPr>
        <w:t>t any</w:t>
      </w:r>
      <w:r>
        <w:rPr>
          <w:lang w:eastAsia="en-AU"/>
        </w:rPr>
        <w:t xml:space="preserve"> </w:t>
      </w:r>
      <w:r w:rsidR="00044E2C">
        <w:rPr>
          <w:lang w:eastAsia="en-AU"/>
        </w:rPr>
        <w:t>demonstration</w:t>
      </w:r>
      <w:r>
        <w:rPr>
          <w:lang w:eastAsia="en-AU"/>
        </w:rPr>
        <w:t xml:space="preserve"> of a business case for </w:t>
      </w:r>
      <w:r w:rsidR="00641572">
        <w:rPr>
          <w:lang w:eastAsia="en-AU"/>
        </w:rPr>
        <w:t xml:space="preserve">the </w:t>
      </w:r>
      <w:r w:rsidR="003B3D43">
        <w:rPr>
          <w:lang w:eastAsia="en-AU"/>
        </w:rPr>
        <w:t>use-</w:t>
      </w:r>
      <w:r>
        <w:rPr>
          <w:lang w:eastAsia="en-AU"/>
        </w:rPr>
        <w:t>Botany-capacity-first</w:t>
      </w:r>
      <w:r w:rsidR="00641572">
        <w:rPr>
          <w:lang w:eastAsia="en-AU"/>
        </w:rPr>
        <w:t xml:space="preserve"> policy</w:t>
      </w:r>
      <w:r>
        <w:rPr>
          <w:lang w:eastAsia="en-AU"/>
        </w:rPr>
        <w:t>.  Such a business case would need to identify the economic – including non-financial – costs, and State outlays for infrastructure, including roads.  It would need to demonstrate costs were less than benefits.</w:t>
      </w:r>
    </w:p>
    <w:p w14:paraId="6489C062" w14:textId="7E87E429" w:rsidR="002379AA" w:rsidRDefault="002379AA" w:rsidP="00B268B7">
      <w:pPr>
        <w:spacing w:after="0"/>
        <w:rPr>
          <w:lang w:eastAsia="en-AU"/>
        </w:rPr>
      </w:pPr>
    </w:p>
    <w:p w14:paraId="3E48F666" w14:textId="6322FACE" w:rsidR="002379AA" w:rsidRDefault="002379AA" w:rsidP="00B268B7">
      <w:pPr>
        <w:spacing w:after="0"/>
        <w:rPr>
          <w:lang w:eastAsia="en-AU"/>
        </w:rPr>
      </w:pPr>
      <w:r>
        <w:rPr>
          <w:lang w:eastAsia="en-AU"/>
        </w:rPr>
        <w:t xml:space="preserve">There has </w:t>
      </w:r>
      <w:r w:rsidR="00044E2C">
        <w:rPr>
          <w:lang w:eastAsia="en-AU"/>
        </w:rPr>
        <w:t xml:space="preserve">not </w:t>
      </w:r>
      <w:r>
        <w:rPr>
          <w:lang w:eastAsia="en-AU"/>
        </w:rPr>
        <w:t xml:space="preserve">been </w:t>
      </w:r>
      <w:r w:rsidR="00044E2C">
        <w:rPr>
          <w:lang w:eastAsia="en-AU"/>
        </w:rPr>
        <w:t>any</w:t>
      </w:r>
      <w:r>
        <w:rPr>
          <w:lang w:eastAsia="en-AU"/>
        </w:rPr>
        <w:t xml:space="preserve"> ex-post review of the policy.</w:t>
      </w:r>
    </w:p>
    <w:p w14:paraId="6960FF40" w14:textId="492D2420" w:rsidR="002379AA" w:rsidRDefault="002379AA" w:rsidP="00B268B7">
      <w:pPr>
        <w:spacing w:after="0"/>
        <w:rPr>
          <w:lang w:eastAsia="en-AU"/>
        </w:rPr>
      </w:pPr>
    </w:p>
    <w:p w14:paraId="63CFAC5A" w14:textId="627BE0BA" w:rsidR="002379AA" w:rsidRDefault="00F10DDE" w:rsidP="00B268B7">
      <w:pPr>
        <w:spacing w:after="0"/>
        <w:rPr>
          <w:lang w:eastAsia="en-AU"/>
        </w:rPr>
      </w:pPr>
      <w:r>
        <w:rPr>
          <w:lang w:eastAsia="en-AU"/>
        </w:rPr>
        <w:t xml:space="preserve">Infrastructure Australia’s </w:t>
      </w:r>
      <w:r w:rsidR="002379AA">
        <w:rPr>
          <w:lang w:eastAsia="en-AU"/>
        </w:rPr>
        <w:t xml:space="preserve">assessment framework is conceptually similar to the National Ports Strategy.  At present, </w:t>
      </w:r>
      <w:r w:rsidR="003B3D43">
        <w:rPr>
          <w:lang w:eastAsia="en-AU"/>
        </w:rPr>
        <w:t>a</w:t>
      </w:r>
      <w:r w:rsidR="002379AA">
        <w:rPr>
          <w:lang w:eastAsia="en-AU"/>
        </w:rPr>
        <w:t xml:space="preserve"> </w:t>
      </w:r>
      <w:r w:rsidR="003B3D43">
        <w:rPr>
          <w:lang w:eastAsia="en-AU"/>
        </w:rPr>
        <w:t>use-</w:t>
      </w:r>
      <w:r w:rsidR="002379AA">
        <w:rPr>
          <w:lang w:eastAsia="en-AU"/>
        </w:rPr>
        <w:t>Botany-capacity</w:t>
      </w:r>
      <w:r w:rsidR="00641572">
        <w:rPr>
          <w:lang w:eastAsia="en-AU"/>
        </w:rPr>
        <w:t>-</w:t>
      </w:r>
      <w:r w:rsidR="002379AA">
        <w:rPr>
          <w:lang w:eastAsia="en-AU"/>
        </w:rPr>
        <w:t>first policy would not be accepted under either.</w:t>
      </w:r>
      <w:r w:rsidR="00BC2080">
        <w:rPr>
          <w:rStyle w:val="FootnoteReference"/>
          <w:lang w:eastAsia="en-AU"/>
        </w:rPr>
        <w:footnoteReference w:id="54"/>
      </w:r>
      <w:r w:rsidR="002379AA">
        <w:rPr>
          <w:lang w:eastAsia="en-AU"/>
        </w:rPr>
        <w:t xml:space="preserve"> </w:t>
      </w:r>
    </w:p>
    <w:p w14:paraId="591C78FB" w14:textId="4A882895" w:rsidR="002379AA" w:rsidRDefault="002379AA" w:rsidP="00B268B7">
      <w:pPr>
        <w:spacing w:after="0"/>
        <w:rPr>
          <w:lang w:eastAsia="en-AU"/>
        </w:rPr>
      </w:pPr>
      <w:r>
        <w:rPr>
          <w:lang w:eastAsia="en-AU"/>
        </w:rPr>
        <w:t xml:space="preserve">  </w:t>
      </w:r>
    </w:p>
    <w:p w14:paraId="4A27093D" w14:textId="0AE43961" w:rsidR="00A56782" w:rsidRDefault="00BC2080" w:rsidP="009E7434">
      <w:pPr>
        <w:spacing w:after="0"/>
        <w:rPr>
          <w:lang w:eastAsia="en-AU"/>
        </w:rPr>
      </w:pPr>
      <w:r>
        <w:rPr>
          <w:lang w:eastAsia="en-AU"/>
        </w:rPr>
        <w:t xml:space="preserve">The choice of the </w:t>
      </w:r>
      <w:r w:rsidR="00F10DDE">
        <w:rPr>
          <w:lang w:eastAsia="en-AU"/>
        </w:rPr>
        <w:t>‘</w:t>
      </w:r>
      <w:r w:rsidR="009E7434">
        <w:rPr>
          <w:lang w:eastAsia="en-AU"/>
        </w:rPr>
        <w:t>new</w:t>
      </w:r>
      <w:r w:rsidR="00F10DDE">
        <w:rPr>
          <w:lang w:eastAsia="en-AU"/>
        </w:rPr>
        <w:t>’</w:t>
      </w:r>
      <w:r w:rsidR="009E7434">
        <w:rPr>
          <w:lang w:eastAsia="en-AU"/>
        </w:rPr>
        <w:t xml:space="preserve"> Infrastructure Australia’s </w:t>
      </w:r>
      <w:r>
        <w:rPr>
          <w:lang w:eastAsia="en-AU"/>
        </w:rPr>
        <w:t xml:space="preserve">assessment of Maldon-Dombarton as an attempt to illustrate the merit of the NSW approach to </w:t>
      </w:r>
      <w:r w:rsidR="00044E2C">
        <w:rPr>
          <w:lang w:eastAsia="en-AU"/>
        </w:rPr>
        <w:t xml:space="preserve">the </w:t>
      </w:r>
      <w:r>
        <w:rPr>
          <w:lang w:eastAsia="en-AU"/>
        </w:rPr>
        <w:t xml:space="preserve">policy was particularly inapposite.  </w:t>
      </w:r>
    </w:p>
    <w:p w14:paraId="37A339AE" w14:textId="77777777" w:rsidR="00B1556F" w:rsidRDefault="00B1556F" w:rsidP="00B268B7">
      <w:pPr>
        <w:spacing w:after="0"/>
        <w:rPr>
          <w:lang w:eastAsia="en-AU"/>
        </w:rPr>
      </w:pPr>
    </w:p>
    <w:p w14:paraId="7D92584D" w14:textId="314CD939" w:rsidR="00DB7819" w:rsidRDefault="009E7434" w:rsidP="00B268B7">
      <w:pPr>
        <w:spacing w:after="0"/>
      </w:pPr>
      <w:r>
        <w:rPr>
          <w:lang w:eastAsia="en-AU"/>
        </w:rPr>
        <w:t>T</w:t>
      </w:r>
      <w:r w:rsidR="00D0693D">
        <w:rPr>
          <w:lang w:eastAsia="en-AU"/>
        </w:rPr>
        <w:t>h</w:t>
      </w:r>
      <w:r>
        <w:rPr>
          <w:lang w:eastAsia="en-AU"/>
        </w:rPr>
        <w:t>at</w:t>
      </w:r>
      <w:r w:rsidR="00A5765F">
        <w:rPr>
          <w:lang w:eastAsia="en-AU"/>
        </w:rPr>
        <w:t xml:space="preserve"> </w:t>
      </w:r>
      <w:r w:rsidR="00D0693D" w:rsidRPr="00F87ABE">
        <w:t xml:space="preserve">proposal </w:t>
      </w:r>
      <w:r w:rsidR="00DB7819">
        <w:t xml:space="preserve">was unique in </w:t>
      </w:r>
      <w:r w:rsidR="00D0693D" w:rsidRPr="00F87ABE">
        <w:t>the ‘proponent’ claim</w:t>
      </w:r>
      <w:r w:rsidR="00B7003C">
        <w:t xml:space="preserve">ing </w:t>
      </w:r>
      <w:r w:rsidR="00DB7819">
        <w:t>it l</w:t>
      </w:r>
      <w:r w:rsidR="00D0693D" w:rsidRPr="00F87ABE">
        <w:t xml:space="preserve">acked </w:t>
      </w:r>
      <w:r w:rsidR="00B7003C">
        <w:t xml:space="preserve">economic </w:t>
      </w:r>
      <w:r w:rsidR="00D0693D" w:rsidRPr="00F87ABE">
        <w:t>merit</w:t>
      </w:r>
      <w:r>
        <w:t>, which arguably was based on on-going prejudice</w:t>
      </w:r>
      <w:r w:rsidR="00D0693D" w:rsidRPr="00F87ABE">
        <w:t xml:space="preserve">.  Infrastructure Australia </w:t>
      </w:r>
      <w:r w:rsidR="00DB7819">
        <w:t xml:space="preserve">took </w:t>
      </w:r>
      <w:r w:rsidR="00A5765F">
        <w:t>an</w:t>
      </w:r>
      <w:r w:rsidR="00DB7819">
        <w:t xml:space="preserve"> equally unique step of </w:t>
      </w:r>
      <w:r w:rsidR="00B7003C">
        <w:t>recommending</w:t>
      </w:r>
      <w:r w:rsidR="00D0693D" w:rsidRPr="00F87ABE">
        <w:t xml:space="preserve"> against </w:t>
      </w:r>
      <w:r w:rsidR="00DB7819">
        <w:t>the proposal</w:t>
      </w:r>
      <w:r w:rsidR="00B7003C">
        <w:t xml:space="preserve"> - </w:t>
      </w:r>
      <w:r w:rsidR="00DB7819">
        <w:t xml:space="preserve">because of the proponent’s </w:t>
      </w:r>
      <w:r>
        <w:t>perverse</w:t>
      </w:r>
      <w:r w:rsidR="00DB7819">
        <w:t xml:space="preserve"> claims</w:t>
      </w:r>
      <w:r w:rsidR="00B7003C">
        <w:t xml:space="preserve"> – instead of its normal approach of remaining silent on projects it does not support</w:t>
      </w:r>
      <w:r w:rsidR="00DB7819">
        <w:t>.</w:t>
      </w:r>
      <w:r w:rsidR="006C26E4">
        <w:rPr>
          <w:rStyle w:val="FootnoteReference"/>
        </w:rPr>
        <w:footnoteReference w:id="55"/>
      </w:r>
    </w:p>
    <w:p w14:paraId="099A96E9" w14:textId="77777777" w:rsidR="00B1556F" w:rsidRDefault="00B1556F" w:rsidP="00B268B7">
      <w:pPr>
        <w:spacing w:after="0"/>
      </w:pPr>
    </w:p>
    <w:p w14:paraId="26ABB7A8" w14:textId="0091F4B5" w:rsidR="00DB7819" w:rsidRDefault="00DB7819" w:rsidP="00B268B7">
      <w:pPr>
        <w:spacing w:after="0"/>
      </w:pPr>
      <w:r>
        <w:lastRenderedPageBreak/>
        <w:t xml:space="preserve">When that bizarre </w:t>
      </w:r>
      <w:r w:rsidR="00F87ABE" w:rsidRPr="00F87ABE">
        <w:t xml:space="preserve">context </w:t>
      </w:r>
      <w:r>
        <w:t xml:space="preserve">is considered, </w:t>
      </w:r>
      <w:r w:rsidR="00B7003C">
        <w:t xml:space="preserve">the Court’s </w:t>
      </w:r>
      <w:r w:rsidR="00A5765F">
        <w:t>c</w:t>
      </w:r>
      <w:r w:rsidR="00F87ABE" w:rsidRPr="00F87ABE">
        <w:t xml:space="preserve">laims </w:t>
      </w:r>
      <w:r w:rsidR="00A5765F">
        <w:t>the situation</w:t>
      </w:r>
      <w:r w:rsidR="00F87ABE" w:rsidRPr="00F87ABE">
        <w:t xml:space="preserve"> demonstrated </w:t>
      </w:r>
    </w:p>
    <w:p w14:paraId="27F8CDC1" w14:textId="77777777" w:rsidR="00DB7819" w:rsidRDefault="00DB7819" w:rsidP="00B268B7">
      <w:pPr>
        <w:spacing w:after="0"/>
        <w:ind w:left="720"/>
      </w:pPr>
      <w:r>
        <w:rPr>
          <w:i/>
          <w:iCs/>
        </w:rPr>
        <w:t>‘</w:t>
      </w:r>
      <w:r w:rsidR="006A3E98" w:rsidRPr="00F87ABE">
        <w:rPr>
          <w:i/>
          <w:iCs/>
        </w:rPr>
        <w:t xml:space="preserve">Infrastructure Australia’s method of assessing the public interest for infrastructure investment reflects the approach the State applied to develop its policy in 2012 about </w:t>
      </w:r>
      <w:r w:rsidR="00F87ABE">
        <w:rPr>
          <w:i/>
          <w:iCs/>
        </w:rPr>
        <w:t>po</w:t>
      </w:r>
      <w:r w:rsidR="006A3E98" w:rsidRPr="00F87ABE">
        <w:rPr>
          <w:i/>
          <w:iCs/>
        </w:rPr>
        <w:t>rt sequencing</w:t>
      </w:r>
      <w:r>
        <w:rPr>
          <w:i/>
          <w:iCs/>
        </w:rPr>
        <w:t>’</w:t>
      </w:r>
      <w:r w:rsidR="006A3E98" w:rsidRPr="00F87ABE">
        <w:t xml:space="preserve"> </w:t>
      </w:r>
    </w:p>
    <w:p w14:paraId="488E0679" w14:textId="1B29A103" w:rsidR="00F87ABE" w:rsidRDefault="00F87ABE" w:rsidP="00B268B7">
      <w:pPr>
        <w:spacing w:after="0"/>
      </w:pPr>
      <w:r w:rsidRPr="00F87ABE">
        <w:t xml:space="preserve">is </w:t>
      </w:r>
      <w:r w:rsidR="00DB7819">
        <w:t>as</w:t>
      </w:r>
      <w:r w:rsidRPr="00F87ABE">
        <w:t xml:space="preserve"> extraordinary</w:t>
      </w:r>
      <w:r w:rsidR="00B7003C">
        <w:t xml:space="preserve"> as it may be correct</w:t>
      </w:r>
      <w:r w:rsidRPr="00F87ABE">
        <w:t>.</w:t>
      </w:r>
      <w:r w:rsidR="00B7003C">
        <w:t xml:space="preserve">  Both approaches</w:t>
      </w:r>
      <w:r w:rsidR="009E7434">
        <w:t xml:space="preserve"> </w:t>
      </w:r>
      <w:r w:rsidR="00B7003C">
        <w:t>are wrong.</w:t>
      </w:r>
    </w:p>
    <w:p w14:paraId="03A485E8" w14:textId="7DF6BB35" w:rsidR="00B1556F" w:rsidRDefault="00B1556F" w:rsidP="00B268B7">
      <w:pPr>
        <w:spacing w:after="0"/>
      </w:pPr>
    </w:p>
    <w:p w14:paraId="1358B8B2" w14:textId="4652FBE9" w:rsidR="00B1556F" w:rsidRDefault="00B1556F" w:rsidP="00ED13AD">
      <w:pPr>
        <w:pStyle w:val="Heading3"/>
      </w:pPr>
      <w:bookmarkStart w:id="18" w:name="_Toc79490163"/>
      <w:r>
        <w:t>4.</w:t>
      </w:r>
      <w:r w:rsidR="00ED13AD">
        <w:t>6</w:t>
      </w:r>
      <w:r>
        <w:tab/>
      </w:r>
      <w:r w:rsidR="00ED13AD">
        <w:t xml:space="preserve">Implications for </w:t>
      </w:r>
      <w:r>
        <w:t>Botany capacity</w:t>
      </w:r>
      <w:bookmarkEnd w:id="18"/>
    </w:p>
    <w:p w14:paraId="03D01E63" w14:textId="07F4C29A" w:rsidR="00875082" w:rsidRPr="002C734F" w:rsidRDefault="00B1556F" w:rsidP="00B268B7">
      <w:pPr>
        <w:spacing w:after="0"/>
        <w:rPr>
          <w:rFonts w:eastAsia="Times New Roman" w:cs="Times New Roman"/>
          <w:lang w:eastAsia="en-AU"/>
        </w:rPr>
      </w:pPr>
      <w:r>
        <w:rPr>
          <w:rFonts w:eastAsia="Times New Roman" w:cs="Times New Roman"/>
          <w:lang w:eastAsia="en-AU"/>
        </w:rPr>
        <w:t xml:space="preserve">The above </w:t>
      </w:r>
      <w:r w:rsidR="009C3876">
        <w:rPr>
          <w:rFonts w:eastAsia="Times New Roman" w:cs="Times New Roman"/>
          <w:lang w:eastAsia="en-AU"/>
        </w:rPr>
        <w:t>indicates</w:t>
      </w:r>
      <w:r>
        <w:rPr>
          <w:rFonts w:eastAsia="Times New Roman" w:cs="Times New Roman"/>
          <w:lang w:eastAsia="en-AU"/>
        </w:rPr>
        <w:t xml:space="preserve"> the relevant </w:t>
      </w:r>
      <w:r w:rsidR="00B7003C">
        <w:rPr>
          <w:rFonts w:eastAsia="Times New Roman" w:cs="Times New Roman"/>
          <w:lang w:eastAsia="en-AU"/>
        </w:rPr>
        <w:t xml:space="preserve">unaddressed </w:t>
      </w:r>
      <w:r>
        <w:rPr>
          <w:rFonts w:eastAsia="Times New Roman" w:cs="Times New Roman"/>
          <w:lang w:eastAsia="en-AU"/>
        </w:rPr>
        <w:t xml:space="preserve">policy issue is not </w:t>
      </w:r>
      <w:r w:rsidR="00282D1C">
        <w:rPr>
          <w:rFonts w:eastAsia="Times New Roman" w:cs="Times New Roman"/>
          <w:lang w:eastAsia="en-AU"/>
        </w:rPr>
        <w:t>Botany’s</w:t>
      </w:r>
      <w:r w:rsidR="009C3876">
        <w:rPr>
          <w:rFonts w:eastAsia="Times New Roman" w:cs="Times New Roman"/>
          <w:lang w:eastAsia="en-AU"/>
        </w:rPr>
        <w:t xml:space="preserve"> precinct</w:t>
      </w:r>
      <w:r w:rsidR="00875082" w:rsidRPr="002C734F">
        <w:rPr>
          <w:rFonts w:eastAsia="Times New Roman" w:cs="Times New Roman"/>
          <w:lang w:eastAsia="en-AU"/>
        </w:rPr>
        <w:t xml:space="preserve"> capacity</w:t>
      </w:r>
      <w:r w:rsidR="00602EC0" w:rsidRPr="002C734F">
        <w:rPr>
          <w:rFonts w:eastAsia="Times New Roman" w:cs="Times New Roman"/>
          <w:lang w:eastAsia="en-AU"/>
        </w:rPr>
        <w:t>, but</w:t>
      </w:r>
      <w:r w:rsidR="00875082" w:rsidRPr="002C734F">
        <w:rPr>
          <w:rFonts w:eastAsia="Times New Roman" w:cs="Times New Roman"/>
          <w:lang w:eastAsia="en-AU"/>
        </w:rPr>
        <w:t xml:space="preserve"> the </w:t>
      </w:r>
      <w:r w:rsidR="00874D18">
        <w:rPr>
          <w:rFonts w:eastAsia="Times New Roman" w:cs="Times New Roman"/>
          <w:lang w:eastAsia="en-AU"/>
        </w:rPr>
        <w:t xml:space="preserve">available </w:t>
      </w:r>
      <w:r w:rsidR="00875082" w:rsidRPr="002C734F">
        <w:rPr>
          <w:rFonts w:eastAsia="Times New Roman" w:cs="Times New Roman"/>
          <w:lang w:eastAsia="en-AU"/>
        </w:rPr>
        <w:t xml:space="preserve">capacity of </w:t>
      </w:r>
      <w:r w:rsidR="009C3876">
        <w:rPr>
          <w:rFonts w:eastAsia="Times New Roman" w:cs="Times New Roman"/>
          <w:lang w:eastAsia="en-AU"/>
        </w:rPr>
        <w:t>the infrastructure outside the port boundary needed for its supply chain</w:t>
      </w:r>
      <w:r w:rsidR="00875082" w:rsidRPr="002C734F">
        <w:rPr>
          <w:rFonts w:eastAsia="Times New Roman" w:cs="Times New Roman"/>
          <w:lang w:eastAsia="en-AU"/>
        </w:rPr>
        <w:t>.</w:t>
      </w:r>
      <w:r w:rsidR="009903FC" w:rsidRPr="002C734F">
        <w:rPr>
          <w:rFonts w:eastAsia="Times New Roman" w:cs="Times New Roman"/>
          <w:lang w:eastAsia="en-AU"/>
        </w:rPr>
        <w:t xml:space="preserve">  That is the reason </w:t>
      </w:r>
      <w:r w:rsidR="009C3876">
        <w:rPr>
          <w:rFonts w:eastAsia="Times New Roman" w:cs="Times New Roman"/>
          <w:lang w:eastAsia="en-AU"/>
        </w:rPr>
        <w:t xml:space="preserve">Botany </w:t>
      </w:r>
      <w:r w:rsidR="009903FC" w:rsidRPr="002C734F">
        <w:rPr>
          <w:rFonts w:eastAsia="Times New Roman" w:cs="Times New Roman"/>
          <w:lang w:eastAsia="en-AU"/>
        </w:rPr>
        <w:t>bidders w</w:t>
      </w:r>
      <w:r w:rsidR="00602EC0" w:rsidRPr="002C734F">
        <w:rPr>
          <w:rFonts w:eastAsia="Times New Roman" w:cs="Times New Roman"/>
          <w:lang w:eastAsia="en-AU"/>
        </w:rPr>
        <w:t>ere</w:t>
      </w:r>
      <w:r w:rsidR="009903FC" w:rsidRPr="002C734F">
        <w:rPr>
          <w:rFonts w:eastAsia="Times New Roman" w:cs="Times New Roman"/>
          <w:lang w:eastAsia="en-AU"/>
        </w:rPr>
        <w:t xml:space="preserve"> so interested in </w:t>
      </w:r>
      <w:proofErr w:type="gramStart"/>
      <w:r w:rsidR="009903FC" w:rsidRPr="002C734F">
        <w:rPr>
          <w:rFonts w:eastAsia="Times New Roman" w:cs="Times New Roman"/>
          <w:lang w:eastAsia="en-AU"/>
        </w:rPr>
        <w:t xml:space="preserve">NSW’s </w:t>
      </w:r>
      <w:r w:rsidR="00602EC0" w:rsidRPr="002C734F">
        <w:rPr>
          <w:rFonts w:eastAsia="Times New Roman" w:cs="Times New Roman"/>
          <w:lang w:eastAsia="en-AU"/>
        </w:rPr>
        <w:t>road</w:t>
      </w:r>
      <w:proofErr w:type="gramEnd"/>
      <w:r w:rsidR="00602EC0" w:rsidRPr="002C734F">
        <w:rPr>
          <w:rFonts w:eastAsia="Times New Roman" w:cs="Times New Roman"/>
          <w:lang w:eastAsia="en-AU"/>
        </w:rPr>
        <w:t xml:space="preserve"> and rail </w:t>
      </w:r>
      <w:r w:rsidR="009903FC" w:rsidRPr="002C734F">
        <w:rPr>
          <w:rFonts w:eastAsia="Times New Roman" w:cs="Times New Roman"/>
          <w:lang w:eastAsia="en-AU"/>
        </w:rPr>
        <w:t>infrastructure plans.</w:t>
      </w:r>
      <w:r w:rsidR="00B7003C">
        <w:rPr>
          <w:rFonts w:eastAsia="Times New Roman" w:cs="Times New Roman"/>
          <w:lang w:eastAsia="en-AU"/>
        </w:rPr>
        <w:t xml:space="preserve">  That is also the reason so much attention </w:t>
      </w:r>
      <w:r w:rsidR="00AE5902">
        <w:rPr>
          <w:rFonts w:eastAsia="Times New Roman" w:cs="Times New Roman"/>
          <w:lang w:eastAsia="en-AU"/>
        </w:rPr>
        <w:t>is</w:t>
      </w:r>
      <w:r w:rsidR="00B7003C">
        <w:rPr>
          <w:rFonts w:eastAsia="Times New Roman" w:cs="Times New Roman"/>
          <w:lang w:eastAsia="en-AU"/>
        </w:rPr>
        <w:t xml:space="preserve"> paid to those issues rather than terminal capacity.</w:t>
      </w:r>
    </w:p>
    <w:p w14:paraId="111BF290" w14:textId="0CC9423E" w:rsidR="00875082" w:rsidRDefault="00875082" w:rsidP="00B268B7">
      <w:pPr>
        <w:spacing w:after="0"/>
        <w:rPr>
          <w:rFonts w:eastAsia="Times New Roman" w:cs="Times New Roman"/>
          <w:lang w:eastAsia="en-AU"/>
        </w:rPr>
      </w:pPr>
    </w:p>
    <w:p w14:paraId="143F0380" w14:textId="6B21E47F" w:rsidR="00874D18" w:rsidRDefault="00874D18" w:rsidP="00B268B7">
      <w:pPr>
        <w:spacing w:after="0"/>
        <w:rPr>
          <w:rFonts w:eastAsia="Times New Roman" w:cs="Times New Roman"/>
          <w:lang w:eastAsia="en-AU"/>
        </w:rPr>
      </w:pPr>
      <w:r>
        <w:rPr>
          <w:rFonts w:eastAsia="Times New Roman" w:cs="Times New Roman"/>
          <w:lang w:eastAsia="en-AU"/>
        </w:rPr>
        <w:t xml:space="preserve">The amount of traffic generated by Botany </w:t>
      </w:r>
      <w:r w:rsidR="00ED13AD">
        <w:rPr>
          <w:rFonts w:eastAsia="Times New Roman" w:cs="Times New Roman"/>
          <w:lang w:eastAsia="en-AU"/>
        </w:rPr>
        <w:t xml:space="preserve">does </w:t>
      </w:r>
      <w:r>
        <w:rPr>
          <w:rFonts w:eastAsia="Times New Roman" w:cs="Times New Roman"/>
          <w:lang w:eastAsia="en-AU"/>
        </w:rPr>
        <w:t xml:space="preserve">impinges on </w:t>
      </w:r>
      <w:r w:rsidR="00AE5902">
        <w:rPr>
          <w:rFonts w:eastAsia="Times New Roman" w:cs="Times New Roman"/>
          <w:lang w:eastAsia="en-AU"/>
        </w:rPr>
        <w:t>road</w:t>
      </w:r>
      <w:r>
        <w:rPr>
          <w:rFonts w:eastAsia="Times New Roman" w:cs="Times New Roman"/>
          <w:lang w:eastAsia="en-AU"/>
        </w:rPr>
        <w:t xml:space="preserve"> capacity.  </w:t>
      </w:r>
      <w:r w:rsidR="0024010A">
        <w:rPr>
          <w:rFonts w:eastAsia="Times New Roman" w:cs="Times New Roman"/>
          <w:lang w:eastAsia="en-AU"/>
        </w:rPr>
        <w:t xml:space="preserve">However, </w:t>
      </w:r>
      <w:r w:rsidR="00AE5902">
        <w:rPr>
          <w:rFonts w:eastAsia="Times New Roman" w:cs="Times New Roman"/>
          <w:lang w:eastAsia="en-AU"/>
        </w:rPr>
        <w:t>th</w:t>
      </w:r>
      <w:r w:rsidR="00ED13AD">
        <w:rPr>
          <w:rFonts w:eastAsia="Times New Roman" w:cs="Times New Roman"/>
          <w:lang w:eastAsia="en-AU"/>
        </w:rPr>
        <w:t xml:space="preserve">e </w:t>
      </w:r>
      <w:r w:rsidR="00AE5902">
        <w:rPr>
          <w:rFonts w:eastAsia="Times New Roman" w:cs="Times New Roman"/>
          <w:lang w:eastAsia="en-AU"/>
        </w:rPr>
        <w:t>main</w:t>
      </w:r>
      <w:r w:rsidR="00ED13AD">
        <w:rPr>
          <w:rFonts w:eastAsia="Times New Roman" w:cs="Times New Roman"/>
          <w:lang w:eastAsia="en-AU"/>
        </w:rPr>
        <w:t xml:space="preserve"> issue is ‘background’ traffic and the increasing remoteness of the port from other freight precincts.</w:t>
      </w:r>
    </w:p>
    <w:p w14:paraId="12339BBB" w14:textId="77777777" w:rsidR="002379AA" w:rsidRDefault="002379AA" w:rsidP="00B268B7">
      <w:pPr>
        <w:spacing w:after="0"/>
        <w:rPr>
          <w:rFonts w:eastAsia="Times New Roman" w:cs="Times New Roman"/>
          <w:lang w:eastAsia="en-AU"/>
        </w:rPr>
      </w:pPr>
    </w:p>
    <w:p w14:paraId="59423024" w14:textId="3D9E9632" w:rsidR="00874D18" w:rsidRDefault="00C963BA" w:rsidP="00B268B7">
      <w:pPr>
        <w:spacing w:after="0"/>
        <w:rPr>
          <w:rFonts w:eastAsia="Times New Roman" w:cs="Times New Roman"/>
          <w:lang w:eastAsia="en-AU"/>
        </w:rPr>
      </w:pPr>
      <w:r>
        <w:rPr>
          <w:rFonts w:eastAsia="Times New Roman" w:cs="Times New Roman"/>
          <w:lang w:eastAsia="en-AU"/>
        </w:rPr>
        <w:t>NSW</w:t>
      </w:r>
      <w:r w:rsidR="00044E2C">
        <w:rPr>
          <w:rFonts w:eastAsia="Times New Roman" w:cs="Times New Roman"/>
          <w:lang w:eastAsia="en-AU"/>
        </w:rPr>
        <w:t xml:space="preserve">’s approach </w:t>
      </w:r>
      <w:r>
        <w:rPr>
          <w:rFonts w:eastAsia="Times New Roman" w:cs="Times New Roman"/>
          <w:lang w:eastAsia="en-AU"/>
        </w:rPr>
        <w:t xml:space="preserve">has </w:t>
      </w:r>
      <w:r w:rsidR="00044E2C">
        <w:rPr>
          <w:rFonts w:eastAsia="Times New Roman" w:cs="Times New Roman"/>
          <w:lang w:eastAsia="en-AU"/>
        </w:rPr>
        <w:t>roads</w:t>
      </w:r>
      <w:r w:rsidR="00874D18">
        <w:rPr>
          <w:rFonts w:eastAsia="Times New Roman" w:cs="Times New Roman"/>
          <w:lang w:eastAsia="en-AU"/>
        </w:rPr>
        <w:t xml:space="preserve"> needed for the port </w:t>
      </w:r>
      <w:r>
        <w:rPr>
          <w:rFonts w:eastAsia="Times New Roman" w:cs="Times New Roman"/>
          <w:lang w:eastAsia="en-AU"/>
        </w:rPr>
        <w:t>being</w:t>
      </w:r>
      <w:r w:rsidR="00874D18">
        <w:rPr>
          <w:rFonts w:eastAsia="Times New Roman" w:cs="Times New Roman"/>
          <w:lang w:eastAsia="en-AU"/>
        </w:rPr>
        <w:t xml:space="preserve"> heavily used by parties outside the port’s </w:t>
      </w:r>
      <w:r>
        <w:rPr>
          <w:rFonts w:eastAsia="Times New Roman" w:cs="Times New Roman"/>
          <w:lang w:eastAsia="en-AU"/>
        </w:rPr>
        <w:t>influence</w:t>
      </w:r>
      <w:r w:rsidR="00874D18">
        <w:rPr>
          <w:rFonts w:eastAsia="Times New Roman" w:cs="Times New Roman"/>
          <w:lang w:eastAsia="en-AU"/>
        </w:rPr>
        <w:t xml:space="preserve">.  </w:t>
      </w:r>
      <w:r w:rsidR="00044E2C">
        <w:rPr>
          <w:rFonts w:eastAsia="Times New Roman" w:cs="Times New Roman"/>
          <w:lang w:eastAsia="en-AU"/>
        </w:rPr>
        <w:t>This inc</w:t>
      </w:r>
      <w:r w:rsidR="00874D18">
        <w:rPr>
          <w:rFonts w:eastAsia="Times New Roman" w:cs="Times New Roman"/>
          <w:lang w:eastAsia="en-AU"/>
        </w:rPr>
        <w:t xml:space="preserve">ludes some of the major </w:t>
      </w:r>
      <w:r w:rsidR="00AC4548">
        <w:rPr>
          <w:rFonts w:eastAsia="Times New Roman" w:cs="Times New Roman"/>
          <w:lang w:eastAsia="en-AU"/>
        </w:rPr>
        <w:t xml:space="preserve">road </w:t>
      </w:r>
      <w:r w:rsidR="00874D18">
        <w:rPr>
          <w:rFonts w:eastAsia="Times New Roman" w:cs="Times New Roman"/>
          <w:lang w:eastAsia="en-AU"/>
        </w:rPr>
        <w:t xml:space="preserve">commuting routes in Australia where ‘background’ demand growth has </w:t>
      </w:r>
      <w:r w:rsidR="00AC4548">
        <w:rPr>
          <w:rFonts w:eastAsia="Times New Roman" w:cs="Times New Roman"/>
          <w:lang w:eastAsia="en-AU"/>
        </w:rPr>
        <w:t>greatly</w:t>
      </w:r>
      <w:r w:rsidR="00874D18">
        <w:rPr>
          <w:rFonts w:eastAsia="Times New Roman" w:cs="Times New Roman"/>
          <w:lang w:eastAsia="en-AU"/>
        </w:rPr>
        <w:t xml:space="preserve"> exceeded </w:t>
      </w:r>
      <w:r w:rsidR="00044E2C">
        <w:rPr>
          <w:rFonts w:eastAsia="Times New Roman" w:cs="Times New Roman"/>
          <w:lang w:eastAsia="en-AU"/>
        </w:rPr>
        <w:t xml:space="preserve">the </w:t>
      </w:r>
      <w:r w:rsidR="00282D1C">
        <w:rPr>
          <w:rFonts w:eastAsia="Times New Roman" w:cs="Times New Roman"/>
          <w:lang w:eastAsia="en-AU"/>
        </w:rPr>
        <w:t>forecasts</w:t>
      </w:r>
      <w:r w:rsidR="00874D18">
        <w:rPr>
          <w:rFonts w:eastAsia="Times New Roman" w:cs="Times New Roman"/>
          <w:lang w:eastAsia="en-AU"/>
        </w:rPr>
        <w:t xml:space="preserve"> </w:t>
      </w:r>
      <w:r w:rsidR="00044E2C">
        <w:rPr>
          <w:rFonts w:eastAsia="Times New Roman" w:cs="Times New Roman"/>
          <w:lang w:eastAsia="en-AU"/>
        </w:rPr>
        <w:t xml:space="preserve">on which </w:t>
      </w:r>
      <w:r>
        <w:rPr>
          <w:rFonts w:eastAsia="Times New Roman" w:cs="Times New Roman"/>
          <w:lang w:eastAsia="en-AU"/>
        </w:rPr>
        <w:t xml:space="preserve">NSW policy and </w:t>
      </w:r>
      <w:r w:rsidR="00874D18">
        <w:rPr>
          <w:rFonts w:eastAsia="Times New Roman" w:cs="Times New Roman"/>
          <w:lang w:eastAsia="en-AU"/>
        </w:rPr>
        <w:t>plans</w:t>
      </w:r>
      <w:r w:rsidR="00044E2C">
        <w:rPr>
          <w:rFonts w:eastAsia="Times New Roman" w:cs="Times New Roman"/>
          <w:lang w:eastAsia="en-AU"/>
        </w:rPr>
        <w:t xml:space="preserve"> were based</w:t>
      </w:r>
      <w:r w:rsidR="00874D18">
        <w:rPr>
          <w:rFonts w:eastAsia="Times New Roman" w:cs="Times New Roman"/>
          <w:lang w:eastAsia="en-AU"/>
        </w:rPr>
        <w:t xml:space="preserve">.  </w:t>
      </w:r>
    </w:p>
    <w:p w14:paraId="762D5F74" w14:textId="77777777" w:rsidR="00F53F8B" w:rsidRDefault="00F53F8B" w:rsidP="00B268B7">
      <w:pPr>
        <w:spacing w:after="0"/>
        <w:rPr>
          <w:rFonts w:eastAsia="Times New Roman" w:cs="Times New Roman"/>
          <w:lang w:eastAsia="en-AU"/>
        </w:rPr>
      </w:pPr>
    </w:p>
    <w:p w14:paraId="6EAEEDB0" w14:textId="0CA0292A" w:rsidR="00EB225F" w:rsidRDefault="00CD70DB" w:rsidP="00B268B7">
      <w:pPr>
        <w:spacing w:after="0"/>
        <w:rPr>
          <w:rFonts w:eastAsia="Times New Roman" w:cs="Times New Roman"/>
          <w:lang w:eastAsia="en-AU"/>
        </w:rPr>
      </w:pPr>
      <w:r>
        <w:rPr>
          <w:rFonts w:eastAsia="Times New Roman" w:cs="Times New Roman"/>
          <w:lang w:eastAsia="en-AU"/>
        </w:rPr>
        <w:t>Claims</w:t>
      </w:r>
      <w:r w:rsidR="00F53F8B">
        <w:rPr>
          <w:rFonts w:eastAsia="Times New Roman" w:cs="Times New Roman"/>
          <w:lang w:eastAsia="en-AU"/>
        </w:rPr>
        <w:t xml:space="preserve"> that most containers transiting Botany </w:t>
      </w:r>
      <w:r w:rsidR="00B7003C">
        <w:rPr>
          <w:rFonts w:eastAsia="Times New Roman" w:cs="Times New Roman"/>
          <w:lang w:eastAsia="en-AU"/>
        </w:rPr>
        <w:t>stay</w:t>
      </w:r>
      <w:r w:rsidR="00F53F8B">
        <w:rPr>
          <w:rFonts w:eastAsia="Times New Roman" w:cs="Times New Roman"/>
          <w:lang w:eastAsia="en-AU"/>
        </w:rPr>
        <w:t xml:space="preserve"> within 40km of the port, even </w:t>
      </w:r>
      <w:r w:rsidR="00B7003C">
        <w:rPr>
          <w:rFonts w:eastAsia="Times New Roman" w:cs="Times New Roman"/>
          <w:lang w:eastAsia="en-AU"/>
        </w:rPr>
        <w:t>if remaining true 16 years after being made</w:t>
      </w:r>
      <w:r w:rsidR="00044E2C">
        <w:rPr>
          <w:rFonts w:eastAsia="Times New Roman" w:cs="Times New Roman"/>
          <w:lang w:eastAsia="en-AU"/>
        </w:rPr>
        <w:t>,</w:t>
      </w:r>
      <w:r w:rsidR="00F53F8B">
        <w:rPr>
          <w:rFonts w:eastAsia="Times New Roman" w:cs="Times New Roman"/>
          <w:lang w:eastAsia="en-AU"/>
        </w:rPr>
        <w:t xml:space="preserve"> </w:t>
      </w:r>
      <w:r>
        <w:rPr>
          <w:rFonts w:eastAsia="Times New Roman" w:cs="Times New Roman"/>
          <w:lang w:eastAsia="en-AU"/>
        </w:rPr>
        <w:t>are unlikely to remain true</w:t>
      </w:r>
      <w:r w:rsidR="00F53F8B">
        <w:rPr>
          <w:rFonts w:eastAsia="Times New Roman" w:cs="Times New Roman"/>
          <w:lang w:eastAsia="en-AU"/>
        </w:rPr>
        <w:t xml:space="preserve"> into the future.  That was the principal reason for bundling Port Kembla with Botany for privatisation</w:t>
      </w:r>
      <w:r w:rsidR="00B7003C">
        <w:rPr>
          <w:rFonts w:eastAsia="Times New Roman" w:cs="Times New Roman"/>
          <w:lang w:eastAsia="en-AU"/>
        </w:rPr>
        <w:t xml:space="preserve"> – an overflow for Botany</w:t>
      </w:r>
      <w:r w:rsidR="00F10DDE">
        <w:rPr>
          <w:rFonts w:eastAsia="Times New Roman" w:cs="Times New Roman"/>
          <w:lang w:eastAsia="en-AU"/>
        </w:rPr>
        <w:t>’s Sydney bound goods</w:t>
      </w:r>
      <w:r w:rsidR="0072555F">
        <w:rPr>
          <w:rFonts w:eastAsia="Times New Roman" w:cs="Times New Roman"/>
          <w:lang w:eastAsia="en-AU"/>
        </w:rPr>
        <w:t xml:space="preserve">.  </w:t>
      </w:r>
    </w:p>
    <w:p w14:paraId="30B4A308" w14:textId="77777777" w:rsidR="00EB225F" w:rsidRDefault="00EB225F" w:rsidP="00B268B7">
      <w:pPr>
        <w:spacing w:after="0"/>
        <w:rPr>
          <w:rFonts w:eastAsia="Times New Roman" w:cs="Times New Roman"/>
          <w:lang w:eastAsia="en-AU"/>
        </w:rPr>
      </w:pPr>
    </w:p>
    <w:p w14:paraId="1F424C12" w14:textId="53DA3788" w:rsidR="00EB225F" w:rsidRDefault="0072555F" w:rsidP="00B268B7">
      <w:pPr>
        <w:spacing w:after="0"/>
        <w:rPr>
          <w:rFonts w:eastAsia="Times New Roman" w:cs="Times New Roman"/>
          <w:lang w:eastAsia="en-AU"/>
        </w:rPr>
      </w:pPr>
      <w:r>
        <w:rPr>
          <w:rFonts w:eastAsia="Times New Roman" w:cs="Times New Roman"/>
          <w:lang w:eastAsia="en-AU"/>
        </w:rPr>
        <w:t xml:space="preserve">Presently, with off-peak traffic </w:t>
      </w:r>
      <w:r w:rsidR="00F53F8B">
        <w:rPr>
          <w:rFonts w:eastAsia="Times New Roman" w:cs="Times New Roman"/>
          <w:lang w:eastAsia="en-AU"/>
        </w:rPr>
        <w:t xml:space="preserve">the effective </w:t>
      </w:r>
      <w:r>
        <w:rPr>
          <w:rFonts w:eastAsia="Times New Roman" w:cs="Times New Roman"/>
          <w:lang w:eastAsia="en-AU"/>
        </w:rPr>
        <w:t>road transit</w:t>
      </w:r>
      <w:r w:rsidR="00F53F8B">
        <w:rPr>
          <w:rFonts w:eastAsia="Times New Roman" w:cs="Times New Roman"/>
          <w:lang w:eastAsia="en-AU"/>
        </w:rPr>
        <w:t xml:space="preserve"> midpoint between the two ports is </w:t>
      </w:r>
      <w:r>
        <w:rPr>
          <w:rFonts w:eastAsia="Times New Roman" w:cs="Times New Roman"/>
          <w:lang w:eastAsia="en-AU"/>
        </w:rPr>
        <w:t>around the Minto-Campbelltown area in south west Sydney</w:t>
      </w:r>
      <w:r w:rsidR="00F10DDE">
        <w:rPr>
          <w:rFonts w:eastAsia="Times New Roman" w:cs="Times New Roman"/>
          <w:lang w:eastAsia="en-AU"/>
        </w:rPr>
        <w:t>.  I</w:t>
      </w:r>
      <w:r>
        <w:rPr>
          <w:rFonts w:eastAsia="Times New Roman" w:cs="Times New Roman"/>
          <w:lang w:eastAsia="en-AU"/>
        </w:rPr>
        <w:t>n peak hours it is likely near Moorebank</w:t>
      </w:r>
      <w:r w:rsidR="00F53F8B">
        <w:rPr>
          <w:rFonts w:eastAsia="Times New Roman" w:cs="Times New Roman"/>
          <w:lang w:eastAsia="en-AU"/>
        </w:rPr>
        <w:t>.</w:t>
      </w:r>
      <w:r w:rsidR="00EB225F">
        <w:rPr>
          <w:rFonts w:eastAsia="Times New Roman" w:cs="Times New Roman"/>
          <w:lang w:eastAsia="en-AU"/>
        </w:rPr>
        <w:t xml:space="preserve">  Among the implications: were port facilities in a competitive market, it is likely a container terminal would be established at Port Kembla before precinct capacity at Botany </w:t>
      </w:r>
      <w:r w:rsidR="0024010A">
        <w:rPr>
          <w:rFonts w:eastAsia="Times New Roman" w:cs="Times New Roman"/>
          <w:lang w:eastAsia="en-AU"/>
        </w:rPr>
        <w:t>i</w:t>
      </w:r>
      <w:r w:rsidR="00EB225F">
        <w:rPr>
          <w:rFonts w:eastAsia="Times New Roman" w:cs="Times New Roman"/>
          <w:lang w:eastAsia="en-AU"/>
        </w:rPr>
        <w:t>s fully utilised.  The reason is</w:t>
      </w:r>
      <w:r w:rsidR="00F10DDE">
        <w:rPr>
          <w:rFonts w:eastAsia="Times New Roman" w:cs="Times New Roman"/>
          <w:lang w:eastAsia="en-AU"/>
        </w:rPr>
        <w:t>:</w:t>
      </w:r>
      <w:r w:rsidR="00EB225F">
        <w:rPr>
          <w:rFonts w:eastAsia="Times New Roman" w:cs="Times New Roman"/>
          <w:lang w:eastAsia="en-AU"/>
        </w:rPr>
        <w:t xml:space="preserve"> background traffic and the movement of freight warehousing precincts from Botany will make Kembla a lower cost pathway to </w:t>
      </w:r>
      <w:r w:rsidR="00F10DDE">
        <w:rPr>
          <w:rFonts w:eastAsia="Times New Roman" w:cs="Times New Roman"/>
          <w:lang w:eastAsia="en-AU"/>
        </w:rPr>
        <w:t>Sydney</w:t>
      </w:r>
      <w:r w:rsidR="00B540D1">
        <w:rPr>
          <w:rFonts w:eastAsia="Times New Roman" w:cs="Times New Roman"/>
          <w:lang w:eastAsia="en-AU"/>
        </w:rPr>
        <w:t xml:space="preserve"> industrial areas</w:t>
      </w:r>
      <w:r w:rsidR="00F10DDE">
        <w:rPr>
          <w:rFonts w:eastAsia="Times New Roman" w:cs="Times New Roman"/>
          <w:lang w:eastAsia="en-AU"/>
        </w:rPr>
        <w:t>, for increasing container flows</w:t>
      </w:r>
      <w:r w:rsidR="00EB225F">
        <w:rPr>
          <w:rFonts w:eastAsia="Times New Roman" w:cs="Times New Roman"/>
          <w:lang w:eastAsia="en-AU"/>
        </w:rPr>
        <w:t xml:space="preserve">.  Whether that remains the case </w:t>
      </w:r>
      <w:r w:rsidR="00AE5902">
        <w:rPr>
          <w:rFonts w:eastAsia="Times New Roman" w:cs="Times New Roman"/>
          <w:lang w:eastAsia="en-AU"/>
        </w:rPr>
        <w:t>if Botany is shielded from</w:t>
      </w:r>
      <w:r w:rsidR="00EB225F">
        <w:rPr>
          <w:rFonts w:eastAsia="Times New Roman" w:cs="Times New Roman"/>
          <w:lang w:eastAsia="en-AU"/>
        </w:rPr>
        <w:t xml:space="preserve"> face competition is another question.</w:t>
      </w:r>
      <w:r w:rsidR="00F10DDE">
        <w:rPr>
          <w:rStyle w:val="FootnoteReference"/>
          <w:rFonts w:eastAsia="Times New Roman" w:cs="Times New Roman"/>
          <w:lang w:eastAsia="en-AU"/>
        </w:rPr>
        <w:footnoteReference w:id="56"/>
      </w:r>
    </w:p>
    <w:p w14:paraId="499D1B22" w14:textId="51552E73" w:rsidR="00A30F7C" w:rsidRDefault="00A30F7C" w:rsidP="00B268B7">
      <w:pPr>
        <w:spacing w:after="0"/>
        <w:rPr>
          <w:rFonts w:eastAsia="Times New Roman" w:cs="Times New Roman"/>
          <w:lang w:eastAsia="en-AU"/>
        </w:rPr>
      </w:pPr>
    </w:p>
    <w:p w14:paraId="4BE3C938" w14:textId="3ED5E911" w:rsidR="009F73F5" w:rsidRDefault="009F73F5" w:rsidP="009F73F5">
      <w:pPr>
        <w:pStyle w:val="Heading3"/>
        <w:rPr>
          <w:rFonts w:eastAsia="Times New Roman"/>
          <w:lang w:eastAsia="en-AU"/>
        </w:rPr>
      </w:pPr>
      <w:bookmarkStart w:id="19" w:name="_Toc79490164"/>
      <w:r>
        <w:rPr>
          <w:rFonts w:eastAsia="Times New Roman"/>
          <w:lang w:eastAsia="en-AU"/>
        </w:rPr>
        <w:t>4.7</w:t>
      </w:r>
      <w:r>
        <w:rPr>
          <w:rFonts w:eastAsia="Times New Roman"/>
          <w:lang w:eastAsia="en-AU"/>
        </w:rPr>
        <w:tab/>
        <w:t>Other implications</w:t>
      </w:r>
      <w:bookmarkEnd w:id="19"/>
    </w:p>
    <w:p w14:paraId="4343233F" w14:textId="31F9E3B9" w:rsidR="00874D18" w:rsidRDefault="00874D18" w:rsidP="00B268B7">
      <w:pPr>
        <w:spacing w:after="0"/>
        <w:rPr>
          <w:rFonts w:eastAsia="Times New Roman" w:cs="Times New Roman"/>
          <w:lang w:eastAsia="en-AU"/>
        </w:rPr>
      </w:pPr>
      <w:r>
        <w:rPr>
          <w:rFonts w:eastAsia="Times New Roman" w:cs="Times New Roman"/>
          <w:lang w:eastAsia="en-AU"/>
        </w:rPr>
        <w:t xml:space="preserve">The magnitude of the issues arising </w:t>
      </w:r>
      <w:r w:rsidR="009F73F5">
        <w:rPr>
          <w:rFonts w:eastAsia="Times New Roman" w:cs="Times New Roman"/>
          <w:lang w:eastAsia="en-AU"/>
        </w:rPr>
        <w:t xml:space="preserve">from the co-location of Botany freight routes with very large ‘background’ traffic flows </w:t>
      </w:r>
      <w:r>
        <w:rPr>
          <w:rFonts w:eastAsia="Times New Roman" w:cs="Times New Roman"/>
          <w:lang w:eastAsia="en-AU"/>
        </w:rPr>
        <w:t xml:space="preserve">is </w:t>
      </w:r>
      <w:r w:rsidR="00F53F8B">
        <w:rPr>
          <w:rFonts w:eastAsia="Times New Roman" w:cs="Times New Roman"/>
          <w:lang w:eastAsia="en-AU"/>
        </w:rPr>
        <w:t xml:space="preserve">hinted at </w:t>
      </w:r>
      <w:r>
        <w:rPr>
          <w:rFonts w:eastAsia="Times New Roman" w:cs="Times New Roman"/>
          <w:lang w:eastAsia="en-AU"/>
        </w:rPr>
        <w:t xml:space="preserve">by the </w:t>
      </w:r>
      <w:r w:rsidR="00F53F8B">
        <w:rPr>
          <w:rFonts w:eastAsia="Times New Roman" w:cs="Times New Roman"/>
          <w:lang w:eastAsia="en-AU"/>
        </w:rPr>
        <w:t>Government’s delay in progressing, and separation</w:t>
      </w:r>
      <w:r>
        <w:rPr>
          <w:rFonts w:eastAsia="Times New Roman" w:cs="Times New Roman"/>
          <w:lang w:eastAsia="en-AU"/>
        </w:rPr>
        <w:t xml:space="preserve"> </w:t>
      </w:r>
      <w:r w:rsidR="00F53F8B">
        <w:rPr>
          <w:rFonts w:eastAsia="Times New Roman" w:cs="Times New Roman"/>
          <w:lang w:eastAsia="en-AU"/>
        </w:rPr>
        <w:t>from the WestConnex project, the $2.6 billion ‘Sydney Gateway’ connect</w:t>
      </w:r>
      <w:r w:rsidR="00B540D1">
        <w:rPr>
          <w:rFonts w:eastAsia="Times New Roman" w:cs="Times New Roman"/>
          <w:lang w:eastAsia="en-AU"/>
        </w:rPr>
        <w:t>ing</w:t>
      </w:r>
      <w:r w:rsidR="00F53F8B">
        <w:rPr>
          <w:rFonts w:eastAsia="Times New Roman" w:cs="Times New Roman"/>
          <w:lang w:eastAsia="en-AU"/>
        </w:rPr>
        <w:t xml:space="preserve"> port</w:t>
      </w:r>
      <w:r w:rsidR="00B540D1">
        <w:rPr>
          <w:rFonts w:eastAsia="Times New Roman" w:cs="Times New Roman"/>
          <w:lang w:eastAsia="en-AU"/>
        </w:rPr>
        <w:t>,</w:t>
      </w:r>
      <w:r w:rsidR="00F53F8B">
        <w:rPr>
          <w:rFonts w:eastAsia="Times New Roman" w:cs="Times New Roman"/>
          <w:lang w:eastAsia="en-AU"/>
        </w:rPr>
        <w:t xml:space="preserve"> airport </w:t>
      </w:r>
      <w:r w:rsidR="00B540D1">
        <w:rPr>
          <w:rFonts w:eastAsia="Times New Roman" w:cs="Times New Roman"/>
          <w:lang w:eastAsia="en-AU"/>
        </w:rPr>
        <w:t>and</w:t>
      </w:r>
      <w:r w:rsidR="00F53F8B">
        <w:rPr>
          <w:rFonts w:eastAsia="Times New Roman" w:cs="Times New Roman"/>
          <w:lang w:eastAsia="en-AU"/>
        </w:rPr>
        <w:t xml:space="preserve"> motorway.  </w:t>
      </w:r>
      <w:r w:rsidR="00AE5902">
        <w:rPr>
          <w:rFonts w:eastAsia="Times New Roman" w:cs="Times New Roman"/>
          <w:lang w:eastAsia="en-AU"/>
        </w:rPr>
        <w:t>Interestingly, that proposal has not been forwarded to Infrastructure Australia for assessment.</w:t>
      </w:r>
    </w:p>
    <w:p w14:paraId="68274225" w14:textId="77777777" w:rsidR="00874D18" w:rsidRDefault="00874D18" w:rsidP="00B268B7">
      <w:pPr>
        <w:spacing w:after="0"/>
        <w:rPr>
          <w:rFonts w:eastAsia="Times New Roman" w:cs="Times New Roman"/>
          <w:lang w:eastAsia="en-AU"/>
        </w:rPr>
      </w:pPr>
    </w:p>
    <w:p w14:paraId="4CFB9076" w14:textId="7F232D42" w:rsidR="00894F04" w:rsidRDefault="00874D18" w:rsidP="00B268B7">
      <w:pPr>
        <w:spacing w:after="0"/>
        <w:rPr>
          <w:rFonts w:eastAsia="Times New Roman" w:cs="Times New Roman"/>
          <w:lang w:eastAsia="en-AU"/>
        </w:rPr>
      </w:pPr>
      <w:r>
        <w:rPr>
          <w:rFonts w:eastAsia="Times New Roman" w:cs="Times New Roman"/>
          <w:lang w:eastAsia="en-AU"/>
        </w:rPr>
        <w:t xml:space="preserve">NSW policy is not to allow </w:t>
      </w:r>
      <w:r w:rsidR="00F53F8B">
        <w:rPr>
          <w:rFonts w:eastAsia="Times New Roman" w:cs="Times New Roman"/>
          <w:lang w:eastAsia="en-AU"/>
        </w:rPr>
        <w:t xml:space="preserve">road infrastructure </w:t>
      </w:r>
      <w:r>
        <w:rPr>
          <w:rFonts w:eastAsia="Times New Roman" w:cs="Times New Roman"/>
          <w:lang w:eastAsia="en-AU"/>
        </w:rPr>
        <w:t xml:space="preserve">dedicated to port or freight tasks.  </w:t>
      </w:r>
      <w:r w:rsidR="00894F04">
        <w:rPr>
          <w:rFonts w:eastAsia="Times New Roman" w:cs="Times New Roman"/>
          <w:lang w:eastAsia="en-AU"/>
        </w:rPr>
        <w:t xml:space="preserve">However, the Court appeared to interpret this as meaning that the Government would need to pay for any road improvements needed for a Newcastle terminal.  That </w:t>
      </w:r>
      <w:r w:rsidR="00B7003C">
        <w:rPr>
          <w:rFonts w:eastAsia="Times New Roman" w:cs="Times New Roman"/>
          <w:lang w:eastAsia="en-AU"/>
        </w:rPr>
        <w:t>is</w:t>
      </w:r>
      <w:r w:rsidR="00894F04">
        <w:rPr>
          <w:rFonts w:eastAsia="Times New Roman" w:cs="Times New Roman"/>
          <w:lang w:eastAsia="en-AU"/>
        </w:rPr>
        <w:t xml:space="preserve"> mistaken</w:t>
      </w:r>
      <w:r w:rsidR="00B7003C">
        <w:rPr>
          <w:rFonts w:eastAsia="Times New Roman" w:cs="Times New Roman"/>
          <w:lang w:eastAsia="en-AU"/>
        </w:rPr>
        <w:t xml:space="preserve"> as it ignores toll roads and the possibility of dedicated freight infrastructure – such as provided at Botany for the third terminal.</w:t>
      </w:r>
      <w:r w:rsidR="003D4E0C">
        <w:rPr>
          <w:rFonts w:eastAsia="Times New Roman" w:cs="Times New Roman"/>
          <w:lang w:eastAsia="en-AU"/>
        </w:rPr>
        <w:t xml:space="preserve">  </w:t>
      </w:r>
    </w:p>
    <w:p w14:paraId="1ACFEC12" w14:textId="77777777" w:rsidR="00894F04" w:rsidRDefault="00894F04" w:rsidP="00B268B7">
      <w:pPr>
        <w:spacing w:after="0"/>
        <w:rPr>
          <w:rFonts w:eastAsia="Times New Roman" w:cs="Times New Roman"/>
          <w:lang w:eastAsia="en-AU"/>
        </w:rPr>
      </w:pPr>
    </w:p>
    <w:p w14:paraId="73242FD6" w14:textId="5D0E2B01" w:rsidR="00874D18" w:rsidRDefault="003D4E0C" w:rsidP="00B268B7">
      <w:pPr>
        <w:spacing w:after="0"/>
        <w:rPr>
          <w:rFonts w:eastAsia="Times New Roman" w:cs="Times New Roman"/>
          <w:lang w:eastAsia="en-AU"/>
        </w:rPr>
      </w:pPr>
      <w:r>
        <w:rPr>
          <w:rFonts w:eastAsia="Times New Roman" w:cs="Times New Roman"/>
          <w:lang w:eastAsia="en-AU"/>
        </w:rPr>
        <w:lastRenderedPageBreak/>
        <w:t xml:space="preserve">Road infrastructure for </w:t>
      </w:r>
      <w:r w:rsidR="00B7003C">
        <w:rPr>
          <w:rFonts w:eastAsia="Times New Roman" w:cs="Times New Roman"/>
          <w:lang w:eastAsia="en-AU"/>
        </w:rPr>
        <w:t xml:space="preserve">the length of </w:t>
      </w:r>
      <w:r>
        <w:rPr>
          <w:rFonts w:eastAsia="Times New Roman" w:cs="Times New Roman"/>
          <w:lang w:eastAsia="en-AU"/>
        </w:rPr>
        <w:t xml:space="preserve">Botany supply </w:t>
      </w:r>
      <w:r w:rsidR="0042138C">
        <w:rPr>
          <w:rFonts w:eastAsia="Times New Roman" w:cs="Times New Roman"/>
          <w:lang w:eastAsia="en-AU"/>
        </w:rPr>
        <w:t>chains has</w:t>
      </w:r>
      <w:r>
        <w:rPr>
          <w:rFonts w:eastAsia="Times New Roman" w:cs="Times New Roman"/>
          <w:lang w:eastAsia="en-AU"/>
        </w:rPr>
        <w:t xml:space="preserve"> not been, and probably never will be,</w:t>
      </w:r>
      <w:r w:rsidR="00F53F8B">
        <w:rPr>
          <w:rFonts w:eastAsia="Times New Roman" w:cs="Times New Roman"/>
          <w:lang w:eastAsia="en-AU"/>
        </w:rPr>
        <w:t xml:space="preserve"> </w:t>
      </w:r>
      <w:r w:rsidR="00874D18">
        <w:rPr>
          <w:rFonts w:eastAsia="Times New Roman" w:cs="Times New Roman"/>
          <w:lang w:eastAsia="en-AU"/>
        </w:rPr>
        <w:t>designed to optimise heavy freight – illustrated by the western M5 tunnel</w:t>
      </w:r>
      <w:r w:rsidR="00CD70DB">
        <w:rPr>
          <w:rFonts w:eastAsia="Times New Roman" w:cs="Times New Roman"/>
          <w:lang w:eastAsia="en-AU"/>
        </w:rPr>
        <w:t xml:space="preserve"> exit</w:t>
      </w:r>
      <w:r w:rsidR="00874D18">
        <w:rPr>
          <w:rFonts w:eastAsia="Times New Roman" w:cs="Times New Roman"/>
          <w:lang w:eastAsia="en-AU"/>
        </w:rPr>
        <w:t>.  Policy therefore renders the efficiency of Botany supply chains highly vulnerable to increases in ‘background’ traffic.</w:t>
      </w:r>
    </w:p>
    <w:p w14:paraId="64CA65C5" w14:textId="77777777" w:rsidR="00AE5902" w:rsidRDefault="00AE5902" w:rsidP="00B268B7">
      <w:pPr>
        <w:spacing w:after="0"/>
        <w:rPr>
          <w:rFonts w:eastAsia="Times New Roman" w:cs="Times New Roman"/>
          <w:lang w:eastAsia="en-AU"/>
        </w:rPr>
      </w:pPr>
    </w:p>
    <w:p w14:paraId="2B34A9BE" w14:textId="5F45B693" w:rsidR="00CD70DB" w:rsidRDefault="0072555F" w:rsidP="00B268B7">
      <w:pPr>
        <w:spacing w:after="0"/>
        <w:rPr>
          <w:rFonts w:eastAsia="Times New Roman" w:cs="Times New Roman"/>
          <w:lang w:eastAsia="en-AU"/>
        </w:rPr>
      </w:pPr>
      <w:r>
        <w:rPr>
          <w:rFonts w:eastAsia="Times New Roman" w:cs="Times New Roman"/>
          <w:lang w:eastAsia="en-AU"/>
        </w:rPr>
        <w:t xml:space="preserve">Even </w:t>
      </w:r>
      <w:r w:rsidR="00CD70DB">
        <w:rPr>
          <w:rFonts w:eastAsia="Times New Roman" w:cs="Times New Roman"/>
          <w:lang w:eastAsia="en-AU"/>
        </w:rPr>
        <w:t xml:space="preserve">if it was </w:t>
      </w:r>
      <w:r>
        <w:rPr>
          <w:rFonts w:eastAsia="Times New Roman" w:cs="Times New Roman"/>
          <w:lang w:eastAsia="en-AU"/>
        </w:rPr>
        <w:t xml:space="preserve">accepted </w:t>
      </w:r>
      <w:r w:rsidR="00F53F8B">
        <w:rPr>
          <w:rFonts w:eastAsia="Times New Roman" w:cs="Times New Roman"/>
          <w:lang w:eastAsia="en-AU"/>
        </w:rPr>
        <w:t xml:space="preserve">that </w:t>
      </w:r>
      <w:r>
        <w:rPr>
          <w:rFonts w:eastAsia="Times New Roman" w:cs="Times New Roman"/>
          <w:lang w:eastAsia="en-AU"/>
        </w:rPr>
        <w:t xml:space="preserve">Botany </w:t>
      </w:r>
      <w:r w:rsidR="00CD70DB">
        <w:rPr>
          <w:rFonts w:eastAsia="Times New Roman" w:cs="Times New Roman"/>
          <w:lang w:eastAsia="en-AU"/>
        </w:rPr>
        <w:t xml:space="preserve">precinct </w:t>
      </w:r>
      <w:r>
        <w:rPr>
          <w:rFonts w:eastAsia="Times New Roman" w:cs="Times New Roman"/>
          <w:lang w:eastAsia="en-AU"/>
        </w:rPr>
        <w:t xml:space="preserve">capacity is </w:t>
      </w:r>
      <w:r w:rsidR="00CD70DB">
        <w:rPr>
          <w:rFonts w:eastAsia="Times New Roman" w:cs="Times New Roman"/>
          <w:lang w:eastAsia="en-AU"/>
        </w:rPr>
        <w:t xml:space="preserve">the key factor for </w:t>
      </w:r>
      <w:r>
        <w:rPr>
          <w:rFonts w:eastAsia="Times New Roman" w:cs="Times New Roman"/>
          <w:lang w:eastAsia="en-AU"/>
        </w:rPr>
        <w:t xml:space="preserve">NSW ports policy – and prevention of a terminal at Newcastle – it does not follow that </w:t>
      </w:r>
      <w:r w:rsidR="00CD70DB">
        <w:rPr>
          <w:rFonts w:eastAsia="Times New Roman" w:cs="Times New Roman"/>
          <w:lang w:eastAsia="en-AU"/>
        </w:rPr>
        <w:t xml:space="preserve">such a </w:t>
      </w:r>
      <w:r>
        <w:rPr>
          <w:rFonts w:eastAsia="Times New Roman" w:cs="Times New Roman"/>
          <w:lang w:eastAsia="en-AU"/>
        </w:rPr>
        <w:t xml:space="preserve">policy </w:t>
      </w:r>
      <w:r w:rsidR="00CD70DB">
        <w:rPr>
          <w:rFonts w:eastAsia="Times New Roman" w:cs="Times New Roman"/>
          <w:lang w:eastAsia="en-AU"/>
        </w:rPr>
        <w:t xml:space="preserve">was ever </w:t>
      </w:r>
      <w:r>
        <w:rPr>
          <w:rFonts w:eastAsia="Times New Roman" w:cs="Times New Roman"/>
          <w:lang w:eastAsia="en-AU"/>
        </w:rPr>
        <w:t xml:space="preserve">justifiable.  </w:t>
      </w:r>
      <w:r w:rsidR="00CD70DB">
        <w:rPr>
          <w:rFonts w:eastAsia="Times New Roman" w:cs="Times New Roman"/>
          <w:lang w:eastAsia="en-AU"/>
        </w:rPr>
        <w:t>L</w:t>
      </w:r>
      <w:r>
        <w:rPr>
          <w:rFonts w:eastAsia="Times New Roman" w:cs="Times New Roman"/>
          <w:lang w:eastAsia="en-AU"/>
        </w:rPr>
        <w:t>and transport matters, particularly in the light of background traffic</w:t>
      </w:r>
      <w:r w:rsidR="00CD70DB">
        <w:rPr>
          <w:rFonts w:eastAsia="Times New Roman" w:cs="Times New Roman"/>
          <w:lang w:eastAsia="en-AU"/>
        </w:rPr>
        <w:t>, should be considered</w:t>
      </w:r>
      <w:r w:rsidR="00044E2C">
        <w:rPr>
          <w:rFonts w:eastAsia="Times New Roman" w:cs="Times New Roman"/>
          <w:lang w:eastAsia="en-AU"/>
        </w:rPr>
        <w:t>.</w:t>
      </w:r>
    </w:p>
    <w:p w14:paraId="4BF28BE3" w14:textId="6F0AD07C" w:rsidR="000771CB" w:rsidRDefault="002A37EC" w:rsidP="00AE5902">
      <w:pPr>
        <w:pStyle w:val="Heading2"/>
        <w:rPr>
          <w:rFonts w:eastAsia="Times New Roman"/>
          <w:lang w:eastAsia="en-AU"/>
        </w:rPr>
      </w:pPr>
      <w:r>
        <w:rPr>
          <w:rFonts w:eastAsia="Times New Roman" w:cs="Times New Roman"/>
          <w:lang w:eastAsia="en-AU"/>
        </w:rPr>
        <w:br w:type="page"/>
      </w:r>
      <w:bookmarkStart w:id="20" w:name="_Toc79490165"/>
      <w:r w:rsidR="00AE5902" w:rsidRPr="00AE5902">
        <w:rPr>
          <w:rFonts w:eastAsia="Times New Roman" w:cs="Times New Roman"/>
          <w:b w:val="0"/>
          <w:lang w:eastAsia="en-AU"/>
        </w:rPr>
        <w:lastRenderedPageBreak/>
        <w:t>5.</w:t>
      </w:r>
      <w:r w:rsidR="00AE5902">
        <w:rPr>
          <w:rFonts w:eastAsia="Times New Roman" w:cs="Times New Roman"/>
          <w:lang w:eastAsia="en-AU"/>
        </w:rPr>
        <w:tab/>
      </w:r>
      <w:r>
        <w:rPr>
          <w:rFonts w:eastAsia="Times New Roman"/>
          <w:lang w:eastAsia="en-AU"/>
        </w:rPr>
        <w:t>Conclusions</w:t>
      </w:r>
      <w:bookmarkEnd w:id="20"/>
    </w:p>
    <w:p w14:paraId="7AB48E29" w14:textId="77777777" w:rsidR="00374321" w:rsidRDefault="000C1B91" w:rsidP="000C1B91">
      <w:pPr>
        <w:spacing w:after="0"/>
        <w:rPr>
          <w:rFonts w:eastAsia="Times New Roman" w:cs="Times New Roman"/>
          <w:lang w:eastAsia="en-AU"/>
        </w:rPr>
      </w:pPr>
      <w:r>
        <w:rPr>
          <w:rFonts w:eastAsia="Times New Roman" w:cs="Times New Roman"/>
          <w:lang w:eastAsia="en-AU"/>
        </w:rPr>
        <w:t xml:space="preserve">The </w:t>
      </w:r>
      <w:r w:rsidR="00AD7C20">
        <w:rPr>
          <w:rFonts w:eastAsia="Times New Roman" w:cs="Times New Roman"/>
          <w:lang w:eastAsia="en-AU"/>
        </w:rPr>
        <w:t>Court’s decision hinged on Crown immunity.</w:t>
      </w:r>
      <w:r>
        <w:rPr>
          <w:rFonts w:eastAsia="Times New Roman" w:cs="Times New Roman"/>
          <w:lang w:eastAsia="en-AU"/>
        </w:rPr>
        <w:t xml:space="preserve">  </w:t>
      </w:r>
    </w:p>
    <w:p w14:paraId="600B152B" w14:textId="77777777" w:rsidR="00374321" w:rsidRDefault="00374321" w:rsidP="000C1B91">
      <w:pPr>
        <w:spacing w:after="0"/>
        <w:rPr>
          <w:rFonts w:eastAsia="Times New Roman" w:cs="Times New Roman"/>
          <w:lang w:eastAsia="en-AU"/>
        </w:rPr>
      </w:pPr>
    </w:p>
    <w:p w14:paraId="1A100875" w14:textId="48A75234" w:rsidR="00374321" w:rsidRDefault="000C1B91" w:rsidP="000C1B91">
      <w:pPr>
        <w:spacing w:after="0"/>
        <w:rPr>
          <w:bdr w:val="none" w:sz="0" w:space="0" w:color="auto" w:frame="1"/>
          <w:shd w:val="clear" w:color="auto" w:fill="FFFFFF"/>
        </w:rPr>
      </w:pPr>
      <w:r>
        <w:rPr>
          <w:rFonts w:eastAsia="Times New Roman" w:cs="Times New Roman"/>
          <w:lang w:eastAsia="en-AU"/>
        </w:rPr>
        <w:t xml:space="preserve">However, her honour went further </w:t>
      </w:r>
      <w:r w:rsidR="00374321">
        <w:rPr>
          <w:rFonts w:eastAsia="Times New Roman" w:cs="Times New Roman"/>
          <w:lang w:eastAsia="en-AU"/>
        </w:rPr>
        <w:t xml:space="preserve">and </w:t>
      </w:r>
      <w:r>
        <w:rPr>
          <w:rFonts w:eastAsia="Times New Roman" w:cs="Times New Roman"/>
          <w:lang w:eastAsia="en-AU"/>
        </w:rPr>
        <w:t>rubbish</w:t>
      </w:r>
      <w:r w:rsidR="00374321">
        <w:rPr>
          <w:rFonts w:eastAsia="Times New Roman" w:cs="Times New Roman"/>
          <w:lang w:eastAsia="en-AU"/>
        </w:rPr>
        <w:t>ed</w:t>
      </w:r>
      <w:r>
        <w:rPr>
          <w:rFonts w:eastAsia="Times New Roman" w:cs="Times New Roman"/>
          <w:lang w:eastAsia="en-AU"/>
        </w:rPr>
        <w:t xml:space="preserve"> prospects of </w:t>
      </w:r>
      <w:r w:rsidR="00374321">
        <w:rPr>
          <w:rFonts w:eastAsia="Times New Roman" w:cs="Times New Roman"/>
          <w:lang w:eastAsia="en-AU"/>
        </w:rPr>
        <w:t xml:space="preserve">a </w:t>
      </w:r>
      <w:r>
        <w:rPr>
          <w:rFonts w:eastAsia="Times New Roman" w:cs="Times New Roman"/>
          <w:lang w:eastAsia="en-AU"/>
        </w:rPr>
        <w:t xml:space="preserve">Newcastle container terminal.  That included expressions such as the prospect of a terminal rests on </w:t>
      </w:r>
      <w:r w:rsidRPr="002C734F">
        <w:rPr>
          <w:bdr w:val="none" w:sz="0" w:space="0" w:color="auto" w:frame="1"/>
          <w:shd w:val="clear" w:color="auto" w:fill="FFFFFF"/>
        </w:rPr>
        <w:t>‘mere speculative hopes’</w:t>
      </w:r>
      <w:r w:rsidR="00266E4E">
        <w:rPr>
          <w:bdr w:val="none" w:sz="0" w:space="0" w:color="auto" w:frame="1"/>
          <w:shd w:val="clear" w:color="auto" w:fill="FFFFFF"/>
        </w:rPr>
        <w:t>,</w:t>
      </w:r>
      <w:r>
        <w:rPr>
          <w:bdr w:val="none" w:sz="0" w:space="0" w:color="auto" w:frame="1"/>
          <w:shd w:val="clear" w:color="auto" w:fill="FFFFFF"/>
        </w:rPr>
        <w:t xml:space="preserve"> is </w:t>
      </w:r>
      <w:r w:rsidRPr="002C734F">
        <w:rPr>
          <w:bdr w:val="none" w:sz="0" w:space="0" w:color="auto" w:frame="1"/>
          <w:shd w:val="clear" w:color="auto" w:fill="FFFFFF"/>
        </w:rPr>
        <w:t>‘far-fetched and fanciful’, and ‘not a real chance or real possibility’</w:t>
      </w:r>
      <w:r>
        <w:rPr>
          <w:bdr w:val="none" w:sz="0" w:space="0" w:color="auto" w:frame="1"/>
          <w:shd w:val="clear" w:color="auto" w:fill="FFFFFF"/>
        </w:rPr>
        <w:t xml:space="preserve">.  </w:t>
      </w:r>
    </w:p>
    <w:p w14:paraId="3B1FAFCC" w14:textId="77777777" w:rsidR="00374321" w:rsidRDefault="00374321" w:rsidP="000C1B91">
      <w:pPr>
        <w:spacing w:after="0"/>
        <w:rPr>
          <w:bdr w:val="none" w:sz="0" w:space="0" w:color="auto" w:frame="1"/>
          <w:shd w:val="clear" w:color="auto" w:fill="FFFFFF"/>
        </w:rPr>
      </w:pPr>
    </w:p>
    <w:p w14:paraId="028D533F" w14:textId="5493CF6E" w:rsidR="000C1B91" w:rsidRDefault="000C1B91" w:rsidP="000C1B91">
      <w:pPr>
        <w:spacing w:after="0"/>
        <w:rPr>
          <w:bdr w:val="none" w:sz="0" w:space="0" w:color="auto" w:frame="1"/>
          <w:shd w:val="clear" w:color="auto" w:fill="FFFFFF"/>
        </w:rPr>
      </w:pPr>
      <w:r>
        <w:rPr>
          <w:bdr w:val="none" w:sz="0" w:space="0" w:color="auto" w:frame="1"/>
          <w:shd w:val="clear" w:color="auto" w:fill="FFFFFF"/>
        </w:rPr>
        <w:t xml:space="preserve">Even were the substance of those comments correct – if there is no prospect of a terminal at Newcastle - the utility of such robust </w:t>
      </w:r>
      <w:r w:rsidR="00374321">
        <w:rPr>
          <w:bdr w:val="none" w:sz="0" w:space="0" w:color="auto" w:frame="1"/>
          <w:shd w:val="clear" w:color="auto" w:fill="FFFFFF"/>
        </w:rPr>
        <w:t>comments</w:t>
      </w:r>
      <w:r>
        <w:rPr>
          <w:bdr w:val="none" w:sz="0" w:space="0" w:color="auto" w:frame="1"/>
          <w:shd w:val="clear" w:color="auto" w:fill="FFFFFF"/>
        </w:rPr>
        <w:t xml:space="preserve">, in a case determined on another </w:t>
      </w:r>
      <w:r w:rsidR="00374321">
        <w:rPr>
          <w:bdr w:val="none" w:sz="0" w:space="0" w:color="auto" w:frame="1"/>
          <w:shd w:val="clear" w:color="auto" w:fill="FFFFFF"/>
        </w:rPr>
        <w:t>point,</w:t>
      </w:r>
      <w:r>
        <w:rPr>
          <w:bdr w:val="none" w:sz="0" w:space="0" w:color="auto" w:frame="1"/>
          <w:shd w:val="clear" w:color="auto" w:fill="FFFFFF"/>
        </w:rPr>
        <w:t xml:space="preserve"> is open to question.</w:t>
      </w:r>
    </w:p>
    <w:p w14:paraId="0F032FCC" w14:textId="02BF37CF" w:rsidR="00AD7C20" w:rsidRDefault="00AD7C20" w:rsidP="00B268B7">
      <w:pPr>
        <w:spacing w:after="0"/>
        <w:rPr>
          <w:rFonts w:eastAsia="Times New Roman" w:cs="Times New Roman"/>
          <w:lang w:eastAsia="en-AU"/>
        </w:rPr>
      </w:pPr>
    </w:p>
    <w:p w14:paraId="48E48B8C" w14:textId="34AD4F06" w:rsidR="00374321" w:rsidRDefault="000C1B91" w:rsidP="00B268B7">
      <w:pPr>
        <w:spacing w:after="0"/>
        <w:rPr>
          <w:rFonts w:eastAsia="Times New Roman" w:cs="Times New Roman"/>
          <w:lang w:eastAsia="en-AU"/>
        </w:rPr>
      </w:pPr>
      <w:r>
        <w:rPr>
          <w:rFonts w:eastAsia="Times New Roman" w:cs="Times New Roman"/>
          <w:lang w:eastAsia="en-AU"/>
        </w:rPr>
        <w:t xml:space="preserve">The point of the rubbishing was to support an argument </w:t>
      </w:r>
      <w:r w:rsidR="00AD7C20">
        <w:rPr>
          <w:rFonts w:eastAsia="Times New Roman" w:cs="Times New Roman"/>
          <w:lang w:eastAsia="en-AU"/>
        </w:rPr>
        <w:t xml:space="preserve">the </w:t>
      </w:r>
      <w:r>
        <w:rPr>
          <w:rFonts w:eastAsia="Times New Roman" w:cs="Times New Roman"/>
          <w:lang w:eastAsia="en-AU"/>
        </w:rPr>
        <w:t xml:space="preserve">Newcastle </w:t>
      </w:r>
      <w:proofErr w:type="gramStart"/>
      <w:r w:rsidR="00AD7C20">
        <w:rPr>
          <w:rFonts w:eastAsia="Times New Roman" w:cs="Times New Roman"/>
          <w:lang w:eastAsia="en-AU"/>
        </w:rPr>
        <w:t>penalty</w:t>
      </w:r>
      <w:proofErr w:type="gramEnd"/>
      <w:r w:rsidR="00AD7C20">
        <w:rPr>
          <w:rFonts w:eastAsia="Times New Roman" w:cs="Times New Roman"/>
          <w:lang w:eastAsia="en-AU"/>
        </w:rPr>
        <w:t>-</w:t>
      </w:r>
      <w:r>
        <w:rPr>
          <w:rFonts w:eastAsia="Times New Roman" w:cs="Times New Roman"/>
          <w:lang w:eastAsia="en-AU"/>
        </w:rPr>
        <w:t xml:space="preserve">Botany </w:t>
      </w:r>
      <w:r w:rsidR="00AD7C20">
        <w:rPr>
          <w:rFonts w:eastAsia="Times New Roman" w:cs="Times New Roman"/>
          <w:lang w:eastAsia="en-AU"/>
        </w:rPr>
        <w:t xml:space="preserve">compensation </w:t>
      </w:r>
      <w:r w:rsidR="0069315E">
        <w:rPr>
          <w:rFonts w:eastAsia="Times New Roman" w:cs="Times New Roman"/>
          <w:lang w:eastAsia="en-AU"/>
        </w:rPr>
        <w:t>scheme</w:t>
      </w:r>
      <w:r w:rsidR="00AD7C20">
        <w:rPr>
          <w:rFonts w:eastAsia="Times New Roman" w:cs="Times New Roman"/>
          <w:lang w:eastAsia="en-AU"/>
        </w:rPr>
        <w:t xml:space="preserve"> was not anti-competitive because there is no potential for competition.</w:t>
      </w:r>
      <w:r>
        <w:rPr>
          <w:rFonts w:eastAsia="Times New Roman" w:cs="Times New Roman"/>
          <w:lang w:eastAsia="en-AU"/>
        </w:rPr>
        <w:t xml:space="preserve">  </w:t>
      </w:r>
    </w:p>
    <w:p w14:paraId="29E809F2" w14:textId="77777777" w:rsidR="00374321" w:rsidRDefault="00374321" w:rsidP="00B268B7">
      <w:pPr>
        <w:spacing w:after="0"/>
        <w:rPr>
          <w:rFonts w:eastAsia="Times New Roman" w:cs="Times New Roman"/>
          <w:lang w:eastAsia="en-AU"/>
        </w:rPr>
      </w:pPr>
    </w:p>
    <w:p w14:paraId="70F69B85" w14:textId="1F96F0B8" w:rsidR="000C1B91" w:rsidRDefault="000C1B91" w:rsidP="00B268B7">
      <w:pPr>
        <w:spacing w:after="0"/>
        <w:rPr>
          <w:rFonts w:eastAsia="Times New Roman" w:cs="Times New Roman"/>
          <w:lang w:eastAsia="en-AU"/>
        </w:rPr>
      </w:pPr>
      <w:r>
        <w:rPr>
          <w:rFonts w:eastAsia="Times New Roman" w:cs="Times New Roman"/>
          <w:lang w:eastAsia="en-AU"/>
        </w:rPr>
        <w:t xml:space="preserve">Her honour went beyond that to ascribe a purpose to the </w:t>
      </w:r>
      <w:r w:rsidR="0069315E">
        <w:rPr>
          <w:rFonts w:eastAsia="Times New Roman" w:cs="Times New Roman"/>
          <w:lang w:eastAsia="en-AU"/>
        </w:rPr>
        <w:t>scheme</w:t>
      </w:r>
      <w:r>
        <w:rPr>
          <w:rFonts w:eastAsia="Times New Roman" w:cs="Times New Roman"/>
          <w:lang w:eastAsia="en-AU"/>
        </w:rPr>
        <w:t xml:space="preserve"> – to support revenue from the sale of Botany.  However, the Court </w:t>
      </w:r>
      <w:r w:rsidR="00266E4E">
        <w:rPr>
          <w:rFonts w:eastAsia="Times New Roman" w:cs="Times New Roman"/>
          <w:lang w:eastAsia="en-AU"/>
        </w:rPr>
        <w:t xml:space="preserve">seemingly </w:t>
      </w:r>
      <w:r>
        <w:rPr>
          <w:rFonts w:eastAsia="Times New Roman" w:cs="Times New Roman"/>
          <w:lang w:eastAsia="en-AU"/>
        </w:rPr>
        <w:t xml:space="preserve">overlooked that purpose could only be achieved – Botany revenue would </w:t>
      </w:r>
      <w:r w:rsidR="006449D5">
        <w:rPr>
          <w:rFonts w:eastAsia="Times New Roman" w:cs="Times New Roman"/>
          <w:lang w:eastAsia="en-AU"/>
        </w:rPr>
        <w:t xml:space="preserve">only </w:t>
      </w:r>
      <w:r>
        <w:rPr>
          <w:rFonts w:eastAsia="Times New Roman" w:cs="Times New Roman"/>
          <w:lang w:eastAsia="en-AU"/>
        </w:rPr>
        <w:t xml:space="preserve">be maximised - if the </w:t>
      </w:r>
      <w:r w:rsidR="0069315E">
        <w:rPr>
          <w:rFonts w:eastAsia="Times New Roman" w:cs="Times New Roman"/>
          <w:lang w:eastAsia="en-AU"/>
        </w:rPr>
        <w:t>scheme</w:t>
      </w:r>
      <w:r>
        <w:rPr>
          <w:rFonts w:eastAsia="Times New Roman" w:cs="Times New Roman"/>
          <w:lang w:eastAsia="en-AU"/>
        </w:rPr>
        <w:t xml:space="preserve"> was anti-competitive.  It also overlooked that Government claims to the contrary conflicted with Government actions, and the actions of sale bidders.</w:t>
      </w:r>
      <w:r w:rsidR="00A66F95">
        <w:rPr>
          <w:rFonts w:eastAsia="Times New Roman" w:cs="Times New Roman"/>
          <w:lang w:eastAsia="en-AU"/>
        </w:rPr>
        <w:t xml:space="preserve">  Further it ignored the clandestine nature of the </w:t>
      </w:r>
      <w:r w:rsidR="0069315E">
        <w:rPr>
          <w:rFonts w:eastAsia="Times New Roman" w:cs="Times New Roman"/>
          <w:lang w:eastAsia="en-AU"/>
        </w:rPr>
        <w:t>scheme</w:t>
      </w:r>
      <w:r w:rsidR="00A66F95">
        <w:rPr>
          <w:rFonts w:eastAsia="Times New Roman" w:cs="Times New Roman"/>
          <w:lang w:eastAsia="en-AU"/>
        </w:rPr>
        <w:t xml:space="preserve"> and attempts by the Government to distance itself from, and deny, its reality. </w:t>
      </w:r>
    </w:p>
    <w:p w14:paraId="6FEC104B" w14:textId="77777777" w:rsidR="00A66F95" w:rsidRDefault="00A66F95" w:rsidP="00B268B7">
      <w:pPr>
        <w:spacing w:after="0"/>
        <w:rPr>
          <w:rFonts w:eastAsia="Times New Roman" w:cs="Times New Roman"/>
          <w:lang w:eastAsia="en-AU"/>
        </w:rPr>
      </w:pPr>
    </w:p>
    <w:p w14:paraId="5ADAEFDA" w14:textId="77777777" w:rsidR="00374321" w:rsidRDefault="00A66F95" w:rsidP="00B268B7">
      <w:pPr>
        <w:spacing w:after="0"/>
        <w:rPr>
          <w:rFonts w:eastAsia="Times New Roman" w:cs="Times New Roman"/>
          <w:lang w:eastAsia="en-AU"/>
        </w:rPr>
      </w:pPr>
      <w:r>
        <w:rPr>
          <w:rFonts w:eastAsia="Times New Roman" w:cs="Times New Roman"/>
          <w:lang w:eastAsia="en-AU"/>
        </w:rPr>
        <w:t xml:space="preserve">The principal reason given by the Court for saying there is no prospect of a terminal at Newcastle was: NSW Government policy.  </w:t>
      </w:r>
    </w:p>
    <w:p w14:paraId="0796CCF6" w14:textId="77777777" w:rsidR="00374321" w:rsidRDefault="00374321" w:rsidP="00B268B7">
      <w:pPr>
        <w:spacing w:after="0"/>
        <w:rPr>
          <w:rFonts w:eastAsia="Times New Roman" w:cs="Times New Roman"/>
          <w:lang w:eastAsia="en-AU"/>
        </w:rPr>
      </w:pPr>
    </w:p>
    <w:p w14:paraId="380157D1" w14:textId="52AF5F39" w:rsidR="00AD20CB" w:rsidRDefault="00A66F95" w:rsidP="00B268B7">
      <w:pPr>
        <w:spacing w:after="0"/>
        <w:rPr>
          <w:rFonts w:eastAsia="Times New Roman" w:cs="Times New Roman"/>
          <w:lang w:eastAsia="en-AU"/>
        </w:rPr>
      </w:pPr>
      <w:r>
        <w:rPr>
          <w:rFonts w:eastAsia="Times New Roman" w:cs="Times New Roman"/>
          <w:lang w:eastAsia="en-AU"/>
        </w:rPr>
        <w:t xml:space="preserve">Her honour went beyond that to reflect on the logic and merit of the policy, which was put as: </w:t>
      </w:r>
      <w:r w:rsidR="003B3D43">
        <w:rPr>
          <w:rFonts w:eastAsia="Times New Roman" w:cs="Times New Roman"/>
          <w:lang w:eastAsia="en-AU"/>
        </w:rPr>
        <w:t>B</w:t>
      </w:r>
      <w:r>
        <w:rPr>
          <w:rFonts w:eastAsia="Times New Roman" w:cs="Times New Roman"/>
          <w:lang w:eastAsia="en-AU"/>
        </w:rPr>
        <w:t>otany</w:t>
      </w:r>
      <w:r w:rsidR="00641572">
        <w:rPr>
          <w:rFonts w:eastAsia="Times New Roman" w:cs="Times New Roman"/>
          <w:lang w:eastAsia="en-AU"/>
        </w:rPr>
        <w:t>-</w:t>
      </w:r>
      <w:r>
        <w:rPr>
          <w:rFonts w:eastAsia="Times New Roman" w:cs="Times New Roman"/>
          <w:lang w:eastAsia="en-AU"/>
        </w:rPr>
        <w:t>capacity</w:t>
      </w:r>
      <w:r w:rsidR="00641572">
        <w:rPr>
          <w:rFonts w:eastAsia="Times New Roman" w:cs="Times New Roman"/>
          <w:lang w:eastAsia="en-AU"/>
        </w:rPr>
        <w:t>-should-be-</w:t>
      </w:r>
      <w:r w:rsidR="003B3D43">
        <w:rPr>
          <w:rFonts w:eastAsia="Times New Roman" w:cs="Times New Roman"/>
          <w:lang w:eastAsia="en-AU"/>
        </w:rPr>
        <w:t>exhausted</w:t>
      </w:r>
      <w:r>
        <w:rPr>
          <w:rFonts w:eastAsia="Times New Roman" w:cs="Times New Roman"/>
          <w:lang w:eastAsia="en-AU"/>
        </w:rPr>
        <w:t xml:space="preserve"> before a terminal elsewhere could be considered.</w:t>
      </w:r>
      <w:r w:rsidR="00641572">
        <w:rPr>
          <w:rFonts w:eastAsia="Times New Roman" w:cs="Times New Roman"/>
          <w:lang w:eastAsia="en-AU"/>
        </w:rPr>
        <w:t xml:space="preserve">  </w:t>
      </w:r>
      <w:r>
        <w:rPr>
          <w:rFonts w:eastAsia="Times New Roman" w:cs="Times New Roman"/>
          <w:lang w:eastAsia="en-AU"/>
        </w:rPr>
        <w:t xml:space="preserve">That reflection on policy overlooked pivotal matters.  First, there can be no assumption of policy competence.  It was developed at the same </w:t>
      </w:r>
      <w:r w:rsidR="00374321">
        <w:rPr>
          <w:rFonts w:eastAsia="Times New Roman" w:cs="Times New Roman"/>
          <w:lang w:eastAsia="en-AU"/>
        </w:rPr>
        <w:t>time and place</w:t>
      </w:r>
      <w:r>
        <w:rPr>
          <w:rFonts w:eastAsia="Times New Roman" w:cs="Times New Roman"/>
          <w:lang w:eastAsia="en-AU"/>
        </w:rPr>
        <w:t xml:space="preserve"> as</w:t>
      </w:r>
      <w:r w:rsidR="00374321">
        <w:rPr>
          <w:rFonts w:eastAsia="Times New Roman" w:cs="Times New Roman"/>
          <w:lang w:eastAsia="en-AU"/>
        </w:rPr>
        <w:t>:</w:t>
      </w:r>
      <w:r>
        <w:rPr>
          <w:rFonts w:eastAsia="Times New Roman" w:cs="Times New Roman"/>
          <w:lang w:eastAsia="en-AU"/>
        </w:rPr>
        <w:t xml:space="preserve"> </w:t>
      </w:r>
      <w:r w:rsidR="00374321">
        <w:rPr>
          <w:rFonts w:eastAsia="Times New Roman" w:cs="Times New Roman"/>
          <w:lang w:eastAsia="en-AU"/>
        </w:rPr>
        <w:t>disastrous transport policy mistakes;</w:t>
      </w:r>
      <w:r>
        <w:rPr>
          <w:rFonts w:eastAsia="Times New Roman" w:cs="Times New Roman"/>
          <w:lang w:eastAsia="en-AU"/>
        </w:rPr>
        <w:t xml:space="preserve"> </w:t>
      </w:r>
      <w:r w:rsidR="00BE1FF7">
        <w:rPr>
          <w:rFonts w:eastAsia="Times New Roman" w:cs="Times New Roman"/>
          <w:lang w:eastAsia="en-AU"/>
        </w:rPr>
        <w:t xml:space="preserve">a </w:t>
      </w:r>
      <w:r w:rsidR="00374321">
        <w:rPr>
          <w:rFonts w:eastAsia="Times New Roman" w:cs="Times New Roman"/>
          <w:lang w:eastAsia="en-AU"/>
        </w:rPr>
        <w:t xml:space="preserve">grossly mis-specified </w:t>
      </w:r>
      <w:r w:rsidR="00266E4E">
        <w:rPr>
          <w:rFonts w:eastAsia="Times New Roman" w:cs="Times New Roman"/>
          <w:lang w:eastAsia="en-AU"/>
        </w:rPr>
        <w:t xml:space="preserve">Sydney </w:t>
      </w:r>
      <w:r w:rsidR="00BE1FF7">
        <w:rPr>
          <w:rFonts w:eastAsia="Times New Roman" w:cs="Times New Roman"/>
          <w:lang w:eastAsia="en-AU"/>
        </w:rPr>
        <w:t>freight network</w:t>
      </w:r>
      <w:r w:rsidR="00374321">
        <w:rPr>
          <w:rFonts w:eastAsia="Times New Roman" w:cs="Times New Roman"/>
          <w:lang w:eastAsia="en-AU"/>
        </w:rPr>
        <w:t>;</w:t>
      </w:r>
      <w:r>
        <w:rPr>
          <w:rFonts w:eastAsia="Times New Roman" w:cs="Times New Roman"/>
          <w:lang w:eastAsia="en-AU"/>
        </w:rPr>
        <w:t xml:space="preserve"> the </w:t>
      </w:r>
      <w:proofErr w:type="gramStart"/>
      <w:r>
        <w:rPr>
          <w:rFonts w:eastAsia="Times New Roman" w:cs="Times New Roman"/>
          <w:lang w:eastAsia="en-AU"/>
        </w:rPr>
        <w:t>Transport Minister</w:t>
      </w:r>
      <w:proofErr w:type="gramEnd"/>
      <w:r>
        <w:rPr>
          <w:rFonts w:eastAsia="Times New Roman" w:cs="Times New Roman"/>
          <w:lang w:eastAsia="en-AU"/>
        </w:rPr>
        <w:t xml:space="preserve"> </w:t>
      </w:r>
      <w:r w:rsidR="00AD20CB">
        <w:rPr>
          <w:rFonts w:eastAsia="Times New Roman" w:cs="Times New Roman"/>
          <w:lang w:eastAsia="en-AU"/>
        </w:rPr>
        <w:t>openly advocated against another international facility – a second Sydney airport</w:t>
      </w:r>
      <w:r>
        <w:rPr>
          <w:rFonts w:eastAsia="Times New Roman" w:cs="Times New Roman"/>
          <w:lang w:eastAsia="en-AU"/>
        </w:rPr>
        <w:t>.</w:t>
      </w:r>
    </w:p>
    <w:p w14:paraId="651FDE8F" w14:textId="77777777" w:rsidR="00AD20CB" w:rsidRDefault="00AD20CB" w:rsidP="00B268B7">
      <w:pPr>
        <w:spacing w:after="0"/>
        <w:rPr>
          <w:rFonts w:eastAsia="Times New Roman" w:cs="Times New Roman"/>
          <w:lang w:eastAsia="en-AU"/>
        </w:rPr>
      </w:pPr>
    </w:p>
    <w:p w14:paraId="104256BE" w14:textId="464AD830" w:rsidR="008A5AE0" w:rsidRDefault="00AD20CB" w:rsidP="00B268B7">
      <w:pPr>
        <w:spacing w:after="0"/>
        <w:rPr>
          <w:rFonts w:eastAsia="Times New Roman" w:cs="Times New Roman"/>
          <w:lang w:eastAsia="en-AU"/>
        </w:rPr>
      </w:pPr>
      <w:r>
        <w:rPr>
          <w:rFonts w:eastAsia="Times New Roman" w:cs="Times New Roman"/>
          <w:lang w:eastAsia="en-AU"/>
        </w:rPr>
        <w:t xml:space="preserve">The policy appears to be </w:t>
      </w:r>
      <w:r w:rsidR="00374321">
        <w:rPr>
          <w:rFonts w:eastAsia="Times New Roman" w:cs="Times New Roman"/>
          <w:lang w:eastAsia="en-AU"/>
        </w:rPr>
        <w:t>without foundation</w:t>
      </w:r>
      <w:r>
        <w:rPr>
          <w:rFonts w:eastAsia="Times New Roman" w:cs="Times New Roman"/>
          <w:lang w:eastAsia="en-AU"/>
        </w:rPr>
        <w:t xml:space="preserve">.  It </w:t>
      </w:r>
      <w:r w:rsidR="008A5AE0">
        <w:rPr>
          <w:rFonts w:eastAsia="Times New Roman" w:cs="Times New Roman"/>
          <w:lang w:eastAsia="en-AU"/>
        </w:rPr>
        <w:t>runs contrary to decision</w:t>
      </w:r>
      <w:r w:rsidR="00641572">
        <w:rPr>
          <w:rFonts w:eastAsia="Times New Roman" w:cs="Times New Roman"/>
          <w:lang w:eastAsia="en-AU"/>
        </w:rPr>
        <w:t>s</w:t>
      </w:r>
      <w:r w:rsidR="008A5AE0">
        <w:rPr>
          <w:rFonts w:eastAsia="Times New Roman" w:cs="Times New Roman"/>
          <w:lang w:eastAsia="en-AU"/>
        </w:rPr>
        <w:t xml:space="preserve"> to privatise ports, which aim</w:t>
      </w:r>
      <w:r w:rsidR="00641572">
        <w:rPr>
          <w:rFonts w:eastAsia="Times New Roman" w:cs="Times New Roman"/>
          <w:lang w:eastAsia="en-AU"/>
        </w:rPr>
        <w:t>ed</w:t>
      </w:r>
      <w:r w:rsidR="008A5AE0">
        <w:rPr>
          <w:rFonts w:eastAsia="Times New Roman" w:cs="Times New Roman"/>
          <w:lang w:eastAsia="en-AU"/>
        </w:rPr>
        <w:t xml:space="preserve"> to reduce Government influence on port activities rather than restrict them from the grave.</w:t>
      </w:r>
    </w:p>
    <w:p w14:paraId="0F1B3424" w14:textId="77777777" w:rsidR="008A5AE0" w:rsidRDefault="008A5AE0" w:rsidP="00B268B7">
      <w:pPr>
        <w:spacing w:after="0"/>
        <w:rPr>
          <w:rFonts w:eastAsia="Times New Roman" w:cs="Times New Roman"/>
          <w:lang w:eastAsia="en-AU"/>
        </w:rPr>
      </w:pPr>
    </w:p>
    <w:p w14:paraId="5F9B1278" w14:textId="43967FA5" w:rsidR="00AD20CB" w:rsidRDefault="008A5AE0" w:rsidP="00B268B7">
      <w:pPr>
        <w:spacing w:after="0"/>
        <w:rPr>
          <w:rFonts w:eastAsia="Times New Roman" w:cs="Times New Roman"/>
          <w:lang w:eastAsia="en-AU"/>
        </w:rPr>
      </w:pPr>
      <w:r>
        <w:rPr>
          <w:rFonts w:eastAsia="Times New Roman" w:cs="Times New Roman"/>
          <w:lang w:eastAsia="en-AU"/>
        </w:rPr>
        <w:t xml:space="preserve">It </w:t>
      </w:r>
      <w:r w:rsidR="00AD20CB">
        <w:rPr>
          <w:rFonts w:eastAsia="Times New Roman" w:cs="Times New Roman"/>
          <w:lang w:eastAsia="en-AU"/>
        </w:rPr>
        <w:t xml:space="preserve">ignores that Botany’s capacity is limited by the roads its supply chains </w:t>
      </w:r>
      <w:r w:rsidR="0094428C">
        <w:rPr>
          <w:rFonts w:eastAsia="Times New Roman" w:cs="Times New Roman"/>
          <w:lang w:eastAsia="en-AU"/>
        </w:rPr>
        <w:t>share</w:t>
      </w:r>
      <w:r w:rsidR="00AD20CB">
        <w:rPr>
          <w:rFonts w:eastAsia="Times New Roman" w:cs="Times New Roman"/>
          <w:lang w:eastAsia="en-AU"/>
        </w:rPr>
        <w:t xml:space="preserve"> with Sydney’s major traffic flows</w:t>
      </w:r>
      <w:r>
        <w:rPr>
          <w:rFonts w:eastAsia="Times New Roman" w:cs="Times New Roman"/>
          <w:lang w:eastAsia="en-AU"/>
        </w:rPr>
        <w:t>.  It</w:t>
      </w:r>
      <w:r w:rsidR="00AD20CB">
        <w:rPr>
          <w:rFonts w:eastAsia="Times New Roman" w:cs="Times New Roman"/>
          <w:lang w:eastAsia="en-AU"/>
        </w:rPr>
        <w:t xml:space="preserve"> </w:t>
      </w:r>
      <w:r w:rsidR="00641572">
        <w:rPr>
          <w:rFonts w:eastAsia="Times New Roman" w:cs="Times New Roman"/>
          <w:lang w:eastAsia="en-AU"/>
        </w:rPr>
        <w:t>is</w:t>
      </w:r>
      <w:r w:rsidR="00AD20CB">
        <w:rPr>
          <w:rFonts w:eastAsia="Times New Roman" w:cs="Times New Roman"/>
          <w:lang w:eastAsia="en-AU"/>
        </w:rPr>
        <w:t xml:space="preserve"> not apparently </w:t>
      </w:r>
      <w:r w:rsidR="00641572">
        <w:rPr>
          <w:rFonts w:eastAsia="Times New Roman" w:cs="Times New Roman"/>
          <w:lang w:eastAsia="en-AU"/>
        </w:rPr>
        <w:t>based on</w:t>
      </w:r>
      <w:r w:rsidR="00AD20CB">
        <w:rPr>
          <w:rFonts w:eastAsia="Times New Roman" w:cs="Times New Roman"/>
          <w:lang w:eastAsia="en-AU"/>
        </w:rPr>
        <w:t xml:space="preserve"> any estimation of those limits.</w:t>
      </w:r>
      <w:r w:rsidR="00A66F95">
        <w:rPr>
          <w:rFonts w:eastAsia="Times New Roman" w:cs="Times New Roman"/>
          <w:lang w:eastAsia="en-AU"/>
        </w:rPr>
        <w:t xml:space="preserve">  </w:t>
      </w:r>
      <w:r w:rsidR="00D52C16">
        <w:rPr>
          <w:rFonts w:eastAsia="Times New Roman" w:cs="Times New Roman"/>
          <w:lang w:eastAsia="en-AU"/>
        </w:rPr>
        <w:t>As is the case for other policies developed at the same time, its</w:t>
      </w:r>
      <w:r w:rsidR="00AD20CB">
        <w:rPr>
          <w:rFonts w:eastAsia="Times New Roman" w:cs="Times New Roman"/>
          <w:lang w:eastAsia="en-AU"/>
        </w:rPr>
        <w:t xml:space="preserve"> explanation is in the form of promotional material, much of which cannot be taken </w:t>
      </w:r>
      <w:r w:rsidR="00D52C16">
        <w:rPr>
          <w:rFonts w:eastAsia="Times New Roman" w:cs="Times New Roman"/>
          <w:lang w:eastAsia="en-AU"/>
        </w:rPr>
        <w:t>seriously</w:t>
      </w:r>
      <w:r w:rsidR="00AD20CB">
        <w:rPr>
          <w:rFonts w:eastAsia="Times New Roman" w:cs="Times New Roman"/>
          <w:lang w:eastAsia="en-AU"/>
        </w:rPr>
        <w:t>.</w:t>
      </w:r>
    </w:p>
    <w:p w14:paraId="068399C6" w14:textId="01AEE952" w:rsidR="00AD20CB" w:rsidRDefault="00AD20CB" w:rsidP="00B268B7">
      <w:pPr>
        <w:spacing w:after="0"/>
        <w:rPr>
          <w:rFonts w:eastAsia="Times New Roman" w:cs="Times New Roman"/>
          <w:lang w:eastAsia="en-AU"/>
        </w:rPr>
      </w:pPr>
    </w:p>
    <w:p w14:paraId="71B79AED" w14:textId="431C319B" w:rsidR="00AD20CB" w:rsidRDefault="00AD20CB" w:rsidP="00B268B7">
      <w:pPr>
        <w:spacing w:after="0"/>
        <w:rPr>
          <w:rFonts w:eastAsia="Times New Roman" w:cs="Times New Roman"/>
          <w:lang w:eastAsia="en-AU"/>
        </w:rPr>
      </w:pPr>
      <w:r>
        <w:rPr>
          <w:rFonts w:eastAsia="Times New Roman" w:cs="Times New Roman"/>
          <w:lang w:eastAsia="en-AU"/>
        </w:rPr>
        <w:t xml:space="preserve">Two arguments </w:t>
      </w:r>
      <w:r w:rsidR="00266E4E">
        <w:rPr>
          <w:rFonts w:eastAsia="Times New Roman" w:cs="Times New Roman"/>
          <w:lang w:eastAsia="en-AU"/>
        </w:rPr>
        <w:t xml:space="preserve">apparently </w:t>
      </w:r>
      <w:r>
        <w:rPr>
          <w:rFonts w:eastAsia="Times New Roman" w:cs="Times New Roman"/>
          <w:lang w:eastAsia="en-AU"/>
        </w:rPr>
        <w:t xml:space="preserve">distracted the Court from this reality.  </w:t>
      </w:r>
    </w:p>
    <w:p w14:paraId="67C637B4" w14:textId="77777777" w:rsidR="00AD20CB" w:rsidRDefault="00AD20CB" w:rsidP="00B268B7">
      <w:pPr>
        <w:spacing w:after="0"/>
        <w:rPr>
          <w:rFonts w:eastAsia="Times New Roman" w:cs="Times New Roman"/>
          <w:lang w:eastAsia="en-AU"/>
        </w:rPr>
      </w:pPr>
    </w:p>
    <w:p w14:paraId="2CAAACC6" w14:textId="29B6A4AB" w:rsidR="00AD20CB" w:rsidRDefault="00AD20CB" w:rsidP="00B268B7">
      <w:pPr>
        <w:spacing w:after="0"/>
        <w:rPr>
          <w:rFonts w:eastAsia="Times New Roman" w:cs="Times New Roman"/>
          <w:lang w:eastAsia="en-AU"/>
        </w:rPr>
      </w:pPr>
      <w:r>
        <w:rPr>
          <w:rFonts w:eastAsia="Times New Roman" w:cs="Times New Roman"/>
          <w:lang w:eastAsia="en-AU"/>
        </w:rPr>
        <w:t xml:space="preserve">The first was </w:t>
      </w:r>
      <w:r w:rsidR="00641572">
        <w:rPr>
          <w:rFonts w:eastAsia="Times New Roman" w:cs="Times New Roman"/>
          <w:lang w:eastAsia="en-AU"/>
        </w:rPr>
        <w:t>a claim</w:t>
      </w:r>
      <w:r>
        <w:rPr>
          <w:rFonts w:eastAsia="Times New Roman" w:cs="Times New Roman"/>
          <w:lang w:eastAsia="en-AU"/>
        </w:rPr>
        <w:t xml:space="preserve"> Botany </w:t>
      </w:r>
      <w:r w:rsidR="00641572">
        <w:rPr>
          <w:rFonts w:eastAsia="Times New Roman" w:cs="Times New Roman"/>
          <w:lang w:eastAsia="en-AU"/>
        </w:rPr>
        <w:t xml:space="preserve">related </w:t>
      </w:r>
      <w:r>
        <w:rPr>
          <w:rFonts w:eastAsia="Times New Roman" w:cs="Times New Roman"/>
          <w:lang w:eastAsia="en-AU"/>
        </w:rPr>
        <w:t>trucks do not cause congestion.  Apart from being wrong, it is beside the point</w:t>
      </w:r>
      <w:r w:rsidR="00D52C16">
        <w:rPr>
          <w:rFonts w:eastAsia="Times New Roman" w:cs="Times New Roman"/>
          <w:lang w:eastAsia="en-AU"/>
        </w:rPr>
        <w:t xml:space="preserve">.  The claim relates to </w:t>
      </w:r>
      <w:r>
        <w:rPr>
          <w:rFonts w:eastAsia="Times New Roman" w:cs="Times New Roman"/>
          <w:lang w:eastAsia="en-AU"/>
        </w:rPr>
        <w:t>local politics</w:t>
      </w:r>
      <w:r w:rsidR="00D52C16">
        <w:rPr>
          <w:rFonts w:eastAsia="Times New Roman" w:cs="Times New Roman"/>
          <w:lang w:eastAsia="en-AU"/>
        </w:rPr>
        <w:t xml:space="preserve"> not policy</w:t>
      </w:r>
      <w:r>
        <w:rPr>
          <w:rFonts w:eastAsia="Times New Roman" w:cs="Times New Roman"/>
          <w:lang w:eastAsia="en-AU"/>
        </w:rPr>
        <w:t xml:space="preserve">.  The policy issue is whether Botany trucks will be so affected by congestion as to limit port capacity.  Information in the public domain, and the Government’s insistence that all roads must carry cars and trucks, suggests that </w:t>
      </w:r>
      <w:r w:rsidR="006449D5">
        <w:rPr>
          <w:rFonts w:eastAsia="Times New Roman" w:cs="Times New Roman"/>
          <w:lang w:eastAsia="en-AU"/>
        </w:rPr>
        <w:t>will be</w:t>
      </w:r>
      <w:r>
        <w:rPr>
          <w:rFonts w:eastAsia="Times New Roman" w:cs="Times New Roman"/>
          <w:lang w:eastAsia="en-AU"/>
        </w:rPr>
        <w:t xml:space="preserve"> the case.</w:t>
      </w:r>
    </w:p>
    <w:p w14:paraId="2F54FFE1" w14:textId="6F5898C1" w:rsidR="00AD20CB" w:rsidRDefault="00AD20CB" w:rsidP="00B268B7">
      <w:pPr>
        <w:spacing w:after="0"/>
        <w:rPr>
          <w:rFonts w:eastAsia="Times New Roman" w:cs="Times New Roman"/>
          <w:lang w:eastAsia="en-AU"/>
        </w:rPr>
      </w:pPr>
    </w:p>
    <w:p w14:paraId="34E90585" w14:textId="77777777" w:rsidR="00641572" w:rsidRDefault="00641572" w:rsidP="00B268B7">
      <w:pPr>
        <w:spacing w:after="0"/>
        <w:rPr>
          <w:rFonts w:eastAsia="Times New Roman" w:cs="Times New Roman"/>
          <w:lang w:eastAsia="en-AU"/>
        </w:rPr>
      </w:pPr>
    </w:p>
    <w:p w14:paraId="3FAB7149" w14:textId="56888281" w:rsidR="00D52C16" w:rsidRDefault="00AD20CB" w:rsidP="00B268B7">
      <w:pPr>
        <w:spacing w:after="0"/>
        <w:rPr>
          <w:rFonts w:eastAsia="Times New Roman" w:cs="Times New Roman"/>
          <w:lang w:eastAsia="en-AU"/>
        </w:rPr>
      </w:pPr>
      <w:r>
        <w:rPr>
          <w:rFonts w:eastAsia="Times New Roman" w:cs="Times New Roman"/>
          <w:lang w:eastAsia="en-AU"/>
        </w:rPr>
        <w:lastRenderedPageBreak/>
        <w:t>The second was that most cargo transiting Botany stays relatively close to Botany.  Ignoring the inherent circularity</w:t>
      </w:r>
      <w:r w:rsidR="00BE1FF7">
        <w:rPr>
          <w:rFonts w:eastAsia="Times New Roman" w:cs="Times New Roman"/>
          <w:lang w:eastAsia="en-AU"/>
        </w:rPr>
        <w:t>,</w:t>
      </w:r>
      <w:r w:rsidR="00D52C16">
        <w:rPr>
          <w:rFonts w:eastAsia="Times New Roman" w:cs="Times New Roman"/>
          <w:lang w:eastAsia="en-AU"/>
        </w:rPr>
        <w:t xml:space="preserve"> it is irrelevant to cargo destined for Newcastle and further north because that is a matter of catchment and cost – including traffic congestion and road tolls - rather than mere</w:t>
      </w:r>
      <w:r w:rsidR="00BE1FF7">
        <w:rPr>
          <w:rFonts w:eastAsia="Times New Roman" w:cs="Times New Roman"/>
          <w:lang w:eastAsia="en-AU"/>
        </w:rPr>
        <w:t xml:space="preserve"> </w:t>
      </w:r>
      <w:r w:rsidR="004534EC">
        <w:rPr>
          <w:rFonts w:eastAsia="Times New Roman" w:cs="Times New Roman"/>
          <w:lang w:eastAsia="en-AU"/>
        </w:rPr>
        <w:t>‘</w:t>
      </w:r>
      <w:r w:rsidR="00BE1FF7">
        <w:rPr>
          <w:rFonts w:eastAsia="Times New Roman" w:cs="Times New Roman"/>
          <w:lang w:eastAsia="en-AU"/>
        </w:rPr>
        <w:t xml:space="preserve">crow </w:t>
      </w:r>
      <w:r w:rsidR="0094428C">
        <w:rPr>
          <w:rFonts w:eastAsia="Times New Roman" w:cs="Times New Roman"/>
          <w:lang w:eastAsia="en-AU"/>
        </w:rPr>
        <w:t>flies’</w:t>
      </w:r>
      <w:r w:rsidR="00BE1FF7">
        <w:rPr>
          <w:rFonts w:eastAsia="Times New Roman" w:cs="Times New Roman"/>
          <w:lang w:eastAsia="en-AU"/>
        </w:rPr>
        <w:t xml:space="preserve"> distances</w:t>
      </w:r>
      <w:r w:rsidR="00D52C16">
        <w:rPr>
          <w:rFonts w:eastAsia="Times New Roman" w:cs="Times New Roman"/>
          <w:lang w:eastAsia="en-AU"/>
        </w:rPr>
        <w:t xml:space="preserve">.  </w:t>
      </w:r>
    </w:p>
    <w:p w14:paraId="569EDA4E" w14:textId="77777777" w:rsidR="00D52C16" w:rsidRDefault="00D52C16" w:rsidP="00B268B7">
      <w:pPr>
        <w:spacing w:after="0"/>
        <w:rPr>
          <w:rFonts w:eastAsia="Times New Roman" w:cs="Times New Roman"/>
          <w:lang w:eastAsia="en-AU"/>
        </w:rPr>
      </w:pPr>
    </w:p>
    <w:p w14:paraId="54932629" w14:textId="429A87A8" w:rsidR="00D52C16" w:rsidRDefault="00D52C16" w:rsidP="00B268B7">
      <w:pPr>
        <w:spacing w:after="0"/>
        <w:rPr>
          <w:rFonts w:eastAsia="Times New Roman" w:cs="Times New Roman"/>
          <w:lang w:eastAsia="en-AU"/>
        </w:rPr>
      </w:pPr>
      <w:r>
        <w:rPr>
          <w:rFonts w:eastAsia="Times New Roman" w:cs="Times New Roman"/>
          <w:lang w:eastAsia="en-AU"/>
        </w:rPr>
        <w:t>While the competition question may be whether or not cargo will go to Newcastle</w:t>
      </w:r>
      <w:r w:rsidR="00641572">
        <w:rPr>
          <w:rFonts w:eastAsia="Times New Roman" w:cs="Times New Roman"/>
          <w:lang w:eastAsia="en-AU"/>
        </w:rPr>
        <w:t xml:space="preserve"> port</w:t>
      </w:r>
      <w:r>
        <w:rPr>
          <w:rFonts w:eastAsia="Times New Roman" w:cs="Times New Roman"/>
          <w:lang w:eastAsia="en-AU"/>
        </w:rPr>
        <w:t xml:space="preserve">, the policy issue is </w:t>
      </w:r>
      <w:r w:rsidR="00BE1FF7">
        <w:rPr>
          <w:rFonts w:eastAsia="Times New Roman" w:cs="Times New Roman"/>
          <w:lang w:eastAsia="en-AU"/>
        </w:rPr>
        <w:t>d</w:t>
      </w:r>
      <w:r>
        <w:rPr>
          <w:rFonts w:eastAsia="Times New Roman" w:cs="Times New Roman"/>
          <w:lang w:eastAsia="en-AU"/>
        </w:rPr>
        <w:t xml:space="preserve">ifferent – whether there is a case to prevent that occurring.  </w:t>
      </w:r>
    </w:p>
    <w:p w14:paraId="4EC54783" w14:textId="77777777" w:rsidR="00BE1FF7" w:rsidRDefault="00BE1FF7" w:rsidP="00B268B7">
      <w:pPr>
        <w:spacing w:after="0"/>
        <w:rPr>
          <w:rFonts w:eastAsia="Times New Roman" w:cs="Times New Roman"/>
          <w:lang w:eastAsia="en-AU"/>
        </w:rPr>
      </w:pPr>
    </w:p>
    <w:p w14:paraId="29884D60" w14:textId="7422EBDE" w:rsidR="00BE1FF7" w:rsidRDefault="00D52C16" w:rsidP="00B268B7">
      <w:pPr>
        <w:spacing w:after="0"/>
        <w:rPr>
          <w:rFonts w:eastAsia="Times New Roman" w:cs="Times New Roman"/>
          <w:lang w:eastAsia="en-AU"/>
        </w:rPr>
      </w:pPr>
      <w:r>
        <w:rPr>
          <w:rFonts w:eastAsia="Times New Roman" w:cs="Times New Roman"/>
          <w:lang w:eastAsia="en-AU"/>
        </w:rPr>
        <w:t xml:space="preserve">That matter needs to be assessed at the general level, not by ‘expert’ speculation about commercial outcomes.  </w:t>
      </w:r>
      <w:r w:rsidR="00BE1FF7">
        <w:rPr>
          <w:rFonts w:eastAsia="Times New Roman" w:cs="Times New Roman"/>
          <w:lang w:eastAsia="en-AU"/>
        </w:rPr>
        <w:t xml:space="preserve">The assessment of expert evidence is of no assistance to the policy issue.  </w:t>
      </w:r>
    </w:p>
    <w:p w14:paraId="2E9901BD" w14:textId="77777777" w:rsidR="00BE1FF7" w:rsidRDefault="00BE1FF7" w:rsidP="00B268B7">
      <w:pPr>
        <w:spacing w:after="0"/>
        <w:rPr>
          <w:rFonts w:eastAsia="Times New Roman" w:cs="Times New Roman"/>
          <w:lang w:eastAsia="en-AU"/>
        </w:rPr>
      </w:pPr>
    </w:p>
    <w:p w14:paraId="002426B6" w14:textId="679E1EB1" w:rsidR="00D52C16" w:rsidRDefault="00D52C16" w:rsidP="00B268B7">
      <w:pPr>
        <w:spacing w:after="0"/>
        <w:rPr>
          <w:rFonts w:eastAsia="Times New Roman" w:cs="Times New Roman"/>
          <w:lang w:eastAsia="en-AU"/>
        </w:rPr>
      </w:pPr>
      <w:r>
        <w:rPr>
          <w:rFonts w:eastAsia="Times New Roman" w:cs="Times New Roman"/>
          <w:lang w:eastAsia="en-AU"/>
        </w:rPr>
        <w:t>Th</w:t>
      </w:r>
      <w:r w:rsidR="00BE1FF7">
        <w:rPr>
          <w:rFonts w:eastAsia="Times New Roman" w:cs="Times New Roman"/>
          <w:lang w:eastAsia="en-AU"/>
        </w:rPr>
        <w:t xml:space="preserve">e general </w:t>
      </w:r>
      <w:r>
        <w:rPr>
          <w:rFonts w:eastAsia="Times New Roman" w:cs="Times New Roman"/>
          <w:lang w:eastAsia="en-AU"/>
        </w:rPr>
        <w:t xml:space="preserve">level includes identification of catchments and relevant roads.  </w:t>
      </w:r>
      <w:r w:rsidR="00BE1FF7">
        <w:rPr>
          <w:rFonts w:eastAsia="Times New Roman" w:cs="Times New Roman"/>
          <w:lang w:eastAsia="en-AU"/>
        </w:rPr>
        <w:t>In the case of Botany-Newcastle, t</w:t>
      </w:r>
      <w:r>
        <w:rPr>
          <w:rFonts w:eastAsia="Times New Roman" w:cs="Times New Roman"/>
          <w:lang w:eastAsia="en-AU"/>
        </w:rPr>
        <w:t>he identification of roads – and a major gap in the freight route</w:t>
      </w:r>
      <w:r w:rsidR="00BE1FF7">
        <w:rPr>
          <w:rFonts w:eastAsia="Times New Roman" w:cs="Times New Roman"/>
          <w:lang w:eastAsia="en-AU"/>
        </w:rPr>
        <w:t xml:space="preserve"> in the centre of the metropolitan area</w:t>
      </w:r>
      <w:r>
        <w:rPr>
          <w:rFonts w:eastAsia="Times New Roman" w:cs="Times New Roman"/>
          <w:lang w:eastAsia="en-AU"/>
        </w:rPr>
        <w:t xml:space="preserve"> - provides further evidence of the incompetence of NSW ports and freight policy</w:t>
      </w:r>
      <w:r w:rsidR="00BE1FF7">
        <w:rPr>
          <w:rFonts w:eastAsia="Times New Roman" w:cs="Times New Roman"/>
          <w:lang w:eastAsia="en-AU"/>
        </w:rPr>
        <w:t xml:space="preserve"> at least at the time the</w:t>
      </w:r>
      <w:r w:rsidR="003B3D43">
        <w:rPr>
          <w:rFonts w:eastAsia="Times New Roman" w:cs="Times New Roman"/>
          <w:lang w:eastAsia="en-AU"/>
        </w:rPr>
        <w:t xml:space="preserve"> use-</w:t>
      </w:r>
      <w:r w:rsidR="00BE1FF7">
        <w:rPr>
          <w:rFonts w:eastAsia="Times New Roman" w:cs="Times New Roman"/>
          <w:lang w:eastAsia="en-AU"/>
        </w:rPr>
        <w:t>Botany-capacity</w:t>
      </w:r>
      <w:r w:rsidR="00641572">
        <w:rPr>
          <w:rFonts w:eastAsia="Times New Roman" w:cs="Times New Roman"/>
          <w:lang w:eastAsia="en-AU"/>
        </w:rPr>
        <w:t>-</w:t>
      </w:r>
      <w:r w:rsidR="00BE1FF7">
        <w:rPr>
          <w:rFonts w:eastAsia="Times New Roman" w:cs="Times New Roman"/>
          <w:lang w:eastAsia="en-AU"/>
        </w:rPr>
        <w:t>first policy took shape</w:t>
      </w:r>
      <w:r>
        <w:rPr>
          <w:rFonts w:eastAsia="Times New Roman" w:cs="Times New Roman"/>
          <w:lang w:eastAsia="en-AU"/>
        </w:rPr>
        <w:t>.</w:t>
      </w:r>
    </w:p>
    <w:p w14:paraId="0AB3978B" w14:textId="26C9649F" w:rsidR="008A5AE0" w:rsidRDefault="008A5AE0" w:rsidP="00B268B7">
      <w:pPr>
        <w:spacing w:after="0"/>
        <w:rPr>
          <w:rFonts w:eastAsia="Times New Roman" w:cs="Times New Roman"/>
          <w:lang w:eastAsia="en-AU"/>
        </w:rPr>
      </w:pPr>
    </w:p>
    <w:p w14:paraId="045E661A" w14:textId="75D4B985" w:rsidR="00C2406D" w:rsidRDefault="008A5AE0" w:rsidP="00B268B7">
      <w:pPr>
        <w:spacing w:after="0"/>
        <w:rPr>
          <w:rFonts w:eastAsia="Times New Roman" w:cs="Times New Roman"/>
          <w:lang w:eastAsia="en-AU"/>
        </w:rPr>
      </w:pPr>
      <w:r>
        <w:rPr>
          <w:rFonts w:eastAsia="Times New Roman" w:cs="Times New Roman"/>
          <w:lang w:eastAsia="en-AU"/>
        </w:rPr>
        <w:t xml:space="preserve">The Court equated the aims and approach of the policy with an assessment by Infrastructure Australia.  </w:t>
      </w:r>
      <w:r w:rsidR="00641572">
        <w:rPr>
          <w:rFonts w:eastAsia="Times New Roman" w:cs="Times New Roman"/>
          <w:lang w:eastAsia="en-AU"/>
        </w:rPr>
        <w:t xml:space="preserve">However, the policy would fail </w:t>
      </w:r>
      <w:r w:rsidR="00C2406D">
        <w:rPr>
          <w:rFonts w:eastAsia="Times New Roman" w:cs="Times New Roman"/>
          <w:lang w:eastAsia="en-AU"/>
        </w:rPr>
        <w:t xml:space="preserve">every part of the </w:t>
      </w:r>
      <w:r w:rsidR="00641572">
        <w:rPr>
          <w:rFonts w:eastAsia="Times New Roman" w:cs="Times New Roman"/>
          <w:lang w:eastAsia="en-AU"/>
        </w:rPr>
        <w:t xml:space="preserve">assessment </w:t>
      </w:r>
      <w:r w:rsidR="00C2406D">
        <w:rPr>
          <w:rFonts w:eastAsia="Times New Roman" w:cs="Times New Roman"/>
          <w:lang w:eastAsia="en-AU"/>
        </w:rPr>
        <w:t xml:space="preserve">process outlined by </w:t>
      </w:r>
      <w:r w:rsidR="00641572">
        <w:rPr>
          <w:rFonts w:eastAsia="Times New Roman" w:cs="Times New Roman"/>
          <w:lang w:eastAsia="en-AU"/>
        </w:rPr>
        <w:t xml:space="preserve">Infrastructure Australia.  </w:t>
      </w:r>
      <w:r w:rsidR="00C2406D">
        <w:rPr>
          <w:rFonts w:eastAsia="Times New Roman" w:cs="Times New Roman"/>
          <w:lang w:eastAsia="en-AU"/>
        </w:rPr>
        <w:t xml:space="preserve">There is not any demonstration the policy: identifies or relates to </w:t>
      </w:r>
      <w:r w:rsidR="00641572">
        <w:rPr>
          <w:rFonts w:eastAsia="Times New Roman" w:cs="Times New Roman"/>
          <w:lang w:eastAsia="en-AU"/>
        </w:rPr>
        <w:t>a problem</w:t>
      </w:r>
      <w:r w:rsidR="00C2406D">
        <w:rPr>
          <w:rFonts w:eastAsia="Times New Roman" w:cs="Times New Roman"/>
          <w:lang w:eastAsia="en-AU"/>
        </w:rPr>
        <w:t>;</w:t>
      </w:r>
      <w:r w:rsidR="00641572">
        <w:rPr>
          <w:rFonts w:eastAsia="Times New Roman" w:cs="Times New Roman"/>
          <w:lang w:eastAsia="en-AU"/>
        </w:rPr>
        <w:t xml:space="preserve"> was developed </w:t>
      </w:r>
      <w:r w:rsidR="00C2406D">
        <w:rPr>
          <w:rFonts w:eastAsia="Times New Roman" w:cs="Times New Roman"/>
          <w:lang w:eastAsia="en-AU"/>
        </w:rPr>
        <w:t xml:space="preserve">after considering options; is supported by a business case; has been reviewed.  </w:t>
      </w:r>
      <w:r>
        <w:rPr>
          <w:rFonts w:eastAsia="Times New Roman" w:cs="Times New Roman"/>
          <w:lang w:eastAsia="en-AU"/>
        </w:rPr>
        <w:t xml:space="preserve"> </w:t>
      </w:r>
    </w:p>
    <w:p w14:paraId="1FDA616B" w14:textId="77777777" w:rsidR="00C2406D" w:rsidRDefault="00C2406D" w:rsidP="00B268B7">
      <w:pPr>
        <w:spacing w:after="0"/>
        <w:rPr>
          <w:rFonts w:eastAsia="Times New Roman" w:cs="Times New Roman"/>
          <w:lang w:eastAsia="en-AU"/>
        </w:rPr>
      </w:pPr>
    </w:p>
    <w:p w14:paraId="305ED45D" w14:textId="11990F0A" w:rsidR="008A5AE0" w:rsidRDefault="00C2406D" w:rsidP="00B268B7">
      <w:pPr>
        <w:spacing w:after="0"/>
        <w:rPr>
          <w:rFonts w:eastAsia="Times New Roman" w:cs="Times New Roman"/>
          <w:lang w:eastAsia="en-AU"/>
        </w:rPr>
      </w:pPr>
      <w:r>
        <w:rPr>
          <w:rFonts w:eastAsia="Times New Roman" w:cs="Times New Roman"/>
          <w:lang w:eastAsia="en-AU"/>
        </w:rPr>
        <w:t>Further, the Court</w:t>
      </w:r>
      <w:r w:rsidR="008A5AE0">
        <w:rPr>
          <w:rFonts w:eastAsia="Times New Roman" w:cs="Times New Roman"/>
          <w:lang w:eastAsia="en-AU"/>
        </w:rPr>
        <w:t xml:space="preserve"> did not apparently appreciate the particular </w:t>
      </w:r>
      <w:r>
        <w:rPr>
          <w:rFonts w:eastAsia="Times New Roman" w:cs="Times New Roman"/>
          <w:lang w:eastAsia="en-AU"/>
        </w:rPr>
        <w:t xml:space="preserve">Infrastructure Australia </w:t>
      </w:r>
      <w:r w:rsidR="008A5AE0">
        <w:rPr>
          <w:rFonts w:eastAsia="Times New Roman" w:cs="Times New Roman"/>
          <w:lang w:eastAsia="en-AU"/>
        </w:rPr>
        <w:t xml:space="preserve">assessment </w:t>
      </w:r>
      <w:r>
        <w:rPr>
          <w:rFonts w:eastAsia="Times New Roman" w:cs="Times New Roman"/>
          <w:lang w:eastAsia="en-AU"/>
        </w:rPr>
        <w:t xml:space="preserve">it referred to </w:t>
      </w:r>
      <w:r w:rsidR="008A5AE0">
        <w:rPr>
          <w:rFonts w:eastAsia="Times New Roman" w:cs="Times New Roman"/>
          <w:lang w:eastAsia="en-AU"/>
        </w:rPr>
        <w:t xml:space="preserve">was a unique and bizarre example of a ‘proponent’ – the NSW Government - wishing to have </w:t>
      </w:r>
      <w:r w:rsidR="00C34441">
        <w:rPr>
          <w:rFonts w:eastAsia="Times New Roman" w:cs="Times New Roman"/>
          <w:lang w:eastAsia="en-AU"/>
        </w:rPr>
        <w:t>a</w:t>
      </w:r>
      <w:r w:rsidR="008A5AE0">
        <w:rPr>
          <w:rFonts w:eastAsia="Times New Roman" w:cs="Times New Roman"/>
          <w:lang w:eastAsia="en-AU"/>
        </w:rPr>
        <w:t xml:space="preserve"> freight </w:t>
      </w:r>
      <w:r w:rsidR="00C34441">
        <w:rPr>
          <w:rFonts w:eastAsia="Times New Roman" w:cs="Times New Roman"/>
          <w:lang w:eastAsia="en-AU"/>
        </w:rPr>
        <w:t xml:space="preserve">infrastructure </w:t>
      </w:r>
      <w:r w:rsidR="008A5AE0">
        <w:rPr>
          <w:rFonts w:eastAsia="Times New Roman" w:cs="Times New Roman"/>
          <w:lang w:eastAsia="en-AU"/>
        </w:rPr>
        <w:t xml:space="preserve">proposal publicly rejected.  </w:t>
      </w:r>
    </w:p>
    <w:p w14:paraId="1477FE47" w14:textId="77777777" w:rsidR="008A5AE0" w:rsidRDefault="008A5AE0" w:rsidP="00B268B7">
      <w:pPr>
        <w:spacing w:after="0"/>
        <w:rPr>
          <w:rFonts w:eastAsia="Times New Roman" w:cs="Times New Roman"/>
          <w:lang w:eastAsia="en-AU"/>
        </w:rPr>
      </w:pPr>
    </w:p>
    <w:p w14:paraId="1725F949" w14:textId="1539955F" w:rsidR="008A5AE0" w:rsidRDefault="00C2406D" w:rsidP="00B268B7">
      <w:pPr>
        <w:spacing w:after="0"/>
        <w:rPr>
          <w:rFonts w:eastAsia="Times New Roman" w:cs="Times New Roman"/>
          <w:lang w:eastAsia="en-AU"/>
        </w:rPr>
      </w:pPr>
      <w:r>
        <w:rPr>
          <w:rFonts w:eastAsia="Times New Roman" w:cs="Times New Roman"/>
          <w:lang w:eastAsia="en-AU"/>
        </w:rPr>
        <w:t>The</w:t>
      </w:r>
      <w:r w:rsidR="00227C79">
        <w:rPr>
          <w:rFonts w:eastAsia="Times New Roman" w:cs="Times New Roman"/>
          <w:lang w:eastAsia="en-AU"/>
        </w:rPr>
        <w:t xml:space="preserve"> NSW </w:t>
      </w:r>
      <w:r w:rsidR="00967C27">
        <w:rPr>
          <w:rFonts w:eastAsia="Times New Roman" w:cs="Times New Roman"/>
          <w:lang w:eastAsia="en-AU"/>
        </w:rPr>
        <w:t xml:space="preserve">Government’s </w:t>
      </w:r>
      <w:r w:rsidR="00227C79">
        <w:rPr>
          <w:rFonts w:eastAsia="Times New Roman" w:cs="Times New Roman"/>
          <w:lang w:eastAsia="en-AU"/>
        </w:rPr>
        <w:t>ports policy</w:t>
      </w:r>
      <w:r>
        <w:rPr>
          <w:rFonts w:eastAsia="Times New Roman" w:cs="Times New Roman"/>
          <w:lang w:eastAsia="en-AU"/>
        </w:rPr>
        <w:t xml:space="preserve">, and defence of the penalty-compensation </w:t>
      </w:r>
      <w:r w:rsidR="0069315E">
        <w:rPr>
          <w:rFonts w:eastAsia="Times New Roman" w:cs="Times New Roman"/>
          <w:lang w:eastAsia="en-AU"/>
        </w:rPr>
        <w:t>scheme</w:t>
      </w:r>
      <w:r>
        <w:rPr>
          <w:rFonts w:eastAsia="Times New Roman" w:cs="Times New Roman"/>
          <w:lang w:eastAsia="en-AU"/>
        </w:rPr>
        <w:t>,</w:t>
      </w:r>
      <w:r w:rsidR="00227C79">
        <w:rPr>
          <w:rFonts w:eastAsia="Times New Roman" w:cs="Times New Roman"/>
          <w:lang w:eastAsia="en-AU"/>
        </w:rPr>
        <w:t xml:space="preserve"> bears similarities to </w:t>
      </w:r>
      <w:r w:rsidR="00967C27">
        <w:rPr>
          <w:rFonts w:eastAsia="Times New Roman" w:cs="Times New Roman"/>
          <w:lang w:eastAsia="en-AU"/>
        </w:rPr>
        <w:t xml:space="preserve">its </w:t>
      </w:r>
      <w:r w:rsidR="00227C79">
        <w:rPr>
          <w:rFonts w:eastAsia="Times New Roman" w:cs="Times New Roman"/>
          <w:lang w:eastAsia="en-AU"/>
        </w:rPr>
        <w:t xml:space="preserve">policies for Sydney Metro and the Transport Asset Holding Entity.  </w:t>
      </w:r>
      <w:r w:rsidR="00F10DDE">
        <w:rPr>
          <w:rFonts w:eastAsia="Times New Roman" w:cs="Times New Roman"/>
          <w:lang w:eastAsia="en-AU"/>
        </w:rPr>
        <w:t xml:space="preserve">The </w:t>
      </w:r>
      <w:r>
        <w:rPr>
          <w:rFonts w:eastAsia="Times New Roman" w:cs="Times New Roman"/>
          <w:lang w:eastAsia="en-AU"/>
        </w:rPr>
        <w:t>explanation</w:t>
      </w:r>
      <w:r w:rsidR="00F10DDE">
        <w:rPr>
          <w:rFonts w:eastAsia="Times New Roman" w:cs="Times New Roman"/>
          <w:lang w:eastAsia="en-AU"/>
        </w:rPr>
        <w:t xml:space="preserve">s of each take </w:t>
      </w:r>
      <w:r>
        <w:rPr>
          <w:rFonts w:eastAsia="Times New Roman" w:cs="Times New Roman"/>
          <w:lang w:eastAsia="en-AU"/>
        </w:rPr>
        <w:t>the form of public-relations propaganda</w:t>
      </w:r>
      <w:r w:rsidR="00F10DDE">
        <w:rPr>
          <w:rFonts w:eastAsia="Times New Roman" w:cs="Times New Roman"/>
          <w:lang w:eastAsia="en-AU"/>
        </w:rPr>
        <w:t xml:space="preserve">.  They appear to </w:t>
      </w:r>
      <w:r>
        <w:rPr>
          <w:rFonts w:eastAsia="Times New Roman" w:cs="Times New Roman"/>
          <w:lang w:eastAsia="en-AU"/>
        </w:rPr>
        <w:t>grasp</w:t>
      </w:r>
      <w:r w:rsidR="00F10DDE">
        <w:rPr>
          <w:rFonts w:eastAsia="Times New Roman" w:cs="Times New Roman"/>
          <w:lang w:eastAsia="en-AU"/>
        </w:rPr>
        <w:t xml:space="preserve"> </w:t>
      </w:r>
      <w:r>
        <w:rPr>
          <w:rFonts w:eastAsia="Times New Roman" w:cs="Times New Roman"/>
          <w:lang w:eastAsia="en-AU"/>
        </w:rPr>
        <w:t>for</w:t>
      </w:r>
      <w:r w:rsidR="00227C79">
        <w:rPr>
          <w:rFonts w:eastAsia="Times New Roman" w:cs="Times New Roman"/>
          <w:lang w:eastAsia="en-AU"/>
        </w:rPr>
        <w:t xml:space="preserve"> an acceptable explanation of </w:t>
      </w:r>
      <w:r w:rsidR="00967C27">
        <w:rPr>
          <w:rFonts w:eastAsia="Times New Roman" w:cs="Times New Roman"/>
          <w:lang w:eastAsia="en-AU"/>
        </w:rPr>
        <w:t xml:space="preserve">prior </w:t>
      </w:r>
      <w:r w:rsidR="00227C79">
        <w:rPr>
          <w:rFonts w:eastAsia="Times New Roman" w:cs="Times New Roman"/>
          <w:lang w:eastAsia="en-AU"/>
        </w:rPr>
        <w:t>decision</w:t>
      </w:r>
      <w:r w:rsidR="00F10DDE">
        <w:rPr>
          <w:rFonts w:eastAsia="Times New Roman" w:cs="Times New Roman"/>
          <w:lang w:eastAsia="en-AU"/>
        </w:rPr>
        <w:t>s</w:t>
      </w:r>
      <w:r w:rsidR="00227C79">
        <w:rPr>
          <w:rFonts w:eastAsia="Times New Roman" w:cs="Times New Roman"/>
          <w:lang w:eastAsia="en-AU"/>
        </w:rPr>
        <w:t xml:space="preserve"> inexplicable on public policy grounds.</w:t>
      </w:r>
    </w:p>
    <w:p w14:paraId="3F0CF578" w14:textId="77777777" w:rsidR="00D52C16" w:rsidRDefault="00D52C16" w:rsidP="00B268B7">
      <w:pPr>
        <w:spacing w:after="0"/>
        <w:rPr>
          <w:rFonts w:eastAsia="Times New Roman" w:cs="Times New Roman"/>
          <w:lang w:eastAsia="en-AU"/>
        </w:rPr>
      </w:pPr>
    </w:p>
    <w:p w14:paraId="72473E0C" w14:textId="4E036CF9" w:rsidR="00AD7C20" w:rsidRDefault="00AD7C20" w:rsidP="00B268B7">
      <w:pPr>
        <w:spacing w:after="0"/>
        <w:rPr>
          <w:rFonts w:eastAsia="Times New Roman" w:cs="Times New Roman"/>
          <w:lang w:eastAsia="en-AU"/>
        </w:rPr>
      </w:pPr>
      <w:r>
        <w:rPr>
          <w:rFonts w:eastAsia="Times New Roman" w:cs="Times New Roman"/>
          <w:lang w:eastAsia="en-AU"/>
        </w:rPr>
        <w:t>The Court is constrained by the evidence placed before it.  Some of th</w:t>
      </w:r>
      <w:r w:rsidR="00227C79">
        <w:rPr>
          <w:rFonts w:eastAsia="Times New Roman" w:cs="Times New Roman"/>
          <w:lang w:eastAsia="en-AU"/>
        </w:rPr>
        <w:t>e</w:t>
      </w:r>
      <w:r>
        <w:rPr>
          <w:rFonts w:eastAsia="Times New Roman" w:cs="Times New Roman"/>
          <w:lang w:eastAsia="en-AU"/>
        </w:rPr>
        <w:t xml:space="preserve"> evidence </w:t>
      </w:r>
      <w:r w:rsidR="00BE1FF7">
        <w:rPr>
          <w:rFonts w:eastAsia="Times New Roman" w:cs="Times New Roman"/>
          <w:lang w:eastAsia="en-AU"/>
        </w:rPr>
        <w:t>it cited app</w:t>
      </w:r>
      <w:r w:rsidR="00967C27">
        <w:rPr>
          <w:rFonts w:eastAsia="Times New Roman" w:cs="Times New Roman"/>
          <w:lang w:eastAsia="en-AU"/>
        </w:rPr>
        <w:t>eared to</w:t>
      </w:r>
      <w:r w:rsidR="00BE1FF7">
        <w:rPr>
          <w:rFonts w:eastAsia="Times New Roman" w:cs="Times New Roman"/>
          <w:lang w:eastAsia="en-AU"/>
        </w:rPr>
        <w:t xml:space="preserve"> misle</w:t>
      </w:r>
      <w:r w:rsidR="00967C27">
        <w:rPr>
          <w:rFonts w:eastAsia="Times New Roman" w:cs="Times New Roman"/>
          <w:lang w:eastAsia="en-AU"/>
        </w:rPr>
        <w:t>a</w:t>
      </w:r>
      <w:r w:rsidR="00BE1FF7">
        <w:rPr>
          <w:rFonts w:eastAsia="Times New Roman" w:cs="Times New Roman"/>
          <w:lang w:eastAsia="en-AU"/>
        </w:rPr>
        <w:t>d it</w:t>
      </w:r>
      <w:r>
        <w:rPr>
          <w:rFonts w:eastAsia="Times New Roman" w:cs="Times New Roman"/>
          <w:lang w:eastAsia="en-AU"/>
        </w:rPr>
        <w:t xml:space="preserve">. This article is based on the Court’s interpretations rather than that evidence which has not </w:t>
      </w:r>
      <w:r w:rsidR="00BE1FF7">
        <w:rPr>
          <w:rFonts w:eastAsia="Times New Roman" w:cs="Times New Roman"/>
          <w:lang w:eastAsia="en-AU"/>
        </w:rPr>
        <w:t xml:space="preserve">been </w:t>
      </w:r>
      <w:r>
        <w:rPr>
          <w:rFonts w:eastAsia="Times New Roman" w:cs="Times New Roman"/>
          <w:lang w:eastAsia="en-AU"/>
        </w:rPr>
        <w:t>reviewed.</w:t>
      </w:r>
    </w:p>
    <w:p w14:paraId="50FC287F" w14:textId="74AA7523" w:rsidR="00AD7C20" w:rsidRDefault="00AD7C20" w:rsidP="00B268B7">
      <w:pPr>
        <w:spacing w:after="0"/>
        <w:rPr>
          <w:rFonts w:eastAsia="Times New Roman" w:cs="Times New Roman"/>
          <w:lang w:eastAsia="en-AU"/>
        </w:rPr>
      </w:pPr>
    </w:p>
    <w:p w14:paraId="4A5CBA39" w14:textId="369EC7C5" w:rsidR="00AD7C20" w:rsidRDefault="00BE1FF7" w:rsidP="00B268B7">
      <w:pPr>
        <w:spacing w:after="0"/>
        <w:rPr>
          <w:rFonts w:eastAsia="Times New Roman" w:cs="Times New Roman"/>
          <w:lang w:eastAsia="en-AU"/>
        </w:rPr>
      </w:pPr>
      <w:r>
        <w:rPr>
          <w:rFonts w:eastAsia="Times New Roman" w:cs="Times New Roman"/>
          <w:lang w:eastAsia="en-AU"/>
        </w:rPr>
        <w:t xml:space="preserve">This article did not assess the correctness of the Court’s decision – which was based on Crown immunity.  However, it does cast doubt on the Court’s speculations that went beyond </w:t>
      </w:r>
      <w:r w:rsidR="00BA504F">
        <w:rPr>
          <w:rFonts w:eastAsia="Times New Roman" w:cs="Times New Roman"/>
          <w:lang w:eastAsia="en-AU"/>
        </w:rPr>
        <w:t xml:space="preserve">that reason.  </w:t>
      </w:r>
    </w:p>
    <w:p w14:paraId="04629761" w14:textId="74797C15" w:rsidR="00C2406D" w:rsidRDefault="00C2406D" w:rsidP="00B268B7">
      <w:pPr>
        <w:spacing w:after="0"/>
        <w:rPr>
          <w:rFonts w:eastAsia="Times New Roman" w:cs="Times New Roman"/>
          <w:lang w:eastAsia="en-AU"/>
        </w:rPr>
      </w:pPr>
    </w:p>
    <w:p w14:paraId="739A31D4" w14:textId="4219E159" w:rsidR="00C2406D" w:rsidRDefault="00C2406D" w:rsidP="00B268B7">
      <w:pPr>
        <w:spacing w:after="0"/>
        <w:rPr>
          <w:rFonts w:eastAsia="Times New Roman" w:cs="Times New Roman"/>
          <w:lang w:eastAsia="en-AU"/>
        </w:rPr>
      </w:pPr>
    </w:p>
    <w:p w14:paraId="70B0B1C1" w14:textId="2545E0B2" w:rsidR="00C2406D" w:rsidRDefault="00C2406D" w:rsidP="00B268B7">
      <w:pPr>
        <w:spacing w:after="0"/>
        <w:rPr>
          <w:rFonts w:eastAsia="Times New Roman" w:cs="Times New Roman"/>
          <w:lang w:eastAsia="en-AU"/>
        </w:rPr>
      </w:pPr>
      <w:r>
        <w:rPr>
          <w:rFonts w:eastAsia="Times New Roman" w:cs="Times New Roman"/>
          <w:lang w:eastAsia="en-AU"/>
        </w:rPr>
        <w:t xml:space="preserve"> August 2021</w:t>
      </w:r>
      <w:bookmarkEnd w:id="0"/>
    </w:p>
    <w:sectPr w:rsidR="00C2406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D2A1" w14:textId="77777777" w:rsidR="001052FB" w:rsidRDefault="001052FB" w:rsidP="00737494">
      <w:pPr>
        <w:spacing w:after="0" w:line="240" w:lineRule="auto"/>
      </w:pPr>
      <w:r>
        <w:separator/>
      </w:r>
    </w:p>
  </w:endnote>
  <w:endnote w:type="continuationSeparator" w:id="0">
    <w:p w14:paraId="23BE1F80" w14:textId="77777777" w:rsidR="001052FB" w:rsidRDefault="001052FB" w:rsidP="0073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AEAC" w14:textId="77777777" w:rsidR="005D1078" w:rsidRDefault="005D1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469016"/>
      <w:docPartObj>
        <w:docPartGallery w:val="Page Numbers (Bottom of Page)"/>
        <w:docPartUnique/>
      </w:docPartObj>
    </w:sdtPr>
    <w:sdtEndPr>
      <w:rPr>
        <w:noProof/>
      </w:rPr>
    </w:sdtEndPr>
    <w:sdtContent>
      <w:p w14:paraId="5AC0285C" w14:textId="5DC801BC" w:rsidR="005D1078" w:rsidRDefault="005D10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F85E25" w14:textId="77777777" w:rsidR="005D1078" w:rsidRDefault="005D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B9A0" w14:textId="77777777" w:rsidR="005D1078" w:rsidRDefault="005D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3341" w14:textId="77777777" w:rsidR="001052FB" w:rsidRDefault="001052FB" w:rsidP="00737494">
      <w:pPr>
        <w:spacing w:after="0" w:line="240" w:lineRule="auto"/>
      </w:pPr>
      <w:r>
        <w:separator/>
      </w:r>
    </w:p>
  </w:footnote>
  <w:footnote w:type="continuationSeparator" w:id="0">
    <w:p w14:paraId="579DC4CE" w14:textId="77777777" w:rsidR="001052FB" w:rsidRDefault="001052FB" w:rsidP="00737494">
      <w:pPr>
        <w:spacing w:after="0" w:line="240" w:lineRule="auto"/>
      </w:pPr>
      <w:r>
        <w:continuationSeparator/>
      </w:r>
    </w:p>
  </w:footnote>
  <w:footnote w:id="1">
    <w:p w14:paraId="33625FB6" w14:textId="786C40C8" w:rsidR="008679FA" w:rsidRPr="008679FA" w:rsidRDefault="008679FA" w:rsidP="008679FA">
      <w:pPr>
        <w:pStyle w:val="EndnoteText"/>
        <w:rPr>
          <w:rStyle w:val="Hyperlink"/>
          <w:rFonts w:eastAsia="Times New Roman" w:cstheme="minorHAnsi"/>
          <w:color w:val="auto"/>
          <w:sz w:val="18"/>
          <w:szCs w:val="18"/>
          <w:lang w:eastAsia="en-AU"/>
        </w:rPr>
      </w:pPr>
      <w:r w:rsidRPr="008679FA">
        <w:rPr>
          <w:rStyle w:val="FootnoteReference"/>
          <w:sz w:val="18"/>
          <w:szCs w:val="18"/>
        </w:rPr>
        <w:footnoteRef/>
      </w:r>
      <w:r w:rsidRPr="008679FA">
        <w:rPr>
          <w:sz w:val="18"/>
          <w:szCs w:val="18"/>
        </w:rPr>
        <w:t xml:space="preserve"> </w:t>
      </w:r>
      <w:hyperlink r:id="rId1" w:history="1">
        <w:r w:rsidRPr="008679FA">
          <w:rPr>
            <w:rStyle w:val="Hyperlink"/>
            <w:rFonts w:eastAsia="Times New Roman" w:cstheme="minorHAnsi"/>
            <w:color w:val="auto"/>
            <w:sz w:val="18"/>
            <w:szCs w:val="18"/>
            <w:lang w:eastAsia="en-AU"/>
          </w:rPr>
          <w:t>https://johnmenadue.com/john-menadue-newcastle-port-another-botched-privatisation-a-repost-from-5-september-2016/</w:t>
        </w:r>
      </w:hyperlink>
    </w:p>
    <w:p w14:paraId="6BFE39FB" w14:textId="77777777" w:rsidR="008679FA" w:rsidRPr="008679FA" w:rsidRDefault="008679FA" w:rsidP="008679FA">
      <w:pPr>
        <w:pStyle w:val="EndnoteText"/>
        <w:rPr>
          <w:sz w:val="18"/>
          <w:szCs w:val="18"/>
        </w:rPr>
      </w:pPr>
    </w:p>
  </w:footnote>
  <w:footnote w:id="2">
    <w:p w14:paraId="06AA60B1" w14:textId="77777777" w:rsidR="008679FA" w:rsidRPr="008679FA" w:rsidRDefault="008679FA" w:rsidP="008679FA">
      <w:pPr>
        <w:pStyle w:val="EndnoteText"/>
        <w:rPr>
          <w:rFonts w:cstheme="minorHAnsi"/>
          <w:sz w:val="18"/>
          <w:szCs w:val="18"/>
        </w:rPr>
      </w:pPr>
      <w:r w:rsidRPr="008679FA">
        <w:rPr>
          <w:rStyle w:val="FootnoteReference"/>
          <w:sz w:val="18"/>
          <w:szCs w:val="18"/>
        </w:rPr>
        <w:footnoteRef/>
      </w:r>
      <w:hyperlink r:id="rId2" w:history="1">
        <w:r w:rsidRPr="008679FA">
          <w:rPr>
            <w:rStyle w:val="Hyperlink"/>
            <w:rFonts w:cstheme="minorHAnsi"/>
            <w:sz w:val="18"/>
            <w:szCs w:val="18"/>
          </w:rPr>
          <w:t>https://www.thejadebeagle.com/election-2019.html</w:t>
        </w:r>
      </w:hyperlink>
    </w:p>
    <w:p w14:paraId="7608B4CF" w14:textId="77483E53" w:rsidR="008679FA" w:rsidRPr="008679FA" w:rsidRDefault="008679FA">
      <w:pPr>
        <w:pStyle w:val="FootnoteText"/>
        <w:rPr>
          <w:sz w:val="18"/>
          <w:szCs w:val="18"/>
        </w:rPr>
      </w:pPr>
      <w:r w:rsidRPr="008679FA">
        <w:rPr>
          <w:sz w:val="18"/>
          <w:szCs w:val="18"/>
        </w:rPr>
        <w:t xml:space="preserve"> </w:t>
      </w:r>
    </w:p>
  </w:footnote>
  <w:footnote w:id="3">
    <w:p w14:paraId="7A9C1235" w14:textId="77777777" w:rsidR="008679FA" w:rsidRPr="008679FA" w:rsidRDefault="008679FA" w:rsidP="008679FA">
      <w:pPr>
        <w:pStyle w:val="EndnoteText"/>
        <w:rPr>
          <w:rFonts w:cstheme="minorHAnsi"/>
          <w:sz w:val="18"/>
          <w:szCs w:val="18"/>
        </w:rPr>
      </w:pPr>
      <w:r w:rsidRPr="008679FA">
        <w:rPr>
          <w:rStyle w:val="FootnoteReference"/>
          <w:sz w:val="18"/>
          <w:szCs w:val="18"/>
        </w:rPr>
        <w:footnoteRef/>
      </w:r>
      <w:r w:rsidRPr="008679FA">
        <w:rPr>
          <w:sz w:val="18"/>
          <w:szCs w:val="18"/>
        </w:rPr>
        <w:t xml:space="preserve"> </w:t>
      </w:r>
      <w:hyperlink r:id="rId3" w:history="1">
        <w:r w:rsidRPr="008679FA">
          <w:rPr>
            <w:rStyle w:val="Hyperlink"/>
            <w:rFonts w:cstheme="minorHAnsi"/>
            <w:sz w:val="18"/>
            <w:szCs w:val="18"/>
          </w:rPr>
          <w:t>https://www.accc.gov.au/media-release/accc-takes-action-against-nsw-ports</w:t>
        </w:r>
      </w:hyperlink>
    </w:p>
    <w:p w14:paraId="005AD52E" w14:textId="783D35DE" w:rsidR="008679FA" w:rsidRPr="008679FA" w:rsidRDefault="008679FA">
      <w:pPr>
        <w:pStyle w:val="FootnoteText"/>
        <w:rPr>
          <w:sz w:val="18"/>
          <w:szCs w:val="18"/>
        </w:rPr>
      </w:pPr>
    </w:p>
  </w:footnote>
  <w:footnote w:id="4">
    <w:p w14:paraId="6A14F192" w14:textId="5B37D66F" w:rsidR="008679FA" w:rsidRPr="008679FA" w:rsidRDefault="000F2852" w:rsidP="008679FA">
      <w:pPr>
        <w:pStyle w:val="EndnoteText"/>
        <w:rPr>
          <w:rFonts w:cstheme="minorHAnsi"/>
          <w:sz w:val="18"/>
          <w:szCs w:val="18"/>
        </w:rPr>
      </w:pPr>
      <w:r>
        <w:rPr>
          <w:rStyle w:val="FootnoteReference"/>
        </w:rPr>
        <w:footnoteRef/>
      </w:r>
      <w:r w:rsidR="008679FA" w:rsidRPr="008679FA">
        <w:rPr>
          <w:rStyle w:val="FootnoteReference"/>
          <w:sz w:val="18"/>
          <w:szCs w:val="18"/>
        </w:rPr>
        <w:footnoteRef/>
      </w:r>
      <w:r w:rsidR="008679FA" w:rsidRPr="008679FA">
        <w:rPr>
          <w:sz w:val="18"/>
          <w:szCs w:val="18"/>
        </w:rPr>
        <w:t xml:space="preserve"> </w:t>
      </w:r>
      <w:hyperlink r:id="rId4" w:history="1">
        <w:r w:rsidR="008679FA" w:rsidRPr="008679FA">
          <w:rPr>
            <w:rStyle w:val="Hyperlink"/>
            <w:rFonts w:cstheme="minorHAnsi"/>
            <w:sz w:val="18"/>
            <w:szCs w:val="18"/>
          </w:rPr>
          <w:t>https://www.thejadebeagle.com/time-for-federal-action-newcastle-port.html</w:t>
        </w:r>
      </w:hyperlink>
    </w:p>
    <w:p w14:paraId="2EAAD753" w14:textId="40845511" w:rsidR="008679FA" w:rsidRDefault="008679FA">
      <w:pPr>
        <w:pStyle w:val="FootnoteText"/>
      </w:pPr>
    </w:p>
  </w:footnote>
  <w:footnote w:id="5">
    <w:p w14:paraId="5946A7F7" w14:textId="77777777" w:rsidR="008679FA" w:rsidRPr="008679FA" w:rsidRDefault="008679FA" w:rsidP="008679FA">
      <w:pPr>
        <w:spacing w:after="0"/>
        <w:rPr>
          <w:rFonts w:cstheme="minorHAnsi"/>
          <w:sz w:val="18"/>
          <w:szCs w:val="18"/>
        </w:rPr>
      </w:pPr>
      <w:r w:rsidRPr="008679FA">
        <w:rPr>
          <w:rStyle w:val="FootnoteReference"/>
          <w:sz w:val="18"/>
          <w:szCs w:val="18"/>
        </w:rPr>
        <w:footnoteRef/>
      </w:r>
      <w:hyperlink r:id="rId5" w:history="1">
        <w:r w:rsidRPr="008679FA">
          <w:rPr>
            <w:rStyle w:val="Hyperlink"/>
            <w:rFonts w:eastAsia="Times New Roman" w:cstheme="minorHAnsi"/>
            <w:sz w:val="18"/>
            <w:szCs w:val="18"/>
            <w:lang w:eastAsia="en-AU"/>
          </w:rPr>
          <w:t>https://www.judgments.fedcourt.gov.au/judgments/Judgments/fca/single/2021/2021fca0720</w:t>
        </w:r>
      </w:hyperlink>
    </w:p>
    <w:p w14:paraId="1FF25AD2" w14:textId="236B587F" w:rsidR="008679FA" w:rsidRPr="008679FA" w:rsidRDefault="008679FA" w:rsidP="008679FA">
      <w:pPr>
        <w:pStyle w:val="FootnoteText"/>
        <w:rPr>
          <w:sz w:val="18"/>
          <w:szCs w:val="18"/>
        </w:rPr>
      </w:pPr>
    </w:p>
  </w:footnote>
  <w:footnote w:id="6">
    <w:p w14:paraId="2D62E1E4" w14:textId="77777777" w:rsidR="008679FA" w:rsidRPr="008679FA" w:rsidRDefault="008679FA" w:rsidP="008679FA">
      <w:pPr>
        <w:pStyle w:val="EndnoteText"/>
        <w:rPr>
          <w:rFonts w:cstheme="minorHAnsi"/>
          <w:sz w:val="18"/>
          <w:szCs w:val="18"/>
        </w:rPr>
      </w:pPr>
      <w:r w:rsidRPr="008679FA">
        <w:rPr>
          <w:rStyle w:val="FootnoteReference"/>
          <w:sz w:val="18"/>
          <w:szCs w:val="18"/>
        </w:rPr>
        <w:footnoteRef/>
      </w:r>
      <w:r w:rsidRPr="008679FA">
        <w:rPr>
          <w:sz w:val="18"/>
          <w:szCs w:val="18"/>
        </w:rPr>
        <w:t xml:space="preserve"> </w:t>
      </w:r>
      <w:hyperlink r:id="rId6" w:history="1">
        <w:r w:rsidRPr="008679FA">
          <w:rPr>
            <w:rStyle w:val="Hyperlink"/>
            <w:rFonts w:cstheme="minorHAnsi"/>
            <w:sz w:val="18"/>
            <w:szCs w:val="18"/>
          </w:rPr>
          <w:t>https://www.thejadebeagle.com/update-on-a-sell-out.html</w:t>
        </w:r>
      </w:hyperlink>
    </w:p>
    <w:p w14:paraId="51EE7CAB" w14:textId="5E8FAD63" w:rsidR="008679FA" w:rsidRPr="008679FA" w:rsidRDefault="001052FB" w:rsidP="008679FA">
      <w:pPr>
        <w:pStyle w:val="FootnoteText"/>
        <w:rPr>
          <w:rFonts w:cstheme="minorHAnsi"/>
          <w:sz w:val="18"/>
          <w:szCs w:val="18"/>
        </w:rPr>
      </w:pPr>
      <w:hyperlink r:id="rId7" w:history="1">
        <w:r w:rsidR="008679FA" w:rsidRPr="008679FA">
          <w:rPr>
            <w:rStyle w:val="Hyperlink"/>
            <w:rFonts w:cstheme="minorHAnsi"/>
            <w:sz w:val="18"/>
            <w:szCs w:val="18"/>
          </w:rPr>
          <w:t>https://www.thejadebeagle.com/time-for-federal-action-newcastle-port.html</w:t>
        </w:r>
      </w:hyperlink>
    </w:p>
    <w:p w14:paraId="48FBA4E7" w14:textId="77777777" w:rsidR="008679FA" w:rsidRPr="008679FA" w:rsidRDefault="008679FA" w:rsidP="008679FA">
      <w:pPr>
        <w:pStyle w:val="FootnoteText"/>
        <w:rPr>
          <w:sz w:val="18"/>
          <w:szCs w:val="18"/>
        </w:rPr>
      </w:pPr>
    </w:p>
  </w:footnote>
  <w:footnote w:id="7">
    <w:p w14:paraId="577E707D" w14:textId="77777777" w:rsidR="008679FA" w:rsidRPr="008679FA" w:rsidRDefault="008679FA" w:rsidP="008679FA">
      <w:pPr>
        <w:pStyle w:val="EndnoteText"/>
        <w:rPr>
          <w:sz w:val="18"/>
          <w:szCs w:val="18"/>
        </w:rPr>
      </w:pPr>
      <w:r w:rsidRPr="008679FA">
        <w:rPr>
          <w:rStyle w:val="FootnoteReference"/>
          <w:sz w:val="18"/>
          <w:szCs w:val="18"/>
        </w:rPr>
        <w:footnoteRef/>
      </w:r>
      <w:r w:rsidRPr="008679FA">
        <w:rPr>
          <w:sz w:val="18"/>
          <w:szCs w:val="18"/>
        </w:rPr>
        <w:t xml:space="preserve"> </w:t>
      </w:r>
      <w:hyperlink r:id="rId8" w:history="1">
        <w:r w:rsidRPr="008679FA">
          <w:rPr>
            <w:rStyle w:val="Hyperlink"/>
            <w:sz w:val="18"/>
            <w:szCs w:val="18"/>
          </w:rPr>
          <w:t>https://www.newcastleherald.com.au/story/5405057/secret-nsw-port-deal-costs-consumers-alp/</w:t>
        </w:r>
      </w:hyperlink>
    </w:p>
    <w:p w14:paraId="1871D593" w14:textId="28AE53DD" w:rsidR="008679FA" w:rsidRDefault="008679FA" w:rsidP="008679FA">
      <w:pPr>
        <w:pStyle w:val="FootnoteText"/>
      </w:pPr>
      <w:r w:rsidRPr="00E2163A">
        <w:rPr>
          <w:sz w:val="18"/>
          <w:szCs w:val="18"/>
        </w:rPr>
        <w:t xml:space="preserve"> </w:t>
      </w:r>
      <w:r>
        <w:t xml:space="preserve"> </w:t>
      </w:r>
    </w:p>
  </w:footnote>
  <w:footnote w:id="8">
    <w:p w14:paraId="6AC3FA97" w14:textId="7B7E42AF" w:rsidR="00A4562A" w:rsidRPr="00F34483" w:rsidRDefault="00A4562A">
      <w:pPr>
        <w:pStyle w:val="FootnoteText"/>
        <w:rPr>
          <w:sz w:val="18"/>
          <w:szCs w:val="18"/>
        </w:rPr>
      </w:pPr>
      <w:r w:rsidRPr="00F34483">
        <w:rPr>
          <w:rStyle w:val="FootnoteReference"/>
          <w:sz w:val="18"/>
          <w:szCs w:val="18"/>
        </w:rPr>
        <w:footnoteRef/>
      </w:r>
      <w:r w:rsidRPr="00F34483">
        <w:rPr>
          <w:sz w:val="18"/>
          <w:szCs w:val="18"/>
        </w:rPr>
        <w:t xml:space="preserve"> Judgement para 160.</w:t>
      </w:r>
    </w:p>
  </w:footnote>
  <w:footnote w:id="9">
    <w:p w14:paraId="7F27B194" w14:textId="6F3BA41F" w:rsidR="00A73996" w:rsidRPr="00147B41" w:rsidRDefault="00A73996">
      <w:pPr>
        <w:pStyle w:val="FootnoteText"/>
        <w:rPr>
          <w:sz w:val="18"/>
          <w:szCs w:val="18"/>
        </w:rPr>
      </w:pPr>
      <w:r w:rsidRPr="00147B41">
        <w:rPr>
          <w:rStyle w:val="FootnoteReference"/>
          <w:sz w:val="18"/>
          <w:szCs w:val="18"/>
        </w:rPr>
        <w:footnoteRef/>
      </w:r>
      <w:r w:rsidRPr="00147B41">
        <w:rPr>
          <w:sz w:val="18"/>
          <w:szCs w:val="18"/>
        </w:rPr>
        <w:t xml:space="preserve"> </w:t>
      </w:r>
      <w:r w:rsidR="00147B41">
        <w:rPr>
          <w:sz w:val="18"/>
          <w:szCs w:val="18"/>
        </w:rPr>
        <w:t>Judgement p</w:t>
      </w:r>
      <w:r w:rsidRPr="00147B41">
        <w:rPr>
          <w:sz w:val="18"/>
          <w:szCs w:val="18"/>
        </w:rPr>
        <w:t>aras 121, 123</w:t>
      </w:r>
      <w:r w:rsidR="00F34483">
        <w:rPr>
          <w:sz w:val="18"/>
          <w:szCs w:val="18"/>
        </w:rPr>
        <w:t>.</w:t>
      </w:r>
    </w:p>
    <w:p w14:paraId="00DBFA58" w14:textId="77777777" w:rsidR="00147B41" w:rsidRPr="00147B41" w:rsidRDefault="00147B41">
      <w:pPr>
        <w:pStyle w:val="FootnoteText"/>
        <w:rPr>
          <w:sz w:val="18"/>
          <w:szCs w:val="18"/>
        </w:rPr>
      </w:pPr>
    </w:p>
  </w:footnote>
  <w:footnote w:id="10">
    <w:p w14:paraId="4DD1BC36" w14:textId="5E1431D2" w:rsidR="000B626C" w:rsidRPr="00147B41" w:rsidRDefault="000B626C">
      <w:pPr>
        <w:pStyle w:val="FootnoteText"/>
        <w:rPr>
          <w:sz w:val="18"/>
          <w:szCs w:val="18"/>
        </w:rPr>
      </w:pPr>
      <w:r w:rsidRPr="00147B41">
        <w:rPr>
          <w:rStyle w:val="FootnoteReference"/>
          <w:sz w:val="18"/>
          <w:szCs w:val="18"/>
        </w:rPr>
        <w:footnoteRef/>
      </w:r>
      <w:r w:rsidRPr="00147B41">
        <w:rPr>
          <w:sz w:val="18"/>
          <w:szCs w:val="18"/>
        </w:rPr>
        <w:t xml:space="preserve"> </w:t>
      </w:r>
      <w:r w:rsidR="00147B41">
        <w:rPr>
          <w:sz w:val="18"/>
          <w:szCs w:val="18"/>
        </w:rPr>
        <w:t>Judgement p</w:t>
      </w:r>
      <w:r w:rsidRPr="00147B41">
        <w:rPr>
          <w:sz w:val="18"/>
          <w:szCs w:val="18"/>
        </w:rPr>
        <w:t>ara 131</w:t>
      </w:r>
      <w:r w:rsidR="00F34483">
        <w:rPr>
          <w:sz w:val="18"/>
          <w:szCs w:val="18"/>
        </w:rPr>
        <w:t>.</w:t>
      </w:r>
    </w:p>
    <w:p w14:paraId="672A14F2" w14:textId="77777777" w:rsidR="00147B41" w:rsidRPr="00147B41" w:rsidRDefault="00147B41">
      <w:pPr>
        <w:pStyle w:val="FootnoteText"/>
        <w:rPr>
          <w:sz w:val="18"/>
          <w:szCs w:val="18"/>
        </w:rPr>
      </w:pPr>
    </w:p>
  </w:footnote>
  <w:footnote w:id="11">
    <w:p w14:paraId="47FA64FB" w14:textId="47C8292B" w:rsidR="00147B41" w:rsidRDefault="00147B41">
      <w:pPr>
        <w:pStyle w:val="FootnoteText"/>
      </w:pPr>
      <w:r w:rsidRPr="00147B41">
        <w:rPr>
          <w:rStyle w:val="FootnoteReference"/>
          <w:sz w:val="18"/>
          <w:szCs w:val="18"/>
        </w:rPr>
        <w:footnoteRef/>
      </w:r>
      <w:r w:rsidRPr="00147B41">
        <w:rPr>
          <w:sz w:val="18"/>
          <w:szCs w:val="18"/>
        </w:rPr>
        <w:t xml:space="preserve"> </w:t>
      </w:r>
      <w:r>
        <w:rPr>
          <w:sz w:val="18"/>
          <w:szCs w:val="18"/>
        </w:rPr>
        <w:t>Judgement p</w:t>
      </w:r>
      <w:r w:rsidRPr="00147B41">
        <w:rPr>
          <w:sz w:val="18"/>
          <w:szCs w:val="18"/>
        </w:rPr>
        <w:t>ara 140</w:t>
      </w:r>
      <w:r w:rsidR="00F34483">
        <w:rPr>
          <w:sz w:val="18"/>
          <w:szCs w:val="18"/>
        </w:rPr>
        <w:t>.</w:t>
      </w:r>
    </w:p>
  </w:footnote>
  <w:footnote w:id="12">
    <w:p w14:paraId="1341AE0C" w14:textId="6C310B99" w:rsidR="00AE7FBE" w:rsidRPr="00F34483" w:rsidRDefault="00AE7FBE">
      <w:pPr>
        <w:pStyle w:val="FootnoteText"/>
        <w:rPr>
          <w:sz w:val="18"/>
          <w:szCs w:val="18"/>
        </w:rPr>
      </w:pPr>
      <w:r w:rsidRPr="00F34483">
        <w:rPr>
          <w:rStyle w:val="FootnoteReference"/>
          <w:sz w:val="18"/>
          <w:szCs w:val="18"/>
        </w:rPr>
        <w:footnoteRef/>
      </w:r>
      <w:r w:rsidRPr="00F34483">
        <w:rPr>
          <w:sz w:val="18"/>
          <w:szCs w:val="18"/>
        </w:rPr>
        <w:t xml:space="preserve"> Judgement para 927.</w:t>
      </w:r>
    </w:p>
  </w:footnote>
  <w:footnote w:id="13">
    <w:p w14:paraId="075785A8" w14:textId="77777777" w:rsidR="00491A37" w:rsidRPr="00491A37" w:rsidRDefault="00491A37" w:rsidP="00491A37">
      <w:pPr>
        <w:pStyle w:val="EndnoteText"/>
        <w:rPr>
          <w:sz w:val="18"/>
          <w:szCs w:val="18"/>
        </w:rPr>
      </w:pPr>
      <w:r w:rsidRPr="00491A37">
        <w:rPr>
          <w:rStyle w:val="FootnoteReference"/>
          <w:sz w:val="18"/>
          <w:szCs w:val="18"/>
        </w:rPr>
        <w:footnoteRef/>
      </w:r>
      <w:r w:rsidRPr="00491A37">
        <w:rPr>
          <w:sz w:val="18"/>
          <w:szCs w:val="18"/>
        </w:rPr>
        <w:t xml:space="preserve"> </w:t>
      </w:r>
      <w:hyperlink r:id="rId9" w:history="1">
        <w:r w:rsidRPr="00491A37">
          <w:rPr>
            <w:rStyle w:val="Hyperlink"/>
            <w:sz w:val="18"/>
            <w:szCs w:val="18"/>
          </w:rPr>
          <w:t>https://www.containerterminalpolicyinnsw.com.au/jodi-mckays-moment-of-truth-at-icac/</w:t>
        </w:r>
      </w:hyperlink>
    </w:p>
    <w:p w14:paraId="43AF2FEF" w14:textId="2F3C98BC" w:rsidR="00491A37" w:rsidRPr="00491A37" w:rsidRDefault="00491A37" w:rsidP="00491A37">
      <w:pPr>
        <w:pStyle w:val="EndnoteText"/>
        <w:ind w:left="720"/>
        <w:rPr>
          <w:i/>
          <w:iCs/>
          <w:sz w:val="16"/>
          <w:szCs w:val="16"/>
        </w:rPr>
      </w:pPr>
      <w:r w:rsidRPr="00491A37">
        <w:rPr>
          <w:i/>
          <w:iCs/>
          <w:sz w:val="16"/>
          <w:szCs w:val="16"/>
        </w:rPr>
        <w:t xml:space="preserve">‘Sometime before 15 February 2011, </w:t>
      </w:r>
      <w:r w:rsidRPr="00491A37">
        <w:rPr>
          <w:sz w:val="16"/>
          <w:szCs w:val="16"/>
        </w:rPr>
        <w:t>(Treasurer)</w:t>
      </w:r>
      <w:r w:rsidRPr="00491A37">
        <w:rPr>
          <w:i/>
          <w:iCs/>
          <w:sz w:val="16"/>
          <w:szCs w:val="16"/>
        </w:rPr>
        <w:t xml:space="preserve"> Mr Roozendaal instructed that a further letter be sent to the NPC </w:t>
      </w:r>
      <w:r w:rsidRPr="00491A37">
        <w:rPr>
          <w:sz w:val="16"/>
          <w:szCs w:val="16"/>
        </w:rPr>
        <w:t xml:space="preserve">(Newcastle Port Corporation) </w:t>
      </w:r>
      <w:r w:rsidRPr="00491A37">
        <w:rPr>
          <w:i/>
          <w:iCs/>
          <w:sz w:val="16"/>
          <w:szCs w:val="16"/>
        </w:rPr>
        <w:t>directing it not to commence commercial negotiations. The ostensible reason for this was an announcement made on 8 February 2011 by the minister for planning, Tony Kelly, that the public consultation period in respect of the concept plan for the Mayfield site would be extended. Although Mr Roozendaal was advised that the extension of the consultation period did not affect the commencement of commercial negotiations, he directed Mr Schuster to draft a letter for his signature</w:t>
      </w:r>
      <w:r w:rsidR="00446A9F">
        <w:rPr>
          <w:i/>
          <w:iCs/>
          <w:sz w:val="16"/>
          <w:szCs w:val="16"/>
        </w:rPr>
        <w:t xml:space="preserve"> </w:t>
      </w:r>
      <w:r w:rsidRPr="00491A37">
        <w:rPr>
          <w:i/>
          <w:iCs/>
          <w:sz w:val="16"/>
          <w:szCs w:val="16"/>
        </w:rPr>
        <w:t>which, at the request of Mr Roozendaal, had to be re-done to incorporate the following words: “I am advised by NSW Treasury it is not appropriate for Newcastle Port Corporation to progress commercial discussions until the outcome of this consultation process has been considered by Cabinet”. This effectively killed off any chance of advancing the container terminal before the NSW state election on 26 March 2011.’</w:t>
      </w:r>
    </w:p>
    <w:p w14:paraId="32CEBC9E" w14:textId="5D4CBF4D" w:rsidR="00491A37" w:rsidRDefault="001052FB" w:rsidP="00491A37">
      <w:pPr>
        <w:pStyle w:val="EndnoteText"/>
        <w:rPr>
          <w:sz w:val="18"/>
          <w:szCs w:val="18"/>
        </w:rPr>
      </w:pPr>
      <w:hyperlink r:id="rId10" w:history="1">
        <w:r w:rsidR="00491A37" w:rsidRPr="00491A37">
          <w:rPr>
            <w:rStyle w:val="Hyperlink"/>
            <w:sz w:val="18"/>
            <w:szCs w:val="18"/>
          </w:rPr>
          <w:t>https://www.icac.nsw.gov.au/investigations/past-investigations/2016/nsw-public-officials-and-members-of-parliament-operation-spicer</w:t>
        </w:r>
      </w:hyperlink>
    </w:p>
    <w:p w14:paraId="15C97067" w14:textId="4026B63E" w:rsidR="00491A37" w:rsidRDefault="00491A37">
      <w:pPr>
        <w:pStyle w:val="FootnoteText"/>
      </w:pPr>
    </w:p>
  </w:footnote>
  <w:footnote w:id="14">
    <w:p w14:paraId="7F56F985" w14:textId="777FCD11" w:rsidR="00F34483" w:rsidRPr="00085150" w:rsidRDefault="00F34483" w:rsidP="00F34483">
      <w:pPr>
        <w:pStyle w:val="FootnoteText"/>
        <w:rPr>
          <w:sz w:val="18"/>
          <w:szCs w:val="18"/>
        </w:rPr>
      </w:pPr>
      <w:r w:rsidRPr="00085150">
        <w:rPr>
          <w:rStyle w:val="FootnoteReference"/>
          <w:sz w:val="18"/>
          <w:szCs w:val="18"/>
        </w:rPr>
        <w:footnoteRef/>
      </w:r>
      <w:r w:rsidRPr="00085150">
        <w:rPr>
          <w:sz w:val="18"/>
          <w:szCs w:val="18"/>
        </w:rPr>
        <w:t xml:space="preserve"> </w:t>
      </w:r>
      <w:r>
        <w:rPr>
          <w:sz w:val="18"/>
          <w:szCs w:val="18"/>
        </w:rPr>
        <w:t>Judgement p</w:t>
      </w:r>
      <w:r w:rsidRPr="00085150">
        <w:rPr>
          <w:sz w:val="18"/>
          <w:szCs w:val="18"/>
        </w:rPr>
        <w:t>aras 1160-1163</w:t>
      </w:r>
      <w:r>
        <w:rPr>
          <w:sz w:val="18"/>
          <w:szCs w:val="18"/>
        </w:rPr>
        <w:t>.</w:t>
      </w:r>
    </w:p>
  </w:footnote>
  <w:footnote w:id="15">
    <w:p w14:paraId="39B6FB21" w14:textId="77777777" w:rsidR="00446A9F" w:rsidRDefault="00491A37" w:rsidP="00446A9F">
      <w:pPr>
        <w:pStyle w:val="EndnoteText"/>
        <w:rPr>
          <w:rFonts w:cstheme="minorHAnsi"/>
          <w:sz w:val="18"/>
          <w:szCs w:val="18"/>
        </w:rPr>
      </w:pPr>
      <w:r>
        <w:rPr>
          <w:rStyle w:val="FootnoteReference"/>
        </w:rPr>
        <w:footnoteRef/>
      </w:r>
      <w:r>
        <w:t xml:space="preserve"> </w:t>
      </w:r>
      <w:hyperlink r:id="rId11" w:history="1">
        <w:r w:rsidR="00446A9F" w:rsidRPr="007D38BA">
          <w:rPr>
            <w:rStyle w:val="Hyperlink"/>
            <w:rFonts w:cstheme="minorHAnsi"/>
            <w:sz w:val="18"/>
            <w:szCs w:val="18"/>
          </w:rPr>
          <w:t>https://www.thejadebeagle.com/sydney-metro.html</w:t>
        </w:r>
      </w:hyperlink>
    </w:p>
    <w:p w14:paraId="354C226E" w14:textId="7A202AF0" w:rsidR="00491A37" w:rsidRDefault="001052FB" w:rsidP="00446A9F">
      <w:pPr>
        <w:pStyle w:val="FootnoteText"/>
        <w:rPr>
          <w:rFonts w:cstheme="minorHAnsi"/>
          <w:sz w:val="18"/>
          <w:szCs w:val="18"/>
        </w:rPr>
      </w:pPr>
      <w:hyperlink r:id="rId12" w:history="1">
        <w:r w:rsidR="00446A9F" w:rsidRPr="007D38BA">
          <w:rPr>
            <w:rStyle w:val="Hyperlink"/>
            <w:rFonts w:cstheme="minorHAnsi"/>
            <w:sz w:val="18"/>
            <w:szCs w:val="18"/>
          </w:rPr>
          <w:t>https://www.thejadebeagle.com/policy-spad.html</w:t>
        </w:r>
      </w:hyperlink>
    </w:p>
    <w:p w14:paraId="5261B2CA" w14:textId="77777777" w:rsidR="00446A9F" w:rsidRDefault="001052FB" w:rsidP="00446A9F">
      <w:pPr>
        <w:pStyle w:val="EndnoteText"/>
        <w:rPr>
          <w:rFonts w:eastAsia="Times New Roman" w:cs="Times New Roman"/>
          <w:sz w:val="18"/>
          <w:szCs w:val="18"/>
          <w:lang w:eastAsia="en-AU"/>
        </w:rPr>
      </w:pPr>
      <w:hyperlink r:id="rId13" w:history="1">
        <w:r w:rsidR="00446A9F" w:rsidRPr="007D38BA">
          <w:rPr>
            <w:rStyle w:val="Hyperlink"/>
            <w:rFonts w:eastAsia="Times New Roman" w:cs="Times New Roman"/>
            <w:sz w:val="18"/>
            <w:szCs w:val="18"/>
            <w:lang w:eastAsia="en-AU"/>
          </w:rPr>
          <w:t>https://www.thejadebeagle.com/badgerys-creek.html</w:t>
        </w:r>
      </w:hyperlink>
    </w:p>
    <w:p w14:paraId="3F1C34E5" w14:textId="77777777" w:rsidR="00446A9F" w:rsidRDefault="00446A9F" w:rsidP="00446A9F">
      <w:pPr>
        <w:pStyle w:val="FootnoteText"/>
      </w:pPr>
    </w:p>
  </w:footnote>
  <w:footnote w:id="16">
    <w:p w14:paraId="3B296DC1" w14:textId="49A9F163" w:rsidR="00491A37" w:rsidRPr="00491A37" w:rsidRDefault="00491A37">
      <w:pPr>
        <w:pStyle w:val="FootnoteText"/>
        <w:rPr>
          <w:sz w:val="18"/>
          <w:szCs w:val="18"/>
        </w:rPr>
      </w:pPr>
      <w:r w:rsidRPr="00491A37">
        <w:rPr>
          <w:rStyle w:val="FootnoteReference"/>
          <w:sz w:val="18"/>
          <w:szCs w:val="18"/>
        </w:rPr>
        <w:footnoteRef/>
      </w:r>
      <w:r w:rsidRPr="00491A37">
        <w:rPr>
          <w:sz w:val="18"/>
          <w:szCs w:val="18"/>
        </w:rPr>
        <w:t xml:space="preserve"> </w:t>
      </w:r>
      <w:hyperlink r:id="rId14" w:history="1">
        <w:r w:rsidRPr="00491A37">
          <w:rPr>
            <w:rStyle w:val="Hyperlink"/>
            <w:sz w:val="18"/>
            <w:szCs w:val="18"/>
          </w:rPr>
          <w:t>https://www.thejadebeagle.com/freight-chainsaw.html</w:t>
        </w:r>
      </w:hyperlink>
    </w:p>
    <w:p w14:paraId="4F1B6A22" w14:textId="77777777" w:rsidR="00491A37" w:rsidRDefault="00491A37">
      <w:pPr>
        <w:pStyle w:val="FootnoteText"/>
      </w:pPr>
    </w:p>
  </w:footnote>
  <w:footnote w:id="17">
    <w:p w14:paraId="22F14075" w14:textId="7579AC3E" w:rsidR="007C6AEA" w:rsidRDefault="00834D4D">
      <w:pPr>
        <w:pStyle w:val="FootnoteText"/>
        <w:rPr>
          <w:sz w:val="18"/>
          <w:szCs w:val="18"/>
        </w:rPr>
      </w:pPr>
      <w:r w:rsidRPr="000F2852">
        <w:rPr>
          <w:rStyle w:val="FootnoteReference"/>
          <w:sz w:val="18"/>
          <w:szCs w:val="18"/>
        </w:rPr>
        <w:footnoteRef/>
      </w:r>
      <w:r w:rsidRPr="000F2852">
        <w:rPr>
          <w:sz w:val="18"/>
          <w:szCs w:val="18"/>
        </w:rPr>
        <w:t xml:space="preserve"> </w:t>
      </w:r>
      <w:r w:rsidR="004E065B">
        <w:rPr>
          <w:sz w:val="18"/>
          <w:szCs w:val="18"/>
        </w:rPr>
        <w:t>‘</w:t>
      </w:r>
      <w:r w:rsidR="000F2852" w:rsidRPr="004E065B">
        <w:rPr>
          <w:i/>
          <w:iCs/>
          <w:sz w:val="18"/>
          <w:szCs w:val="18"/>
        </w:rPr>
        <w:t xml:space="preserve">Infrastructure Australia was formed as a </w:t>
      </w:r>
      <w:r w:rsidR="00546E26" w:rsidRPr="004E065B">
        <w:rPr>
          <w:i/>
          <w:iCs/>
          <w:sz w:val="18"/>
          <w:szCs w:val="18"/>
        </w:rPr>
        <w:t xml:space="preserve">Commonwealth </w:t>
      </w:r>
      <w:r w:rsidR="000F2852" w:rsidRPr="004E065B">
        <w:rPr>
          <w:i/>
          <w:iCs/>
          <w:sz w:val="18"/>
          <w:szCs w:val="18"/>
        </w:rPr>
        <w:t>statutory authority – advisory council in 2007.  Between 2010 and 2013 it developed national plans for ports, freight and urban transport</w:t>
      </w:r>
      <w:r w:rsidR="007C6AEA" w:rsidRPr="004E065B">
        <w:rPr>
          <w:i/>
          <w:iCs/>
          <w:sz w:val="18"/>
          <w:szCs w:val="18"/>
        </w:rPr>
        <w:t>, consistent with legislation tasking it to advise the Commonwealth on nationally significant infrastructure</w:t>
      </w:r>
      <w:r w:rsidR="000F2852" w:rsidRPr="004E065B">
        <w:rPr>
          <w:i/>
          <w:iCs/>
          <w:sz w:val="18"/>
          <w:szCs w:val="18"/>
        </w:rPr>
        <w:t xml:space="preserve">.  Following election of the Coalition Government </w:t>
      </w:r>
      <w:r w:rsidR="007C6AEA" w:rsidRPr="004E065B">
        <w:rPr>
          <w:i/>
          <w:iCs/>
          <w:sz w:val="18"/>
          <w:szCs w:val="18"/>
        </w:rPr>
        <w:t>in 2014</w:t>
      </w:r>
      <w:r w:rsidR="00546E26" w:rsidRPr="004E065B">
        <w:rPr>
          <w:i/>
          <w:iCs/>
          <w:sz w:val="18"/>
          <w:szCs w:val="18"/>
        </w:rPr>
        <w:t>,</w:t>
      </w:r>
      <w:r w:rsidR="007C6AEA" w:rsidRPr="004E065B">
        <w:rPr>
          <w:i/>
          <w:iCs/>
          <w:sz w:val="18"/>
          <w:szCs w:val="18"/>
        </w:rPr>
        <w:t xml:space="preserve"> </w:t>
      </w:r>
      <w:r w:rsidR="000F2852" w:rsidRPr="004E065B">
        <w:rPr>
          <w:i/>
          <w:iCs/>
          <w:sz w:val="18"/>
          <w:szCs w:val="18"/>
        </w:rPr>
        <w:t>its organisation was changed to a</w:t>
      </w:r>
      <w:r w:rsidR="007C6AEA" w:rsidRPr="004E065B">
        <w:rPr>
          <w:i/>
          <w:iCs/>
          <w:sz w:val="18"/>
          <w:szCs w:val="18"/>
        </w:rPr>
        <w:t xml:space="preserve"> Commonwealth quasi-</w:t>
      </w:r>
      <w:r w:rsidR="000F2852" w:rsidRPr="004E065B">
        <w:rPr>
          <w:i/>
          <w:iCs/>
          <w:sz w:val="18"/>
          <w:szCs w:val="18"/>
        </w:rPr>
        <w:t>corporation, with a governing rather than advisory ‘board’.</w:t>
      </w:r>
      <w:r w:rsidR="007C6AEA" w:rsidRPr="004E065B">
        <w:rPr>
          <w:i/>
          <w:iCs/>
          <w:sz w:val="18"/>
          <w:szCs w:val="18"/>
        </w:rPr>
        <w:t xml:space="preserve">  Also in 2014, the High Court in Williams (No.2) contradicted an assumption behind Infrastructure Australia’s legislation – holding that national significance does not confer Commonwealth jurisdiction nor an ability for the Commonwealth to provide funds.</w:t>
      </w:r>
      <w:r w:rsidR="004E065B" w:rsidRPr="004E065B">
        <w:rPr>
          <w:i/>
          <w:iCs/>
          <w:sz w:val="18"/>
          <w:szCs w:val="18"/>
        </w:rPr>
        <w:t>’</w:t>
      </w:r>
      <w:r w:rsidR="007C6AEA">
        <w:rPr>
          <w:sz w:val="18"/>
          <w:szCs w:val="18"/>
        </w:rPr>
        <w:t xml:space="preserve">  The newer Infrastructure Australia has not commented on the previous plans nor recognised the implications of the Williams (No.2) case: Some background is at </w:t>
      </w:r>
      <w:hyperlink r:id="rId15" w:history="1">
        <w:r w:rsidR="00546E26" w:rsidRPr="007D38BA">
          <w:rPr>
            <w:rStyle w:val="Hyperlink"/>
            <w:sz w:val="18"/>
            <w:szCs w:val="18"/>
          </w:rPr>
          <w:t>https://www.thejadebeagle.com/audit.html</w:t>
        </w:r>
      </w:hyperlink>
      <w:r w:rsidR="00546E26">
        <w:rPr>
          <w:sz w:val="18"/>
          <w:szCs w:val="18"/>
        </w:rPr>
        <w:t xml:space="preserve">,  </w:t>
      </w:r>
      <w:hyperlink r:id="rId16" w:history="1">
        <w:r w:rsidR="007C6AEA" w:rsidRPr="007D38BA">
          <w:rPr>
            <w:rStyle w:val="Hyperlink"/>
            <w:sz w:val="18"/>
            <w:szCs w:val="18"/>
          </w:rPr>
          <w:t>https://www.thejadebeagle.com/governance.html</w:t>
        </w:r>
      </w:hyperlink>
      <w:r w:rsidR="00546E26">
        <w:rPr>
          <w:sz w:val="18"/>
          <w:szCs w:val="18"/>
        </w:rPr>
        <w:t xml:space="preserve">,  </w:t>
      </w:r>
      <w:hyperlink r:id="rId17" w:history="1">
        <w:r w:rsidR="00546E26" w:rsidRPr="007D38BA">
          <w:rPr>
            <w:rStyle w:val="Hyperlink"/>
            <w:sz w:val="18"/>
            <w:szCs w:val="18"/>
          </w:rPr>
          <w:t>https://www.thejadebeagle.com/williams-case.html</w:t>
        </w:r>
      </w:hyperlink>
    </w:p>
    <w:p w14:paraId="2FAEE6B9" w14:textId="578A1B93" w:rsidR="00834D4D" w:rsidRPr="000F2852" w:rsidRDefault="001052FB">
      <w:pPr>
        <w:pStyle w:val="FootnoteText"/>
        <w:rPr>
          <w:sz w:val="18"/>
          <w:szCs w:val="18"/>
        </w:rPr>
      </w:pPr>
      <w:hyperlink r:id="rId18" w:history="1">
        <w:r w:rsidR="007C6AEA" w:rsidRPr="007D38BA">
          <w:rPr>
            <w:rStyle w:val="Hyperlink"/>
            <w:sz w:val="18"/>
            <w:szCs w:val="18"/>
          </w:rPr>
          <w:t>https://www.infrastructureaustralia.gov.au/publications/national-ports-strategy-2011</w:t>
        </w:r>
      </w:hyperlink>
    </w:p>
    <w:p w14:paraId="4D7228EE" w14:textId="2606006A" w:rsidR="00834D4D" w:rsidRPr="000F2852" w:rsidRDefault="001052FB">
      <w:pPr>
        <w:pStyle w:val="FootnoteText"/>
        <w:rPr>
          <w:sz w:val="18"/>
          <w:szCs w:val="18"/>
        </w:rPr>
      </w:pPr>
      <w:hyperlink r:id="rId19" w:history="1">
        <w:r w:rsidR="00834D4D" w:rsidRPr="000F2852">
          <w:rPr>
            <w:rStyle w:val="Hyperlink"/>
            <w:sz w:val="18"/>
            <w:szCs w:val="18"/>
          </w:rPr>
          <w:t>https://www.infrastructureaustralia.gov.au/sites/default/files/2019-06/national_land_freight_strategy_update_2012.pdf</w:t>
        </w:r>
      </w:hyperlink>
    </w:p>
    <w:p w14:paraId="147C7167" w14:textId="77777777" w:rsidR="00834D4D" w:rsidRPr="000F2852" w:rsidRDefault="00834D4D">
      <w:pPr>
        <w:pStyle w:val="FootnoteText"/>
        <w:rPr>
          <w:sz w:val="18"/>
          <w:szCs w:val="18"/>
        </w:rPr>
      </w:pPr>
    </w:p>
  </w:footnote>
  <w:footnote w:id="18">
    <w:p w14:paraId="082A34D9" w14:textId="77777777" w:rsidR="000F2852" w:rsidRPr="000F2852" w:rsidRDefault="000F2852" w:rsidP="000F2852">
      <w:pPr>
        <w:pStyle w:val="EndnoteText"/>
        <w:rPr>
          <w:rFonts w:cstheme="minorHAnsi"/>
          <w:sz w:val="18"/>
          <w:szCs w:val="18"/>
        </w:rPr>
      </w:pPr>
      <w:r w:rsidRPr="000F2852">
        <w:rPr>
          <w:rStyle w:val="FootnoteReference"/>
          <w:sz w:val="18"/>
          <w:szCs w:val="18"/>
        </w:rPr>
        <w:footnoteRef/>
      </w:r>
      <w:r w:rsidRPr="000F2852">
        <w:rPr>
          <w:sz w:val="18"/>
          <w:szCs w:val="18"/>
        </w:rPr>
        <w:t xml:space="preserve"> Discussed in </w:t>
      </w:r>
      <w:hyperlink r:id="rId20" w:history="1">
        <w:r w:rsidRPr="000F2852">
          <w:rPr>
            <w:rStyle w:val="Hyperlink"/>
            <w:rFonts w:cstheme="minorHAnsi"/>
            <w:sz w:val="18"/>
            <w:szCs w:val="18"/>
          </w:rPr>
          <w:t>https://www.thejadebeagle.com/time-for-federal-action-newcastle-port.html</w:t>
        </w:r>
      </w:hyperlink>
    </w:p>
    <w:p w14:paraId="7E860412" w14:textId="563A181C" w:rsidR="000F2852" w:rsidRDefault="000F2852">
      <w:pPr>
        <w:pStyle w:val="FootnoteText"/>
      </w:pPr>
    </w:p>
  </w:footnote>
  <w:footnote w:id="19">
    <w:p w14:paraId="428A2C98" w14:textId="0064821B" w:rsidR="00546E26" w:rsidRDefault="00546E26">
      <w:pPr>
        <w:pStyle w:val="FootnoteText"/>
      </w:pPr>
      <w:r>
        <w:rPr>
          <w:rStyle w:val="FootnoteReference"/>
        </w:rPr>
        <w:footnoteRef/>
      </w:r>
      <w:r>
        <w:t xml:space="preserve"> </w:t>
      </w:r>
      <w:hyperlink r:id="rId21" w:history="1">
        <w:r w:rsidRPr="00E71204">
          <w:rPr>
            <w:rStyle w:val="Hyperlink"/>
            <w:rFonts w:cstheme="minorHAnsi"/>
            <w:sz w:val="18"/>
            <w:szCs w:val="18"/>
          </w:rPr>
          <w:t>https://www.infrastructureaustralia.gov.au/sites/default/files/2019-06/ports_strategy_background_paper_20_December_2010.pdf</w:t>
        </w:r>
      </w:hyperlink>
    </w:p>
  </w:footnote>
  <w:footnote w:id="20">
    <w:p w14:paraId="3B40F1D9" w14:textId="77777777" w:rsidR="003B3965" w:rsidRPr="004E065B" w:rsidRDefault="003B3965" w:rsidP="003B3965">
      <w:pPr>
        <w:spacing w:after="0"/>
        <w:rPr>
          <w:rFonts w:cstheme="minorHAnsi"/>
          <w:color w:val="1A0DAB"/>
          <w:sz w:val="18"/>
          <w:szCs w:val="18"/>
        </w:rPr>
      </w:pPr>
      <w:r w:rsidRPr="004E7224">
        <w:rPr>
          <w:rStyle w:val="FootnoteReference"/>
          <w:sz w:val="18"/>
          <w:szCs w:val="18"/>
        </w:rPr>
        <w:footnoteRef/>
      </w:r>
      <w:r w:rsidRPr="004E7224">
        <w:rPr>
          <w:sz w:val="18"/>
          <w:szCs w:val="18"/>
        </w:rPr>
        <w:t xml:space="preserve"> </w:t>
      </w:r>
      <w:hyperlink r:id="rId22" w:history="1">
        <w:r w:rsidRPr="004E7224">
          <w:rPr>
            <w:rStyle w:val="Hyperlink"/>
            <w:rFonts w:cstheme="minorHAnsi"/>
            <w:sz w:val="18"/>
            <w:szCs w:val="18"/>
          </w:rPr>
          <w:t>https://www.nswports.com.au/sites/default/files/Uploads/Port-Botany-NLG-Meeting-No-18-Minutes.pdf</w:t>
        </w:r>
      </w:hyperlink>
      <w:r w:rsidRPr="004E065B">
        <w:rPr>
          <w:rFonts w:cstheme="minorHAnsi"/>
          <w:color w:val="1A0DAB"/>
          <w:sz w:val="18"/>
          <w:szCs w:val="18"/>
        </w:rPr>
        <w:fldChar w:fldCharType="begin"/>
      </w:r>
      <w:r w:rsidRPr="004E065B">
        <w:rPr>
          <w:rFonts w:cstheme="minorHAnsi"/>
          <w:color w:val="1A0DAB"/>
          <w:sz w:val="18"/>
          <w:szCs w:val="18"/>
        </w:rPr>
        <w:instrText xml:space="preserve"> HYPERLINK "</w:instrText>
      </w:r>
      <w:r w:rsidRPr="004E065B">
        <w:rPr>
          <w:rFonts w:cstheme="minorHAnsi"/>
          <w:color w:val="1A0DAB"/>
          <w:sz w:val="18"/>
          <w:szCs w:val="18"/>
        </w:rPr>
        <w:br/>
        <w:instrText>Lynda Newnam - Transport for NSW - NSW Government,  https://www.transport.nsw.gov.au › documents</w:instrText>
      </w:r>
    </w:p>
    <w:p w14:paraId="458AEA53" w14:textId="77777777" w:rsidR="003B3965" w:rsidRPr="004E065B" w:rsidRDefault="003B3965" w:rsidP="003B3965">
      <w:pPr>
        <w:spacing w:after="0"/>
        <w:rPr>
          <w:rStyle w:val="Hyperlink"/>
          <w:rFonts w:cstheme="minorHAnsi"/>
          <w:sz w:val="18"/>
          <w:szCs w:val="18"/>
        </w:rPr>
      </w:pPr>
      <w:r w:rsidRPr="004E065B">
        <w:rPr>
          <w:rFonts w:cstheme="minorHAnsi"/>
          <w:color w:val="1A0DAB"/>
          <w:sz w:val="18"/>
          <w:szCs w:val="18"/>
        </w:rPr>
        <w:instrText xml:space="preserve">" </w:instrText>
      </w:r>
      <w:r w:rsidRPr="004E065B">
        <w:rPr>
          <w:rFonts w:cstheme="minorHAnsi"/>
          <w:color w:val="1A0DAB"/>
          <w:sz w:val="18"/>
          <w:szCs w:val="18"/>
        </w:rPr>
        <w:fldChar w:fldCharType="separate"/>
      </w:r>
      <w:r w:rsidRPr="004E065B">
        <w:rPr>
          <w:rStyle w:val="Hyperlink"/>
          <w:rFonts w:cstheme="minorHAnsi"/>
          <w:sz w:val="18"/>
          <w:szCs w:val="18"/>
        </w:rPr>
        <w:br/>
        <w:t xml:space="preserve">Lynda Newnam - Transport for NSW - NSW </w:t>
      </w:r>
      <w:proofErr w:type="gramStart"/>
      <w:r w:rsidRPr="004E065B">
        <w:rPr>
          <w:rStyle w:val="Hyperlink"/>
          <w:rFonts w:cstheme="minorHAnsi"/>
          <w:sz w:val="18"/>
          <w:szCs w:val="18"/>
        </w:rPr>
        <w:t>Government,  https://www.transport.nsw.gov.au</w:t>
      </w:r>
      <w:proofErr w:type="gramEnd"/>
      <w:r w:rsidRPr="004E065B">
        <w:rPr>
          <w:rStyle w:val="Hyperlink"/>
          <w:rFonts w:cstheme="minorHAnsi"/>
          <w:sz w:val="18"/>
          <w:szCs w:val="18"/>
        </w:rPr>
        <w:t> › documents</w:t>
      </w:r>
    </w:p>
    <w:p w14:paraId="15DC3478" w14:textId="53C649B1" w:rsidR="003B3965" w:rsidRPr="00B268B7" w:rsidRDefault="003B3965" w:rsidP="004E7224">
      <w:pPr>
        <w:spacing w:after="0"/>
        <w:rPr>
          <w:sz w:val="18"/>
          <w:szCs w:val="18"/>
        </w:rPr>
      </w:pPr>
      <w:r w:rsidRPr="004E065B">
        <w:rPr>
          <w:rFonts w:cstheme="minorHAnsi"/>
          <w:color w:val="1A0DAB"/>
          <w:sz w:val="18"/>
          <w:szCs w:val="18"/>
        </w:rPr>
        <w:fldChar w:fldCharType="end"/>
      </w:r>
      <w:r w:rsidRPr="00B268B7">
        <w:rPr>
          <w:rStyle w:val="muxgbd"/>
          <w:rFonts w:cstheme="minorHAnsi"/>
          <w:sz w:val="18"/>
          <w:szCs w:val="18"/>
        </w:rPr>
        <w:t>25 Mar 2018</w:t>
      </w:r>
      <w:r w:rsidR="00E17EB9" w:rsidRPr="00B268B7">
        <w:rPr>
          <w:rStyle w:val="muxgbd"/>
          <w:rFonts w:cstheme="minorHAnsi"/>
          <w:sz w:val="18"/>
          <w:szCs w:val="18"/>
        </w:rPr>
        <w:t>.  This document also identifies numerous inconsistent ‘official’ claims about Port Botany forecasts and intentions – the implication</w:t>
      </w:r>
      <w:r w:rsidR="00B268B7">
        <w:rPr>
          <w:rStyle w:val="muxgbd"/>
          <w:rFonts w:cstheme="minorHAnsi"/>
          <w:sz w:val="18"/>
          <w:szCs w:val="18"/>
        </w:rPr>
        <w:t>:</w:t>
      </w:r>
      <w:r w:rsidR="00E17EB9" w:rsidRPr="00B268B7">
        <w:rPr>
          <w:rStyle w:val="muxgbd"/>
          <w:rFonts w:cstheme="minorHAnsi"/>
          <w:sz w:val="18"/>
          <w:szCs w:val="18"/>
        </w:rPr>
        <w:t xml:space="preserve"> there is no authoritative source of data or advice.</w:t>
      </w:r>
      <w:r w:rsidRPr="00B268B7">
        <w:rPr>
          <w:rStyle w:val="muxgbd"/>
          <w:rFonts w:cstheme="minorHAnsi"/>
          <w:sz w:val="18"/>
          <w:szCs w:val="18"/>
        </w:rPr>
        <w:t xml:space="preserve"> </w:t>
      </w:r>
    </w:p>
    <w:p w14:paraId="2D32B047" w14:textId="77777777" w:rsidR="003B3965" w:rsidRPr="004E7224" w:rsidRDefault="003B3965">
      <w:pPr>
        <w:pStyle w:val="FootnoteText"/>
        <w:rPr>
          <w:sz w:val="18"/>
          <w:szCs w:val="18"/>
        </w:rPr>
      </w:pPr>
    </w:p>
  </w:footnote>
  <w:footnote w:id="21">
    <w:p w14:paraId="1C791326" w14:textId="6FB4257F" w:rsidR="00197F60" w:rsidRPr="004E7224" w:rsidRDefault="00197F60">
      <w:pPr>
        <w:pStyle w:val="FootnoteText"/>
        <w:rPr>
          <w:sz w:val="18"/>
          <w:szCs w:val="18"/>
        </w:rPr>
      </w:pPr>
      <w:r w:rsidRPr="004E7224">
        <w:rPr>
          <w:rStyle w:val="FootnoteReference"/>
          <w:sz w:val="18"/>
          <w:szCs w:val="18"/>
        </w:rPr>
        <w:footnoteRef/>
      </w:r>
      <w:r w:rsidRPr="004E7224">
        <w:rPr>
          <w:sz w:val="18"/>
          <w:szCs w:val="18"/>
        </w:rPr>
        <w:t xml:space="preserve"> </w:t>
      </w:r>
      <w:hyperlink r:id="rId23" w:history="1">
        <w:r w:rsidR="004E7224" w:rsidRPr="004E7224">
          <w:rPr>
            <w:rStyle w:val="Hyperlink"/>
            <w:sz w:val="18"/>
            <w:szCs w:val="18"/>
          </w:rPr>
          <w:t>http://ecotransit.org.au/ets/files/NSW_IA_M5-Expansion/M5-Expansion_Minimum-Info-Req_2009-01-20_Part-1.pdf</w:t>
        </w:r>
      </w:hyperlink>
    </w:p>
    <w:p w14:paraId="0AC215C3" w14:textId="77777777" w:rsidR="004E7224" w:rsidRPr="004E7224" w:rsidRDefault="004E7224">
      <w:pPr>
        <w:pStyle w:val="FootnoteText"/>
        <w:rPr>
          <w:sz w:val="18"/>
          <w:szCs w:val="18"/>
        </w:rPr>
      </w:pPr>
    </w:p>
  </w:footnote>
  <w:footnote w:id="22">
    <w:p w14:paraId="72CC5AB6" w14:textId="584D46B1" w:rsidR="004E7224" w:rsidRPr="004E7224" w:rsidRDefault="004E7224" w:rsidP="004E7224">
      <w:pPr>
        <w:pStyle w:val="EndnoteText"/>
        <w:rPr>
          <w:sz w:val="18"/>
          <w:szCs w:val="18"/>
        </w:rPr>
      </w:pPr>
      <w:r w:rsidRPr="004E7224">
        <w:rPr>
          <w:rStyle w:val="FootnoteReference"/>
          <w:sz w:val="18"/>
          <w:szCs w:val="18"/>
        </w:rPr>
        <w:footnoteRef/>
      </w:r>
      <w:r w:rsidR="00C0165A" w:rsidRPr="004E7224">
        <w:rPr>
          <w:sz w:val="18"/>
          <w:szCs w:val="18"/>
        </w:rPr>
        <w:t>Present</w:t>
      </w:r>
      <w:r w:rsidR="00C0165A">
        <w:rPr>
          <w:sz w:val="18"/>
          <w:szCs w:val="18"/>
        </w:rPr>
        <w:t xml:space="preserve"> rail share is</w:t>
      </w:r>
      <w:r w:rsidR="00C0165A" w:rsidRPr="004E7224">
        <w:rPr>
          <w:sz w:val="18"/>
          <w:szCs w:val="18"/>
        </w:rPr>
        <w:t xml:space="preserve"> 17.6%: </w:t>
      </w:r>
      <w:hyperlink r:id="rId24" w:history="1">
        <w:r w:rsidR="00C0165A" w:rsidRPr="004E7224">
          <w:rPr>
            <w:rStyle w:val="Hyperlink"/>
            <w:sz w:val="18"/>
            <w:szCs w:val="18"/>
          </w:rPr>
          <w:t>https://www.nswports.com.au/rail</w:t>
        </w:r>
      </w:hyperlink>
      <w:hyperlink r:id="rId25" w:history="1">
        <w:r w:rsidRPr="007D38BA">
          <w:rPr>
            <w:rStyle w:val="Hyperlink"/>
            <w:sz w:val="18"/>
            <w:szCs w:val="18"/>
          </w:rPr>
          <w:t>https://www.pc.gov.au/inquiries/completed/freight/submissions/new_south_wales_government__including_attachments_a,_b_and_c/sub050attachment3.pdf</w:t>
        </w:r>
      </w:hyperlink>
    </w:p>
    <w:p w14:paraId="159E5523" w14:textId="24C0F16E" w:rsidR="004E7224" w:rsidRDefault="004E7224">
      <w:pPr>
        <w:pStyle w:val="FootnoteText"/>
      </w:pPr>
    </w:p>
  </w:footnote>
  <w:footnote w:id="23">
    <w:p w14:paraId="45878871" w14:textId="41748E67" w:rsidR="00CA2F2F" w:rsidRPr="00CA2F2F" w:rsidRDefault="00CA2F2F">
      <w:pPr>
        <w:pStyle w:val="FootnoteText"/>
        <w:rPr>
          <w:sz w:val="18"/>
          <w:szCs w:val="18"/>
        </w:rPr>
      </w:pPr>
      <w:r w:rsidRPr="00CA2F2F">
        <w:rPr>
          <w:rStyle w:val="FootnoteReference"/>
          <w:sz w:val="18"/>
          <w:szCs w:val="18"/>
        </w:rPr>
        <w:footnoteRef/>
      </w:r>
      <w:r w:rsidRPr="00CA2F2F">
        <w:rPr>
          <w:sz w:val="18"/>
          <w:szCs w:val="18"/>
        </w:rPr>
        <w:t xml:space="preserve"> </w:t>
      </w:r>
      <w:hyperlink r:id="rId26" w:history="1">
        <w:r w:rsidRPr="00CA2F2F">
          <w:rPr>
            <w:rStyle w:val="Hyperlink"/>
            <w:sz w:val="18"/>
            <w:szCs w:val="18"/>
          </w:rPr>
          <w:t>https://www.theage.com.au/national/victoria/tripling-of-truck-traffic-leaves-ombudsman-asking-government-for-answers-20210603-p57xn4.html</w:t>
        </w:r>
      </w:hyperlink>
    </w:p>
    <w:p w14:paraId="1D4A0851" w14:textId="77777777" w:rsidR="00CA2F2F" w:rsidRDefault="00CA2F2F">
      <w:pPr>
        <w:pStyle w:val="FootnoteText"/>
      </w:pPr>
    </w:p>
  </w:footnote>
  <w:footnote w:id="24">
    <w:p w14:paraId="6480CCA6" w14:textId="77777777" w:rsidR="00C0165A" w:rsidRPr="00E17EB9" w:rsidRDefault="00C0165A" w:rsidP="00C0165A">
      <w:pPr>
        <w:pStyle w:val="FootnoteText"/>
        <w:rPr>
          <w:sz w:val="18"/>
          <w:szCs w:val="18"/>
        </w:rPr>
      </w:pPr>
      <w:r w:rsidRPr="00E17EB9">
        <w:rPr>
          <w:rStyle w:val="FootnoteReference"/>
          <w:sz w:val="18"/>
          <w:szCs w:val="18"/>
        </w:rPr>
        <w:footnoteRef/>
      </w:r>
      <w:r w:rsidRPr="00E17EB9">
        <w:rPr>
          <w:sz w:val="18"/>
          <w:szCs w:val="18"/>
        </w:rPr>
        <w:t xml:space="preserve"> Figure 8, </w:t>
      </w:r>
      <w:hyperlink r:id="rId27" w:history="1">
        <w:r w:rsidRPr="00E17EB9">
          <w:rPr>
            <w:rStyle w:val="Hyperlink"/>
            <w:sz w:val="18"/>
            <w:szCs w:val="18"/>
          </w:rPr>
          <w:t>https://www.containerterminalpolicyinnsw.com.au/wp-content/uploads/2016/01/NSW-Freight-and-Ports-Strategy-November-2013.pdf</w:t>
        </w:r>
      </w:hyperlink>
    </w:p>
    <w:p w14:paraId="3C37F5C4" w14:textId="77777777" w:rsidR="00C0165A" w:rsidRDefault="00C0165A" w:rsidP="00C0165A">
      <w:pPr>
        <w:pStyle w:val="FootnoteText"/>
      </w:pPr>
    </w:p>
  </w:footnote>
  <w:footnote w:id="25">
    <w:p w14:paraId="75D090CA" w14:textId="6F2602B0" w:rsidR="00BC2A3F" w:rsidRDefault="00BC2A3F">
      <w:pPr>
        <w:pStyle w:val="FootnoteText"/>
      </w:pPr>
      <w:r>
        <w:rPr>
          <w:rStyle w:val="FootnoteReference"/>
        </w:rPr>
        <w:footnoteRef/>
      </w:r>
      <w:r>
        <w:t xml:space="preserve"> </w:t>
      </w:r>
      <w:hyperlink r:id="rId28" w:history="1">
        <w:r w:rsidRPr="00E71204">
          <w:rPr>
            <w:rStyle w:val="Hyperlink"/>
            <w:rFonts w:cstheme="minorHAnsi"/>
            <w:sz w:val="18"/>
            <w:szCs w:val="18"/>
          </w:rPr>
          <w:t>https://www.nswports.com.au/sites/default/files/Uploads/Port-Botany-Expansion-EIS-Ch-21-Traffic-Transportation.pdf</w:t>
        </w:r>
      </w:hyperlink>
    </w:p>
  </w:footnote>
  <w:footnote w:id="26">
    <w:p w14:paraId="6CF4B834" w14:textId="77777777" w:rsidR="00BC2A3F" w:rsidRDefault="00BC2A3F" w:rsidP="00BC2A3F">
      <w:pPr>
        <w:pStyle w:val="EndnoteText"/>
      </w:pPr>
    </w:p>
    <w:p w14:paraId="3546D13E" w14:textId="202CACFA" w:rsidR="00BC2A3F" w:rsidRPr="00E71204" w:rsidRDefault="00BC2A3F" w:rsidP="00BC2A3F">
      <w:pPr>
        <w:pStyle w:val="EndnoteText"/>
        <w:rPr>
          <w:rFonts w:cstheme="minorHAnsi"/>
          <w:sz w:val="18"/>
          <w:szCs w:val="18"/>
        </w:rPr>
      </w:pPr>
      <w:r>
        <w:rPr>
          <w:rStyle w:val="FootnoteReference"/>
        </w:rPr>
        <w:footnoteRef/>
      </w:r>
      <w:r>
        <w:t xml:space="preserve"> </w:t>
      </w:r>
      <w:hyperlink r:id="rId29" w:history="1">
        <w:r w:rsidRPr="00E71204">
          <w:rPr>
            <w:rStyle w:val="Hyperlink"/>
            <w:rFonts w:cstheme="minorHAnsi"/>
            <w:sz w:val="18"/>
            <w:szCs w:val="18"/>
          </w:rPr>
          <w:t>https://www.nswports.com.au/port-botany-expansion-environmental-impact-statement</w:t>
        </w:r>
      </w:hyperlink>
    </w:p>
    <w:p w14:paraId="78D5FEDA" w14:textId="77777777" w:rsidR="00BC2A3F" w:rsidRPr="00E71204" w:rsidRDefault="001052FB" w:rsidP="00BC2A3F">
      <w:pPr>
        <w:pStyle w:val="EndnoteText"/>
        <w:rPr>
          <w:rFonts w:cstheme="minorHAnsi"/>
          <w:sz w:val="18"/>
          <w:szCs w:val="18"/>
        </w:rPr>
      </w:pPr>
      <w:hyperlink r:id="rId30" w:history="1">
        <w:r w:rsidR="00BC2A3F" w:rsidRPr="00E71204">
          <w:rPr>
            <w:rStyle w:val="Hyperlink"/>
            <w:rFonts w:cstheme="minorHAnsi"/>
            <w:sz w:val="18"/>
            <w:szCs w:val="18"/>
          </w:rPr>
          <w:t>https://www.nswports.com.au/sites/default/files/Uploads/Port-Botany-Expansion-EIS-Appendix-P-Traffic-Transportation-Vol-I-III.pdf</w:t>
        </w:r>
      </w:hyperlink>
    </w:p>
    <w:p w14:paraId="26D0D027" w14:textId="449EEE67" w:rsidR="00BC2A3F" w:rsidRDefault="00BC2A3F">
      <w:pPr>
        <w:pStyle w:val="FootnoteText"/>
      </w:pPr>
    </w:p>
  </w:footnote>
  <w:footnote w:id="27">
    <w:p w14:paraId="00F8457D" w14:textId="2D443E77" w:rsidR="00BC2A3F" w:rsidRPr="00BC2A3F" w:rsidRDefault="00BC2A3F" w:rsidP="00BC2A3F">
      <w:pPr>
        <w:pStyle w:val="EndnoteText"/>
        <w:rPr>
          <w:sz w:val="18"/>
          <w:szCs w:val="18"/>
        </w:rPr>
      </w:pPr>
      <w:r w:rsidRPr="00BC2A3F">
        <w:rPr>
          <w:rStyle w:val="FootnoteReference"/>
          <w:sz w:val="18"/>
          <w:szCs w:val="18"/>
        </w:rPr>
        <w:footnoteRef/>
      </w:r>
      <w:hyperlink r:id="rId31" w:history="1">
        <w:r w:rsidRPr="00BC2A3F">
          <w:rPr>
            <w:rStyle w:val="Hyperlink"/>
            <w:sz w:val="18"/>
            <w:szCs w:val="18"/>
          </w:rPr>
          <w:t>https://www.pc.gov.au/inquiries/completed/freight/submissions/new_south_wales_government__including_attachments_a,_b_and_c/sub050attachment3.pdf</w:t>
        </w:r>
      </w:hyperlink>
    </w:p>
    <w:p w14:paraId="349E4C9A" w14:textId="4F8E7D30" w:rsidR="00BC2A3F" w:rsidRPr="00BC2A3F" w:rsidRDefault="00BC2A3F">
      <w:pPr>
        <w:pStyle w:val="FootnoteText"/>
        <w:rPr>
          <w:sz w:val="18"/>
          <w:szCs w:val="18"/>
        </w:rPr>
      </w:pPr>
    </w:p>
  </w:footnote>
  <w:footnote w:id="28">
    <w:p w14:paraId="34CAA74F" w14:textId="77777777" w:rsidR="00BC2A3F" w:rsidRPr="00BC2A3F" w:rsidRDefault="00BC2A3F" w:rsidP="00BC2A3F">
      <w:pPr>
        <w:pStyle w:val="FootnoteText"/>
        <w:rPr>
          <w:sz w:val="18"/>
          <w:szCs w:val="18"/>
        </w:rPr>
      </w:pPr>
      <w:r w:rsidRPr="00BC2A3F">
        <w:rPr>
          <w:rStyle w:val="FootnoteReference"/>
          <w:sz w:val="18"/>
          <w:szCs w:val="18"/>
        </w:rPr>
        <w:footnoteRef/>
      </w:r>
      <w:r w:rsidRPr="00BC2A3F">
        <w:rPr>
          <w:sz w:val="18"/>
          <w:szCs w:val="18"/>
        </w:rPr>
        <w:t xml:space="preserve"> </w:t>
      </w:r>
      <w:hyperlink r:id="rId32" w:history="1">
        <w:r w:rsidRPr="00BC2A3F">
          <w:rPr>
            <w:rStyle w:val="Hyperlink"/>
            <w:sz w:val="18"/>
            <w:szCs w:val="18"/>
          </w:rPr>
          <w:t>http://ecotransit.org.au/ets/files/NSW_IA_M5-Expansion/M5-Expansion_Minimum-Info-Req_2009-01-20_Part-1.pdf</w:t>
        </w:r>
      </w:hyperlink>
    </w:p>
    <w:p w14:paraId="5897B481" w14:textId="5D81637B" w:rsidR="00BC2A3F" w:rsidRPr="00BC2A3F" w:rsidRDefault="00BC2A3F">
      <w:pPr>
        <w:pStyle w:val="FootnoteText"/>
        <w:rPr>
          <w:sz w:val="18"/>
          <w:szCs w:val="18"/>
        </w:rPr>
      </w:pPr>
    </w:p>
  </w:footnote>
  <w:footnote w:id="29">
    <w:p w14:paraId="6E79223C" w14:textId="77777777" w:rsidR="00BC2A3F" w:rsidRPr="00BC2A3F" w:rsidRDefault="00BC2A3F" w:rsidP="00BC2A3F">
      <w:pPr>
        <w:pStyle w:val="EndnoteText"/>
        <w:rPr>
          <w:rFonts w:cstheme="minorHAnsi"/>
          <w:sz w:val="18"/>
          <w:szCs w:val="18"/>
        </w:rPr>
      </w:pPr>
      <w:r w:rsidRPr="00BC2A3F">
        <w:rPr>
          <w:rStyle w:val="FootnoteReference"/>
          <w:sz w:val="18"/>
          <w:szCs w:val="18"/>
        </w:rPr>
        <w:footnoteRef/>
      </w:r>
      <w:r w:rsidRPr="00BC2A3F">
        <w:rPr>
          <w:sz w:val="18"/>
          <w:szCs w:val="18"/>
        </w:rPr>
        <w:t xml:space="preserve"> </w:t>
      </w:r>
      <w:hyperlink r:id="rId33" w:history="1">
        <w:r w:rsidRPr="00BC2A3F">
          <w:rPr>
            <w:rStyle w:val="Hyperlink"/>
            <w:rFonts w:cstheme="minorHAnsi"/>
            <w:sz w:val="18"/>
            <w:szCs w:val="18"/>
          </w:rPr>
          <w:t>https://www.containerterminalpolicyinnsw.com.au/wp-content/uploads/2016/01/RTA-M5-Expansion-Modelling-Report-RTA-5-May-2009.pdf</w:t>
        </w:r>
      </w:hyperlink>
    </w:p>
    <w:p w14:paraId="5D5E0004" w14:textId="3823414C" w:rsidR="00BC2A3F" w:rsidRDefault="00BC2A3F">
      <w:pPr>
        <w:pStyle w:val="FootnoteText"/>
      </w:pPr>
    </w:p>
  </w:footnote>
  <w:footnote w:id="30">
    <w:p w14:paraId="3DF32A5E" w14:textId="30FCFAF3" w:rsidR="00FA20E9" w:rsidRDefault="00FA20E9">
      <w:pPr>
        <w:pStyle w:val="FootnoteText"/>
        <w:rPr>
          <w:sz w:val="18"/>
          <w:szCs w:val="18"/>
        </w:rPr>
      </w:pPr>
      <w:r w:rsidRPr="00FA20E9">
        <w:rPr>
          <w:rStyle w:val="FootnoteReference"/>
          <w:sz w:val="18"/>
          <w:szCs w:val="18"/>
        </w:rPr>
        <w:footnoteRef/>
      </w:r>
      <w:r w:rsidRPr="00FA20E9">
        <w:rPr>
          <w:sz w:val="18"/>
          <w:szCs w:val="18"/>
        </w:rPr>
        <w:t xml:space="preserve"> Passenger </w:t>
      </w:r>
      <w:r>
        <w:rPr>
          <w:sz w:val="18"/>
          <w:szCs w:val="18"/>
        </w:rPr>
        <w:t>c</w:t>
      </w:r>
      <w:r w:rsidRPr="00FA20E9">
        <w:rPr>
          <w:sz w:val="18"/>
          <w:szCs w:val="18"/>
        </w:rPr>
        <w:t xml:space="preserve">ar </w:t>
      </w:r>
      <w:r>
        <w:rPr>
          <w:sz w:val="18"/>
          <w:szCs w:val="18"/>
        </w:rPr>
        <w:t>(space) e</w:t>
      </w:r>
      <w:r w:rsidRPr="00FA20E9">
        <w:rPr>
          <w:sz w:val="18"/>
          <w:szCs w:val="18"/>
        </w:rPr>
        <w:t xml:space="preserve">quivalent </w:t>
      </w:r>
      <w:r>
        <w:rPr>
          <w:sz w:val="18"/>
          <w:szCs w:val="18"/>
        </w:rPr>
        <w:t>units are</w:t>
      </w:r>
      <w:r w:rsidRPr="00FA20E9">
        <w:rPr>
          <w:sz w:val="18"/>
          <w:szCs w:val="18"/>
        </w:rPr>
        <w:t xml:space="preserve"> used to represent the impact of a large vehicle on a road by expressing it as the number of equivalent passenger vehicles</w:t>
      </w:r>
      <w:r>
        <w:rPr>
          <w:sz w:val="18"/>
          <w:szCs w:val="18"/>
        </w:rPr>
        <w:t xml:space="preserve">: </w:t>
      </w:r>
      <w:hyperlink r:id="rId34" w:history="1">
        <w:r w:rsidRPr="007D38BA">
          <w:rPr>
            <w:rStyle w:val="Hyperlink"/>
            <w:sz w:val="18"/>
            <w:szCs w:val="18"/>
          </w:rPr>
          <w:t>https://www.atap.gov.au/parameter-values/road-transport/5-vehicle-operating-cost-voc-models</w:t>
        </w:r>
      </w:hyperlink>
    </w:p>
    <w:p w14:paraId="7433FE5C" w14:textId="77777777" w:rsidR="00FA20E9" w:rsidRPr="0016595D" w:rsidRDefault="00FA20E9">
      <w:pPr>
        <w:pStyle w:val="FootnoteText"/>
        <w:rPr>
          <w:sz w:val="18"/>
          <w:szCs w:val="18"/>
        </w:rPr>
      </w:pPr>
    </w:p>
  </w:footnote>
  <w:footnote w:id="31">
    <w:p w14:paraId="5631A8DC" w14:textId="77DF3317" w:rsidR="0016595D" w:rsidRPr="0016595D" w:rsidRDefault="0016595D">
      <w:pPr>
        <w:pStyle w:val="FootnoteText"/>
        <w:rPr>
          <w:sz w:val="18"/>
          <w:szCs w:val="18"/>
        </w:rPr>
      </w:pPr>
      <w:r w:rsidRPr="0016595D">
        <w:rPr>
          <w:rStyle w:val="FootnoteReference"/>
          <w:sz w:val="18"/>
          <w:szCs w:val="18"/>
        </w:rPr>
        <w:footnoteRef/>
      </w:r>
      <w:r w:rsidRPr="0016595D">
        <w:rPr>
          <w:sz w:val="18"/>
          <w:szCs w:val="18"/>
        </w:rPr>
        <w:t xml:space="preserve"> See </w:t>
      </w:r>
      <w:proofErr w:type="gramStart"/>
      <w:r w:rsidRPr="0016595D">
        <w:rPr>
          <w:sz w:val="18"/>
          <w:szCs w:val="18"/>
        </w:rPr>
        <w:t>e.g.</w:t>
      </w:r>
      <w:proofErr w:type="gramEnd"/>
      <w:r w:rsidRPr="0016595D">
        <w:rPr>
          <w:sz w:val="18"/>
          <w:szCs w:val="18"/>
        </w:rPr>
        <w:t xml:space="preserve"> </w:t>
      </w:r>
      <w:hyperlink r:id="rId35" w:history="1">
        <w:r w:rsidRPr="007D38BA">
          <w:rPr>
            <w:rStyle w:val="Hyperlink"/>
            <w:sz w:val="18"/>
            <w:szCs w:val="18"/>
          </w:rPr>
          <w:t xml:space="preserve">https://www.bitre.gov.au/sites/default/files/wp_015.pdf.  </w:t>
        </w:r>
      </w:hyperlink>
      <w:r>
        <w:rPr>
          <w:sz w:val="18"/>
          <w:szCs w:val="18"/>
        </w:rPr>
        <w:t>Figure 4.1.</w:t>
      </w:r>
    </w:p>
    <w:p w14:paraId="10955D66" w14:textId="77777777" w:rsidR="0016595D" w:rsidRPr="0016595D" w:rsidRDefault="0016595D">
      <w:pPr>
        <w:pStyle w:val="FootnoteText"/>
        <w:rPr>
          <w:sz w:val="18"/>
          <w:szCs w:val="18"/>
        </w:rPr>
      </w:pPr>
    </w:p>
  </w:footnote>
  <w:footnote w:id="32">
    <w:p w14:paraId="690F973F" w14:textId="77777777" w:rsidR="004F18E1" w:rsidRPr="004113D3" w:rsidRDefault="004F18E1" w:rsidP="004F18E1">
      <w:pPr>
        <w:pStyle w:val="FootnoteText"/>
        <w:rPr>
          <w:sz w:val="18"/>
          <w:szCs w:val="18"/>
        </w:rPr>
      </w:pPr>
      <w:r w:rsidRPr="004113D3">
        <w:rPr>
          <w:rStyle w:val="FootnoteReference"/>
          <w:sz w:val="18"/>
          <w:szCs w:val="18"/>
        </w:rPr>
        <w:footnoteRef/>
      </w:r>
      <w:r w:rsidRPr="004113D3">
        <w:rPr>
          <w:sz w:val="18"/>
          <w:szCs w:val="18"/>
        </w:rPr>
        <w:t xml:space="preserve"> </w:t>
      </w:r>
      <w:r w:rsidRPr="004113D3">
        <w:rPr>
          <w:i/>
          <w:iCs/>
          <w:sz w:val="18"/>
          <w:szCs w:val="18"/>
        </w:rPr>
        <w:t>‘The proposed national ports strategy suggested dedicated freight infrastructure to overcome the problem of freight being crowded out on some route segments. It recommended that this be investigated by the Bureau of Infrastructure Transport and Regional Economics. This issue is being explored in the United States as part of its freight research program and there are examples of dedicated freight infrastructure in Australia and other countries’</w:t>
      </w:r>
    </w:p>
    <w:p w14:paraId="162A4307" w14:textId="77777777" w:rsidR="004F18E1" w:rsidRPr="004113D3" w:rsidRDefault="001052FB" w:rsidP="004F18E1">
      <w:pPr>
        <w:pStyle w:val="FootnoteText"/>
        <w:rPr>
          <w:sz w:val="18"/>
          <w:szCs w:val="18"/>
        </w:rPr>
      </w:pPr>
      <w:hyperlink r:id="rId36" w:history="1">
        <w:r w:rsidR="004F18E1" w:rsidRPr="004113D3">
          <w:rPr>
            <w:rStyle w:val="Hyperlink"/>
            <w:sz w:val="18"/>
            <w:szCs w:val="18"/>
          </w:rPr>
          <w:t>https://www.infrastructureaustralia.gov.au/sites/default/files/2019-06/NLFS_220211.pdf</w:t>
        </w:r>
      </w:hyperlink>
    </w:p>
    <w:p w14:paraId="6E5A0FAC" w14:textId="77777777" w:rsidR="004F18E1" w:rsidRDefault="004F18E1" w:rsidP="004F18E1">
      <w:pPr>
        <w:pStyle w:val="FootnoteText"/>
      </w:pPr>
    </w:p>
  </w:footnote>
  <w:footnote w:id="33">
    <w:p w14:paraId="6C2E27C4" w14:textId="77777777" w:rsidR="00E15A65" w:rsidRDefault="00E15A65" w:rsidP="00E15A65">
      <w:pPr>
        <w:pStyle w:val="FootnoteText"/>
        <w:rPr>
          <w:sz w:val="18"/>
          <w:szCs w:val="18"/>
        </w:rPr>
      </w:pPr>
      <w:r w:rsidRPr="004113D3">
        <w:rPr>
          <w:rStyle w:val="FootnoteReference"/>
          <w:sz w:val="18"/>
          <w:szCs w:val="18"/>
        </w:rPr>
        <w:footnoteRef/>
      </w:r>
      <w:r w:rsidRPr="004113D3">
        <w:rPr>
          <w:sz w:val="18"/>
          <w:szCs w:val="18"/>
        </w:rPr>
        <w:t xml:space="preserve"> </w:t>
      </w:r>
      <w:hyperlink r:id="rId37" w:history="1">
        <w:r w:rsidRPr="004113D3">
          <w:rPr>
            <w:rStyle w:val="Hyperlink"/>
            <w:sz w:val="18"/>
            <w:szCs w:val="18"/>
          </w:rPr>
          <w:t>https://www.bitre.gov.au/sites/default/files/2019-11/cr_001%20%282%29.pdf</w:t>
        </w:r>
      </w:hyperlink>
      <w:r>
        <w:rPr>
          <w:sz w:val="18"/>
          <w:szCs w:val="18"/>
        </w:rPr>
        <w:t xml:space="preserve">.  </w:t>
      </w:r>
    </w:p>
    <w:p w14:paraId="41B8822A" w14:textId="48B74E7D" w:rsidR="00E15A65" w:rsidRDefault="00E15A65" w:rsidP="00E15A65">
      <w:pPr>
        <w:pStyle w:val="FootnoteText"/>
        <w:rPr>
          <w:sz w:val="18"/>
          <w:szCs w:val="18"/>
        </w:rPr>
      </w:pPr>
      <w:r>
        <w:rPr>
          <w:sz w:val="18"/>
          <w:szCs w:val="18"/>
        </w:rPr>
        <w:t xml:space="preserve">Actual and virtual truck queues at the port were subject to an earlier review by the Independent Pricing and Regulatory Tribunal </w:t>
      </w:r>
      <w:r w:rsidR="00F34483">
        <w:rPr>
          <w:sz w:val="18"/>
          <w:szCs w:val="18"/>
        </w:rPr>
        <w:t>(</w:t>
      </w:r>
      <w:r>
        <w:rPr>
          <w:sz w:val="18"/>
          <w:szCs w:val="18"/>
        </w:rPr>
        <w:t>2007-08</w:t>
      </w:r>
      <w:r w:rsidR="00F34483">
        <w:rPr>
          <w:sz w:val="18"/>
          <w:szCs w:val="18"/>
        </w:rPr>
        <w:t>)</w:t>
      </w:r>
      <w:r>
        <w:rPr>
          <w:sz w:val="18"/>
          <w:szCs w:val="18"/>
        </w:rPr>
        <w:t xml:space="preserve"> </w:t>
      </w:r>
      <w:hyperlink r:id="rId38" w:history="1">
        <w:r w:rsidRPr="007D38BA">
          <w:rPr>
            <w:rStyle w:val="Hyperlink"/>
            <w:sz w:val="18"/>
            <w:szCs w:val="18"/>
          </w:rPr>
          <w:t>https://www.ipart.nsw.gov.au/sites/default/files/documents/final_report_-_reforming_port_botanys_links_with_inland_transport_-_march_2008.pdf</w:t>
        </w:r>
      </w:hyperlink>
    </w:p>
    <w:p w14:paraId="5E6657C1" w14:textId="77777777" w:rsidR="00E15A65" w:rsidRDefault="00E15A65" w:rsidP="00E15A65">
      <w:pPr>
        <w:pStyle w:val="FootnoteText"/>
      </w:pPr>
      <w:r>
        <w:rPr>
          <w:sz w:val="18"/>
          <w:szCs w:val="18"/>
        </w:rPr>
        <w:t xml:space="preserve"> </w:t>
      </w:r>
    </w:p>
  </w:footnote>
  <w:footnote w:id="34">
    <w:p w14:paraId="3CB1EBC4" w14:textId="724286A1" w:rsidR="004E065B" w:rsidRPr="00F34483" w:rsidRDefault="004E065B" w:rsidP="004E065B">
      <w:pPr>
        <w:pStyle w:val="EndnoteText"/>
        <w:rPr>
          <w:rFonts w:cstheme="minorHAnsi"/>
          <w:sz w:val="18"/>
          <w:szCs w:val="18"/>
        </w:rPr>
      </w:pPr>
      <w:r w:rsidRPr="00F34483">
        <w:rPr>
          <w:rStyle w:val="FootnoteReference"/>
          <w:sz w:val="18"/>
          <w:szCs w:val="18"/>
        </w:rPr>
        <w:footnoteRef/>
      </w:r>
      <w:r w:rsidRPr="00F34483">
        <w:rPr>
          <w:sz w:val="18"/>
          <w:szCs w:val="18"/>
        </w:rPr>
        <w:t xml:space="preserve"> For example: </w:t>
      </w:r>
      <w:hyperlink r:id="rId39" w:history="1">
        <w:r w:rsidRPr="00F34483">
          <w:rPr>
            <w:rStyle w:val="Hyperlink"/>
            <w:rFonts w:cstheme="minorHAnsi"/>
            <w:sz w:val="18"/>
            <w:szCs w:val="18"/>
          </w:rPr>
          <w:t>https://future.transport.nsw.gov.au/plans/greater-sydney-services-and-infrastructure-plan/future-networks</w:t>
        </w:r>
      </w:hyperlink>
    </w:p>
    <w:p w14:paraId="6B8014B2" w14:textId="77777777" w:rsidR="004E065B" w:rsidRPr="00F34483" w:rsidRDefault="004E065B">
      <w:pPr>
        <w:pStyle w:val="FootnoteText"/>
        <w:rPr>
          <w:sz w:val="18"/>
          <w:szCs w:val="18"/>
        </w:rPr>
      </w:pPr>
    </w:p>
  </w:footnote>
  <w:footnote w:id="35">
    <w:p w14:paraId="3D4052D8" w14:textId="2B78C1E4" w:rsidR="008C7FDA" w:rsidRDefault="008C7FDA">
      <w:pPr>
        <w:pStyle w:val="FootnoteText"/>
      </w:pPr>
      <w:r w:rsidRPr="00F34483">
        <w:rPr>
          <w:rStyle w:val="FootnoteReference"/>
          <w:sz w:val="18"/>
          <w:szCs w:val="18"/>
        </w:rPr>
        <w:footnoteRef/>
      </w:r>
      <w:r w:rsidRPr="00F34483">
        <w:rPr>
          <w:sz w:val="18"/>
          <w:szCs w:val="18"/>
        </w:rPr>
        <w:t xml:space="preserve"> </w:t>
      </w:r>
      <w:hyperlink r:id="rId40" w:history="1">
        <w:r w:rsidRPr="00F34483">
          <w:rPr>
            <w:rStyle w:val="Hyperlink"/>
            <w:sz w:val="18"/>
            <w:szCs w:val="18"/>
          </w:rPr>
          <w:t>https://www.transport.nsw.gov.au/projects/strategy/nsw-freight-and-ports-plan</w:t>
        </w:r>
      </w:hyperlink>
    </w:p>
    <w:p w14:paraId="3056CDCF" w14:textId="77777777" w:rsidR="008C7FDA" w:rsidRDefault="008C7FDA">
      <w:pPr>
        <w:pStyle w:val="FootnoteText"/>
      </w:pPr>
    </w:p>
  </w:footnote>
  <w:footnote w:id="36">
    <w:p w14:paraId="12E2799E" w14:textId="77777777" w:rsidR="004E065B" w:rsidRDefault="004E065B" w:rsidP="004E065B">
      <w:pPr>
        <w:pStyle w:val="EndnoteText"/>
        <w:rPr>
          <w:rFonts w:cstheme="minorHAnsi"/>
          <w:sz w:val="18"/>
          <w:szCs w:val="18"/>
        </w:rPr>
      </w:pPr>
      <w:r>
        <w:rPr>
          <w:rStyle w:val="FootnoteReference"/>
        </w:rPr>
        <w:footnoteRef/>
      </w:r>
      <w:r>
        <w:t xml:space="preserve"> </w:t>
      </w:r>
      <w:hyperlink r:id="rId41" w:history="1">
        <w:r w:rsidRPr="007D38BA">
          <w:rPr>
            <w:rStyle w:val="Hyperlink"/>
            <w:rFonts w:cstheme="minorHAnsi"/>
            <w:sz w:val="18"/>
            <w:szCs w:val="18"/>
          </w:rPr>
          <w:t>https://www.containerterminalpolicyinnsw.com.au/wp-content/uploads/2016/01/NSW-Freight-and-Ports-Strategy-November-2013.pdf</w:t>
        </w:r>
      </w:hyperlink>
    </w:p>
    <w:p w14:paraId="15606E87" w14:textId="77777777" w:rsidR="004E065B" w:rsidRDefault="001052FB" w:rsidP="004E065B">
      <w:pPr>
        <w:pStyle w:val="EndnoteText"/>
        <w:rPr>
          <w:rFonts w:cstheme="minorHAnsi"/>
          <w:sz w:val="18"/>
          <w:szCs w:val="18"/>
        </w:rPr>
      </w:pPr>
      <w:hyperlink r:id="rId42" w:history="1">
        <w:r w:rsidR="004E065B" w:rsidRPr="007D38BA">
          <w:rPr>
            <w:rStyle w:val="Hyperlink"/>
            <w:rFonts w:cstheme="minorHAnsi"/>
            <w:sz w:val="18"/>
            <w:szCs w:val="18"/>
          </w:rPr>
          <w:t>https://www.infrastructure.nsw.gov.au/media/2154/sydney-gateway-program_final-business-case-summary.pdf</w:t>
        </w:r>
      </w:hyperlink>
    </w:p>
    <w:p w14:paraId="2F7CF980" w14:textId="77777777" w:rsidR="004E065B" w:rsidRDefault="001052FB" w:rsidP="004E065B">
      <w:pPr>
        <w:pStyle w:val="EndnoteText"/>
        <w:rPr>
          <w:rFonts w:cstheme="minorHAnsi"/>
          <w:sz w:val="18"/>
          <w:szCs w:val="18"/>
        </w:rPr>
      </w:pPr>
      <w:hyperlink r:id="rId43" w:history="1">
        <w:r w:rsidR="004E065B" w:rsidRPr="007D38BA">
          <w:rPr>
            <w:rStyle w:val="Hyperlink"/>
            <w:rFonts w:cstheme="minorHAnsi"/>
            <w:sz w:val="18"/>
            <w:szCs w:val="18"/>
          </w:rPr>
          <w:t>https://www.transport.nsw.gov.au/projects/strategy/nsw-freight-and-ports-plan</w:t>
        </w:r>
      </w:hyperlink>
    </w:p>
    <w:p w14:paraId="687C6FC6" w14:textId="77777777" w:rsidR="004E065B" w:rsidRDefault="001052FB" w:rsidP="004E065B">
      <w:pPr>
        <w:pStyle w:val="EndnoteText"/>
        <w:rPr>
          <w:rFonts w:cstheme="minorHAnsi"/>
          <w:sz w:val="18"/>
          <w:szCs w:val="18"/>
        </w:rPr>
      </w:pPr>
      <w:hyperlink r:id="rId44" w:history="1">
        <w:r w:rsidR="004E065B" w:rsidRPr="007D38BA">
          <w:rPr>
            <w:rStyle w:val="Hyperlink"/>
            <w:rFonts w:cstheme="minorHAnsi"/>
            <w:sz w:val="18"/>
            <w:szCs w:val="18"/>
          </w:rPr>
          <w:t>https://www.infrastructureaustralia.gov.au/sites/default/files/2019-06/Final_WestConnex_Project_Evaluation_Summary.pdf</w:t>
        </w:r>
      </w:hyperlink>
    </w:p>
    <w:p w14:paraId="073C52FA" w14:textId="77777777" w:rsidR="004E065B" w:rsidRPr="00E15A65" w:rsidRDefault="004E065B" w:rsidP="004E065B">
      <w:pPr>
        <w:pStyle w:val="FootnoteText"/>
        <w:rPr>
          <w:sz w:val="18"/>
          <w:szCs w:val="18"/>
        </w:rPr>
      </w:pPr>
    </w:p>
  </w:footnote>
  <w:footnote w:id="37">
    <w:p w14:paraId="05EB7DFB" w14:textId="189F29C3" w:rsidR="004E065B" w:rsidRPr="00E15A65" w:rsidRDefault="004E065B">
      <w:pPr>
        <w:pStyle w:val="FootnoteText"/>
        <w:rPr>
          <w:sz w:val="18"/>
          <w:szCs w:val="18"/>
        </w:rPr>
      </w:pPr>
      <w:r w:rsidRPr="00E15A65">
        <w:rPr>
          <w:rStyle w:val="FootnoteReference"/>
          <w:sz w:val="18"/>
          <w:szCs w:val="18"/>
        </w:rPr>
        <w:footnoteRef/>
      </w:r>
      <w:r w:rsidRPr="00E15A65">
        <w:rPr>
          <w:sz w:val="18"/>
          <w:szCs w:val="18"/>
        </w:rPr>
        <w:t xml:space="preserve"> </w:t>
      </w:r>
      <w:hyperlink r:id="rId45" w:history="1">
        <w:r w:rsidR="00051BC4" w:rsidRPr="00E15A65">
          <w:rPr>
            <w:rStyle w:val="Hyperlink"/>
            <w:sz w:val="18"/>
            <w:szCs w:val="18"/>
          </w:rPr>
          <w:t>https://www.thejadebeagle.com/urbans-admonition.html</w:t>
        </w:r>
      </w:hyperlink>
    </w:p>
    <w:p w14:paraId="4071816F" w14:textId="77777777" w:rsidR="00051BC4" w:rsidRPr="00E15A65" w:rsidRDefault="00051BC4">
      <w:pPr>
        <w:pStyle w:val="FootnoteText"/>
        <w:rPr>
          <w:sz w:val="18"/>
          <w:szCs w:val="18"/>
        </w:rPr>
      </w:pPr>
    </w:p>
  </w:footnote>
  <w:footnote w:id="38">
    <w:p w14:paraId="215F38DB" w14:textId="640B57D4" w:rsidR="00AE19A8" w:rsidRPr="001E5789" w:rsidRDefault="00AE19A8">
      <w:pPr>
        <w:pStyle w:val="FootnoteText"/>
        <w:rPr>
          <w:sz w:val="18"/>
          <w:szCs w:val="18"/>
        </w:rPr>
      </w:pPr>
      <w:r w:rsidRPr="001E5789">
        <w:rPr>
          <w:rStyle w:val="FootnoteReference"/>
          <w:sz w:val="18"/>
          <w:szCs w:val="18"/>
        </w:rPr>
        <w:footnoteRef/>
      </w:r>
      <w:r w:rsidRPr="001E5789">
        <w:rPr>
          <w:sz w:val="18"/>
          <w:szCs w:val="18"/>
        </w:rPr>
        <w:t xml:space="preserve"> </w:t>
      </w:r>
      <w:r w:rsidRPr="001E5789">
        <w:rPr>
          <w:i/>
          <w:iCs/>
          <w:sz w:val="18"/>
          <w:szCs w:val="18"/>
        </w:rPr>
        <w:t>‘While there is a general acknowledgement that congestion is a problem in the Sydney metropolitan area, especially during peak hours, the specific contribution of freight transport to this congestion is unknown. There is also little available data which quantifies the impact of congestion on freight efficiency and emissions.’</w:t>
      </w:r>
    </w:p>
    <w:p w14:paraId="22353F40" w14:textId="6BC54DA1" w:rsidR="00AE19A8" w:rsidRPr="001E5789" w:rsidRDefault="001052FB">
      <w:pPr>
        <w:pStyle w:val="FootnoteText"/>
        <w:rPr>
          <w:sz w:val="18"/>
          <w:szCs w:val="18"/>
        </w:rPr>
      </w:pPr>
      <w:hyperlink r:id="rId46" w:history="1">
        <w:r w:rsidR="00AE19A8" w:rsidRPr="001E5789">
          <w:rPr>
            <w:rStyle w:val="Hyperlink"/>
            <w:sz w:val="18"/>
            <w:szCs w:val="18"/>
          </w:rPr>
          <w:t>https://www.containerterminalpolicyinnsw.com.au/wp-content/uploads/2016/01/NSW-Freight-and-Ports-Strategy-November-2013.pdf</w:t>
        </w:r>
      </w:hyperlink>
    </w:p>
    <w:p w14:paraId="0B3FFF18" w14:textId="1F7F948B" w:rsidR="00AE19A8" w:rsidRPr="001E5789" w:rsidRDefault="001052FB">
      <w:pPr>
        <w:pStyle w:val="FootnoteText"/>
        <w:rPr>
          <w:sz w:val="18"/>
          <w:szCs w:val="18"/>
        </w:rPr>
      </w:pPr>
      <w:hyperlink r:id="rId47" w:history="1">
        <w:r w:rsidR="00AE19A8" w:rsidRPr="001E5789">
          <w:rPr>
            <w:rStyle w:val="Hyperlink"/>
            <w:sz w:val="18"/>
            <w:szCs w:val="18"/>
          </w:rPr>
          <w:t>https://future.transport.nsw.gov.au/plans/nsw-freight-and-ports-plan-2018-2023</w:t>
        </w:r>
      </w:hyperlink>
    </w:p>
    <w:p w14:paraId="580573D9" w14:textId="77777777" w:rsidR="00AE19A8" w:rsidRPr="002A7759" w:rsidRDefault="00AE19A8">
      <w:pPr>
        <w:pStyle w:val="FootnoteText"/>
        <w:rPr>
          <w:sz w:val="18"/>
          <w:szCs w:val="18"/>
        </w:rPr>
      </w:pPr>
    </w:p>
  </w:footnote>
  <w:footnote w:id="39">
    <w:p w14:paraId="64C57355" w14:textId="78530573" w:rsidR="002A7759" w:rsidRPr="002A7759" w:rsidRDefault="002A7759" w:rsidP="002A7759">
      <w:pPr>
        <w:spacing w:after="0"/>
        <w:rPr>
          <w:sz w:val="18"/>
          <w:szCs w:val="18"/>
        </w:rPr>
      </w:pPr>
      <w:r w:rsidRPr="002A7759">
        <w:rPr>
          <w:rStyle w:val="FootnoteReference"/>
          <w:sz w:val="18"/>
          <w:szCs w:val="18"/>
        </w:rPr>
        <w:footnoteRef/>
      </w:r>
      <w:r w:rsidRPr="002A7759">
        <w:rPr>
          <w:sz w:val="18"/>
          <w:szCs w:val="18"/>
        </w:rPr>
        <w:t xml:space="preserve"> </w:t>
      </w:r>
      <w:bookmarkStart w:id="15" w:name="_Hlk79077931"/>
      <w:r w:rsidRPr="002A7759">
        <w:rPr>
          <w:sz w:val="18"/>
          <w:szCs w:val="18"/>
        </w:rPr>
        <w:fldChar w:fldCharType="begin"/>
      </w:r>
      <w:r w:rsidRPr="002A7759">
        <w:rPr>
          <w:sz w:val="18"/>
          <w:szCs w:val="18"/>
        </w:rPr>
        <w:instrText xml:space="preserve"> HYPERLINK "https://www.parliament.nsw.gov.au/lcdocs/inquiries/2516/Final%20version%20of%20report%20-%2025%20February%202019.pdf" </w:instrText>
      </w:r>
      <w:r w:rsidRPr="002A7759">
        <w:rPr>
          <w:sz w:val="18"/>
          <w:szCs w:val="18"/>
        </w:rPr>
        <w:fldChar w:fldCharType="separate"/>
      </w:r>
      <w:r w:rsidRPr="002A7759">
        <w:rPr>
          <w:rStyle w:val="Hyperlink"/>
          <w:sz w:val="18"/>
          <w:szCs w:val="18"/>
          <w:lang w:eastAsia="en-GB"/>
        </w:rPr>
        <w:t>https://www.parliament.nsw.gov.au/lcdocs/inquiries/2516/Final%20version%20of%20report%20-%2025%20February%202019.pdf</w:t>
      </w:r>
      <w:r w:rsidRPr="002A7759">
        <w:rPr>
          <w:sz w:val="18"/>
          <w:szCs w:val="18"/>
        </w:rPr>
        <w:fldChar w:fldCharType="end"/>
      </w:r>
      <w:bookmarkEnd w:id="15"/>
    </w:p>
    <w:p w14:paraId="04B35AF2" w14:textId="77777777" w:rsidR="002A7759" w:rsidRPr="002A7759" w:rsidRDefault="002A7759">
      <w:pPr>
        <w:pStyle w:val="FootnoteText"/>
        <w:rPr>
          <w:sz w:val="18"/>
          <w:szCs w:val="18"/>
        </w:rPr>
      </w:pPr>
    </w:p>
  </w:footnote>
  <w:footnote w:id="40">
    <w:p w14:paraId="74AA0DE7" w14:textId="02A94DDD" w:rsidR="00BF5BE0" w:rsidRDefault="00BF5BE0">
      <w:pPr>
        <w:pStyle w:val="FootnoteText"/>
      </w:pPr>
      <w:r>
        <w:rPr>
          <w:rStyle w:val="FootnoteReference"/>
        </w:rPr>
        <w:footnoteRef/>
      </w:r>
      <w:r>
        <w:t xml:space="preserve"> Judgement para 1594: </w:t>
      </w:r>
      <w:r w:rsidRPr="00BF5BE0">
        <w:rPr>
          <w:i/>
          <w:iCs/>
        </w:rPr>
        <w:t>‘over the past seven or so years, the NSW and Commonwealth governments, as well as the private sector, has focused investments into supporting the Port Botany as NSW’s existing container port and Port Kembla as its next container port as provided for by the State policy’</w:t>
      </w:r>
      <w:r>
        <w:t>.</w:t>
      </w:r>
    </w:p>
    <w:p w14:paraId="341CB795" w14:textId="77777777" w:rsidR="004F18E1" w:rsidRDefault="004F18E1">
      <w:pPr>
        <w:pStyle w:val="FootnoteText"/>
      </w:pPr>
    </w:p>
  </w:footnote>
  <w:footnote w:id="41">
    <w:p w14:paraId="04280FFD" w14:textId="77777777" w:rsidR="004F18E1" w:rsidRDefault="004F18E1" w:rsidP="004F18E1">
      <w:pPr>
        <w:pStyle w:val="FootnoteText"/>
      </w:pPr>
      <w:r>
        <w:rPr>
          <w:rStyle w:val="FootnoteReference"/>
        </w:rPr>
        <w:footnoteRef/>
      </w:r>
      <w:hyperlink r:id="rId48" w:history="1">
        <w:r w:rsidRPr="007D38BA">
          <w:rPr>
            <w:rStyle w:val="Hyperlink"/>
            <w:sz w:val="18"/>
            <w:szCs w:val="18"/>
          </w:rPr>
          <w:t>https://www.pc.gov.au/inquiries/completed/freight/submissions/new_south_wales_government__including_attachments_a,_b_and_c/sub050attachment3.pdf</w:t>
        </w:r>
      </w:hyperlink>
    </w:p>
  </w:footnote>
  <w:footnote w:id="42">
    <w:p w14:paraId="4220D3F7" w14:textId="77777777" w:rsidR="004E1406" w:rsidRDefault="004E1406" w:rsidP="004E1406">
      <w:pPr>
        <w:pStyle w:val="EndnoteText"/>
      </w:pPr>
    </w:p>
    <w:p w14:paraId="3E632A0F" w14:textId="327EB635" w:rsidR="004E1406" w:rsidRPr="00E71204" w:rsidRDefault="004E1406" w:rsidP="004E1406">
      <w:pPr>
        <w:pStyle w:val="EndnoteText"/>
        <w:rPr>
          <w:rFonts w:cstheme="minorHAnsi"/>
          <w:sz w:val="18"/>
          <w:szCs w:val="18"/>
        </w:rPr>
      </w:pPr>
      <w:r>
        <w:rPr>
          <w:rStyle w:val="FootnoteReference"/>
        </w:rPr>
        <w:footnoteRef/>
      </w:r>
      <w:r>
        <w:t xml:space="preserve"> </w:t>
      </w:r>
      <w:hyperlink r:id="rId49" w:history="1">
        <w:r w:rsidRPr="00E71204">
          <w:rPr>
            <w:rStyle w:val="Hyperlink"/>
            <w:rFonts w:cstheme="minorHAnsi"/>
            <w:sz w:val="18"/>
            <w:szCs w:val="18"/>
          </w:rPr>
          <w:t>https://www.nswports.com.au/sites/default/files/Uploads/Port-Botany-Expansion-EIS-Appendix-P-Traffic-Transportation-Vol-I-III.pdf</w:t>
        </w:r>
      </w:hyperlink>
    </w:p>
    <w:p w14:paraId="7F54BDF5" w14:textId="7D514987" w:rsidR="004E1406" w:rsidRPr="00393C96" w:rsidRDefault="004E1406">
      <w:pPr>
        <w:pStyle w:val="FootnoteText"/>
        <w:rPr>
          <w:sz w:val="18"/>
          <w:szCs w:val="18"/>
        </w:rPr>
      </w:pPr>
    </w:p>
  </w:footnote>
  <w:footnote w:id="43">
    <w:p w14:paraId="5CC8D904" w14:textId="447D9148" w:rsidR="000B0ADD" w:rsidRDefault="000B0ADD" w:rsidP="000B0ADD">
      <w:r w:rsidRPr="000B0ADD">
        <w:rPr>
          <w:rStyle w:val="FootnoteReference"/>
          <w:sz w:val="18"/>
          <w:szCs w:val="18"/>
        </w:rPr>
        <w:footnoteRef/>
      </w:r>
      <w:r w:rsidRPr="000B0ADD">
        <w:rPr>
          <w:sz w:val="18"/>
          <w:szCs w:val="18"/>
        </w:rPr>
        <w:t xml:space="preserve"> Judgement para 715. </w:t>
      </w:r>
    </w:p>
  </w:footnote>
  <w:footnote w:id="44">
    <w:p w14:paraId="26555FD4" w14:textId="0EF69E3E" w:rsidR="00393C96" w:rsidRPr="00393C96" w:rsidRDefault="00393C96" w:rsidP="00393C96">
      <w:pPr>
        <w:spacing w:after="0"/>
        <w:rPr>
          <w:sz w:val="18"/>
          <w:szCs w:val="18"/>
        </w:rPr>
      </w:pPr>
      <w:r w:rsidRPr="00393C96">
        <w:rPr>
          <w:rStyle w:val="FootnoteReference"/>
          <w:sz w:val="18"/>
          <w:szCs w:val="18"/>
        </w:rPr>
        <w:footnoteRef/>
      </w:r>
      <w:r w:rsidRPr="00393C96">
        <w:rPr>
          <w:sz w:val="18"/>
          <w:szCs w:val="18"/>
        </w:rPr>
        <w:t xml:space="preserve"> </w:t>
      </w:r>
      <w:hyperlink r:id="rId50" w:history="1">
        <w:r w:rsidRPr="00393C96">
          <w:rPr>
            <w:rStyle w:val="Hyperlink"/>
            <w:sz w:val="18"/>
            <w:szCs w:val="18"/>
          </w:rPr>
          <w:t>http://www.bom.gov.au/products/IDR714.loop.shtml</w:t>
        </w:r>
      </w:hyperlink>
    </w:p>
    <w:p w14:paraId="6F07C062" w14:textId="344A083B" w:rsidR="00393C96" w:rsidRDefault="00393C96">
      <w:pPr>
        <w:pStyle w:val="FootnoteText"/>
      </w:pPr>
    </w:p>
  </w:footnote>
  <w:footnote w:id="45">
    <w:p w14:paraId="2399B641" w14:textId="2C5BE7E3" w:rsidR="001E5789" w:rsidRPr="001E5789" w:rsidRDefault="001E5789">
      <w:pPr>
        <w:pStyle w:val="FootnoteText"/>
        <w:rPr>
          <w:sz w:val="18"/>
          <w:szCs w:val="18"/>
        </w:rPr>
      </w:pPr>
      <w:r w:rsidRPr="001E5789">
        <w:rPr>
          <w:rStyle w:val="FootnoteReference"/>
          <w:sz w:val="18"/>
          <w:szCs w:val="18"/>
        </w:rPr>
        <w:footnoteRef/>
      </w:r>
      <w:hyperlink r:id="rId51" w:history="1">
        <w:r w:rsidR="00A93484" w:rsidRPr="007D38BA">
          <w:rPr>
            <w:rStyle w:val="Hyperlink"/>
            <w:sz w:val="18"/>
            <w:szCs w:val="18"/>
          </w:rPr>
          <w:t>https://www.transport.nsw.gov.au/projects/strategy/nsw-freight-and-ports-plan</w:t>
        </w:r>
      </w:hyperlink>
      <w:r w:rsidR="00A93484">
        <w:rPr>
          <w:sz w:val="18"/>
          <w:szCs w:val="18"/>
        </w:rPr>
        <w:t>: figure 9</w:t>
      </w:r>
      <w:r w:rsidR="00A93484" w:rsidRPr="00A93484">
        <w:rPr>
          <w:sz w:val="18"/>
          <w:szCs w:val="18"/>
        </w:rPr>
        <w:t xml:space="preserve"> </w:t>
      </w:r>
      <w:hyperlink r:id="rId52" w:history="1">
        <w:r w:rsidRPr="001E5789">
          <w:rPr>
            <w:rStyle w:val="Hyperlink"/>
            <w:sz w:val="18"/>
            <w:szCs w:val="18"/>
          </w:rPr>
          <w:t>https://spatial.infrastructure.gov.au/portal/apps/webappviewer/index.html?id=9690eb423b4f446485781ea8a61851d2</w:t>
        </w:r>
      </w:hyperlink>
    </w:p>
    <w:p w14:paraId="7D51F657" w14:textId="17652155" w:rsidR="001E5789" w:rsidRDefault="00A93484">
      <w:pPr>
        <w:pStyle w:val="FootnoteText"/>
        <w:rPr>
          <w:sz w:val="18"/>
          <w:szCs w:val="18"/>
        </w:rPr>
      </w:pPr>
      <w:r>
        <w:rPr>
          <w:sz w:val="18"/>
          <w:szCs w:val="18"/>
        </w:rPr>
        <w:t>Extra tolls on new M4, M7 and M2.</w:t>
      </w:r>
      <w:r w:rsidRPr="00A93484">
        <w:t xml:space="preserve"> </w:t>
      </w:r>
      <w:hyperlink r:id="rId53" w:history="1">
        <w:r w:rsidRPr="007D38BA">
          <w:rPr>
            <w:rStyle w:val="Hyperlink"/>
            <w:sz w:val="18"/>
            <w:szCs w:val="18"/>
          </w:rPr>
          <w:t>https://roads-waterways.transport.nsw.gov.au/sydney-motorways/toll-charges/index.html</w:t>
        </w:r>
      </w:hyperlink>
    </w:p>
    <w:p w14:paraId="00D17133" w14:textId="77777777" w:rsidR="00A93484" w:rsidRPr="001E5789" w:rsidRDefault="00A93484">
      <w:pPr>
        <w:pStyle w:val="FootnoteText"/>
        <w:rPr>
          <w:sz w:val="18"/>
          <w:szCs w:val="18"/>
        </w:rPr>
      </w:pPr>
    </w:p>
  </w:footnote>
  <w:footnote w:id="46">
    <w:p w14:paraId="50750B2C" w14:textId="77777777" w:rsidR="00AE19A8" w:rsidRPr="001E5789" w:rsidRDefault="00AE19A8">
      <w:pPr>
        <w:pStyle w:val="FootnoteText"/>
        <w:rPr>
          <w:sz w:val="18"/>
          <w:szCs w:val="18"/>
        </w:rPr>
      </w:pPr>
      <w:r w:rsidRPr="001E5789">
        <w:rPr>
          <w:rStyle w:val="FootnoteReference"/>
          <w:sz w:val="18"/>
          <w:szCs w:val="18"/>
        </w:rPr>
        <w:footnoteRef/>
      </w:r>
      <w:r w:rsidRPr="001E5789">
        <w:rPr>
          <w:sz w:val="18"/>
          <w:szCs w:val="18"/>
        </w:rPr>
        <w:t xml:space="preserve"> </w:t>
      </w:r>
      <w:hyperlink r:id="rId54" w:history="1">
        <w:r w:rsidRPr="001E5789">
          <w:rPr>
            <w:rStyle w:val="Hyperlink"/>
            <w:sz w:val="18"/>
            <w:szCs w:val="18"/>
          </w:rPr>
          <w:t>https://www.bitre.gov.au/publications/2021/waterline-66</w:t>
        </w:r>
      </w:hyperlink>
    </w:p>
    <w:p w14:paraId="77D1800F" w14:textId="6A761E4B" w:rsidR="00AE19A8" w:rsidRPr="001E5789" w:rsidRDefault="00AE19A8">
      <w:pPr>
        <w:pStyle w:val="FootnoteText"/>
        <w:rPr>
          <w:sz w:val="18"/>
          <w:szCs w:val="18"/>
        </w:rPr>
      </w:pPr>
      <w:r w:rsidRPr="001E5789">
        <w:rPr>
          <w:sz w:val="18"/>
          <w:szCs w:val="18"/>
        </w:rPr>
        <w:t xml:space="preserve"> </w:t>
      </w:r>
    </w:p>
  </w:footnote>
  <w:footnote w:id="47">
    <w:p w14:paraId="02473EAB" w14:textId="2E36BE8C" w:rsidR="009426C2" w:rsidRPr="009426C2" w:rsidRDefault="009426C2">
      <w:pPr>
        <w:pStyle w:val="FootnoteText"/>
        <w:rPr>
          <w:sz w:val="18"/>
          <w:szCs w:val="18"/>
        </w:rPr>
      </w:pPr>
      <w:r w:rsidRPr="001E5789">
        <w:rPr>
          <w:rStyle w:val="FootnoteReference"/>
          <w:sz w:val="18"/>
          <w:szCs w:val="18"/>
        </w:rPr>
        <w:footnoteRef/>
      </w:r>
      <w:r w:rsidRPr="001E5789">
        <w:rPr>
          <w:sz w:val="18"/>
          <w:szCs w:val="18"/>
        </w:rPr>
        <w:t xml:space="preserve"> </w:t>
      </w:r>
      <w:r w:rsidR="001E5789">
        <w:rPr>
          <w:sz w:val="18"/>
          <w:szCs w:val="18"/>
        </w:rPr>
        <w:t>Assuming trucks use the direct arterial road route from Strathfield to the M2, rather than motorway west to Eastern Creek, then east to NorthConnex.  The cost is d</w:t>
      </w:r>
      <w:r w:rsidRPr="001E5789">
        <w:rPr>
          <w:sz w:val="18"/>
          <w:szCs w:val="18"/>
        </w:rPr>
        <w:t xml:space="preserve">ue to new tolls: WestConnex (July 202) and NorthConnex (October 2020) – although to some extent these could be </w:t>
      </w:r>
      <w:r w:rsidRPr="009426C2">
        <w:rPr>
          <w:sz w:val="18"/>
          <w:szCs w:val="18"/>
        </w:rPr>
        <w:t xml:space="preserve">offset by operational savings.  </w:t>
      </w:r>
      <w:hyperlink r:id="rId55" w:history="1">
        <w:r w:rsidRPr="009426C2">
          <w:rPr>
            <w:rStyle w:val="Hyperlink"/>
            <w:sz w:val="18"/>
            <w:szCs w:val="18"/>
          </w:rPr>
          <w:t>https://roads-waterways.transport.nsw.gov.au/sydney-motorways/toll-charges/index.html</w:t>
        </w:r>
      </w:hyperlink>
    </w:p>
    <w:p w14:paraId="4A6188F9" w14:textId="77777777" w:rsidR="009426C2" w:rsidRPr="009426C2" w:rsidRDefault="009426C2">
      <w:pPr>
        <w:pStyle w:val="FootnoteText"/>
        <w:rPr>
          <w:sz w:val="18"/>
          <w:szCs w:val="18"/>
        </w:rPr>
      </w:pPr>
    </w:p>
  </w:footnote>
  <w:footnote w:id="48">
    <w:p w14:paraId="36506DB6" w14:textId="77777777" w:rsidR="006C26E4" w:rsidRPr="009426C2" w:rsidRDefault="006C26E4" w:rsidP="006C26E4">
      <w:pPr>
        <w:pStyle w:val="FootnoteText"/>
        <w:rPr>
          <w:sz w:val="18"/>
          <w:szCs w:val="18"/>
        </w:rPr>
      </w:pPr>
      <w:r w:rsidRPr="009426C2">
        <w:rPr>
          <w:rStyle w:val="FootnoteReference"/>
          <w:sz w:val="18"/>
          <w:szCs w:val="18"/>
        </w:rPr>
        <w:footnoteRef/>
      </w:r>
      <w:r w:rsidRPr="009426C2">
        <w:rPr>
          <w:sz w:val="18"/>
          <w:szCs w:val="18"/>
        </w:rPr>
        <w:t xml:space="preserve"> </w:t>
      </w:r>
      <w:hyperlink r:id="rId56" w:history="1">
        <w:r w:rsidRPr="009426C2">
          <w:rPr>
            <w:rStyle w:val="Hyperlink"/>
            <w:sz w:val="18"/>
            <w:szCs w:val="18"/>
          </w:rPr>
          <w:t>https://www2.deloitte.com/au/en/pages/economics/articles/port-newcastle-nsw-container-port-policy.html</w:t>
        </w:r>
      </w:hyperlink>
    </w:p>
    <w:p w14:paraId="468DA0FB" w14:textId="77777777" w:rsidR="006C26E4" w:rsidRDefault="006C26E4" w:rsidP="006C26E4">
      <w:pPr>
        <w:pStyle w:val="FootnoteText"/>
      </w:pPr>
    </w:p>
  </w:footnote>
  <w:footnote w:id="49">
    <w:p w14:paraId="7DB0C150" w14:textId="2ED6D048" w:rsidR="002E7173" w:rsidRPr="002E7173" w:rsidRDefault="002E7173">
      <w:pPr>
        <w:pStyle w:val="FootnoteText"/>
        <w:rPr>
          <w:sz w:val="18"/>
          <w:szCs w:val="18"/>
        </w:rPr>
      </w:pPr>
      <w:r w:rsidRPr="002E7173">
        <w:rPr>
          <w:rStyle w:val="FootnoteReference"/>
          <w:sz w:val="18"/>
          <w:szCs w:val="18"/>
        </w:rPr>
        <w:footnoteRef/>
      </w:r>
      <w:r w:rsidRPr="002E7173">
        <w:rPr>
          <w:sz w:val="18"/>
          <w:szCs w:val="18"/>
        </w:rPr>
        <w:t xml:space="preserve"> The NSW designated freight network also directly connects Kembla to Botany</w:t>
      </w:r>
      <w:r>
        <w:rPr>
          <w:sz w:val="18"/>
          <w:szCs w:val="18"/>
        </w:rPr>
        <w:t xml:space="preserve"> – figures 9 and 16 in</w:t>
      </w:r>
      <w:r w:rsidRPr="002E7173">
        <w:rPr>
          <w:sz w:val="18"/>
          <w:szCs w:val="18"/>
        </w:rPr>
        <w:t xml:space="preserve"> </w:t>
      </w:r>
      <w:hyperlink r:id="rId57" w:history="1">
        <w:r w:rsidRPr="002E7173">
          <w:rPr>
            <w:rStyle w:val="Hyperlink"/>
            <w:sz w:val="18"/>
            <w:szCs w:val="18"/>
          </w:rPr>
          <w:t>https://www.transport.nsw.gov.au/projects/strategy/nsw-freight-and-ports-plan</w:t>
        </w:r>
      </w:hyperlink>
    </w:p>
    <w:p w14:paraId="3D92F32B" w14:textId="77777777" w:rsidR="002E7173" w:rsidRPr="00F34483" w:rsidRDefault="002E7173">
      <w:pPr>
        <w:pStyle w:val="FootnoteText"/>
        <w:rPr>
          <w:sz w:val="18"/>
          <w:szCs w:val="18"/>
        </w:rPr>
      </w:pPr>
    </w:p>
  </w:footnote>
  <w:footnote w:id="50">
    <w:p w14:paraId="05FA2098" w14:textId="601246DD" w:rsidR="00AE7FBE" w:rsidRPr="00F34483" w:rsidRDefault="00AE7FBE">
      <w:pPr>
        <w:pStyle w:val="FootnoteText"/>
        <w:rPr>
          <w:sz w:val="18"/>
          <w:szCs w:val="18"/>
        </w:rPr>
      </w:pPr>
      <w:r w:rsidRPr="00F34483">
        <w:rPr>
          <w:rStyle w:val="FootnoteReference"/>
          <w:sz w:val="18"/>
          <w:szCs w:val="18"/>
        </w:rPr>
        <w:footnoteRef/>
      </w:r>
      <w:r w:rsidRPr="00F34483">
        <w:rPr>
          <w:sz w:val="18"/>
          <w:szCs w:val="18"/>
        </w:rPr>
        <w:t xml:space="preserve"> Judgement para 486.</w:t>
      </w:r>
    </w:p>
    <w:p w14:paraId="38356B25" w14:textId="77777777" w:rsidR="00AE7FBE" w:rsidRPr="00F34483" w:rsidRDefault="00AE7FBE">
      <w:pPr>
        <w:pStyle w:val="FootnoteText"/>
        <w:rPr>
          <w:sz w:val="18"/>
          <w:szCs w:val="18"/>
        </w:rPr>
      </w:pPr>
    </w:p>
  </w:footnote>
  <w:footnote w:id="51">
    <w:p w14:paraId="36489E95" w14:textId="2ADB92C7" w:rsidR="001F7B44" w:rsidRPr="001F7B44" w:rsidRDefault="001F7B44">
      <w:pPr>
        <w:pStyle w:val="FootnoteText"/>
        <w:rPr>
          <w:sz w:val="18"/>
          <w:szCs w:val="18"/>
        </w:rPr>
      </w:pPr>
      <w:r w:rsidRPr="001F7B44">
        <w:rPr>
          <w:rStyle w:val="FootnoteReference"/>
          <w:sz w:val="18"/>
          <w:szCs w:val="18"/>
        </w:rPr>
        <w:footnoteRef/>
      </w:r>
      <w:r w:rsidRPr="001F7B44">
        <w:rPr>
          <w:sz w:val="18"/>
          <w:szCs w:val="18"/>
        </w:rPr>
        <w:t xml:space="preserve"> </w:t>
      </w:r>
      <w:hyperlink r:id="rId58" w:history="1">
        <w:r w:rsidRPr="001F7B44">
          <w:rPr>
            <w:rStyle w:val="Hyperlink"/>
            <w:sz w:val="18"/>
            <w:szCs w:val="18"/>
          </w:rPr>
          <w:t>https://www.infrastructureaustralia.gov.au/publications/assessment-framework</w:t>
        </w:r>
      </w:hyperlink>
    </w:p>
    <w:p w14:paraId="2A40DCEF" w14:textId="77777777" w:rsidR="001F7B44" w:rsidRPr="00E91039" w:rsidRDefault="001F7B44">
      <w:pPr>
        <w:pStyle w:val="FootnoteText"/>
        <w:rPr>
          <w:sz w:val="18"/>
          <w:szCs w:val="18"/>
        </w:rPr>
      </w:pPr>
    </w:p>
  </w:footnote>
  <w:footnote w:id="52">
    <w:p w14:paraId="60F2E7F5" w14:textId="3A1A5E29" w:rsidR="00E91039" w:rsidRDefault="001F7B44">
      <w:pPr>
        <w:pStyle w:val="FootnoteText"/>
        <w:rPr>
          <w:sz w:val="18"/>
          <w:szCs w:val="18"/>
        </w:rPr>
      </w:pPr>
      <w:r w:rsidRPr="00E91039">
        <w:rPr>
          <w:rStyle w:val="FootnoteReference"/>
          <w:sz w:val="18"/>
          <w:szCs w:val="18"/>
        </w:rPr>
        <w:footnoteRef/>
      </w:r>
      <w:r w:rsidRPr="00E91039">
        <w:rPr>
          <w:sz w:val="18"/>
          <w:szCs w:val="18"/>
        </w:rPr>
        <w:t xml:space="preserve"> </w:t>
      </w:r>
      <w:hyperlink r:id="rId59" w:history="1">
        <w:r w:rsidR="00E91039" w:rsidRPr="007D38BA">
          <w:rPr>
            <w:rStyle w:val="Hyperlink"/>
            <w:sz w:val="18"/>
            <w:szCs w:val="18"/>
          </w:rPr>
          <w:t>https://www.infrastructureaustralia.gov.au/sites/default/files/2019-06/australian-infrastructure-audit-volume-1.pdf</w:t>
        </w:r>
      </w:hyperlink>
    </w:p>
    <w:p w14:paraId="310FCB1B" w14:textId="54411C98" w:rsidR="00E91039" w:rsidRPr="00E91039" w:rsidRDefault="001052FB">
      <w:pPr>
        <w:pStyle w:val="FootnoteText"/>
        <w:rPr>
          <w:sz w:val="18"/>
          <w:szCs w:val="18"/>
        </w:rPr>
      </w:pPr>
      <w:hyperlink r:id="rId60" w:history="1">
        <w:r w:rsidR="00E91039" w:rsidRPr="00E91039">
          <w:rPr>
            <w:rStyle w:val="Hyperlink"/>
            <w:sz w:val="18"/>
            <w:szCs w:val="18"/>
          </w:rPr>
          <w:t>https://www.infrastructureaustralia.gov.au/publications/nsw-westconnex</w:t>
        </w:r>
      </w:hyperlink>
    </w:p>
    <w:p w14:paraId="30AC7318" w14:textId="16641D74" w:rsidR="001F7B44" w:rsidRPr="00E91039" w:rsidRDefault="001052FB">
      <w:pPr>
        <w:pStyle w:val="FootnoteText"/>
        <w:rPr>
          <w:sz w:val="18"/>
          <w:szCs w:val="18"/>
        </w:rPr>
      </w:pPr>
      <w:hyperlink r:id="rId61" w:history="1">
        <w:r w:rsidR="00E91039" w:rsidRPr="00E91039">
          <w:rPr>
            <w:rStyle w:val="Hyperlink"/>
            <w:sz w:val="18"/>
            <w:szCs w:val="18"/>
          </w:rPr>
          <w:t>https://www.infrastructureaustralia.gov.au/projects/westconnex-2016</w:t>
        </w:r>
      </w:hyperlink>
    </w:p>
  </w:footnote>
  <w:footnote w:id="53">
    <w:p w14:paraId="1A47A3F9" w14:textId="751BB354" w:rsidR="002379AA" w:rsidRDefault="002379AA">
      <w:pPr>
        <w:pStyle w:val="FootnoteText"/>
        <w:rPr>
          <w:sz w:val="18"/>
          <w:szCs w:val="18"/>
        </w:rPr>
      </w:pPr>
      <w:r w:rsidRPr="00BC2080">
        <w:rPr>
          <w:rStyle w:val="FootnoteReference"/>
          <w:sz w:val="18"/>
          <w:szCs w:val="18"/>
        </w:rPr>
        <w:footnoteRef/>
      </w:r>
      <w:r w:rsidRPr="00BC2080">
        <w:rPr>
          <w:sz w:val="18"/>
          <w:szCs w:val="18"/>
        </w:rPr>
        <w:t xml:space="preserve"> </w:t>
      </w:r>
      <w:r w:rsidR="00BC2080" w:rsidRPr="00BC2080">
        <w:rPr>
          <w:sz w:val="18"/>
          <w:szCs w:val="18"/>
        </w:rPr>
        <w:t xml:space="preserve">An example of such modelling is in </w:t>
      </w:r>
      <w:hyperlink r:id="rId62" w:history="1">
        <w:r w:rsidR="00BC2080" w:rsidRPr="007D38BA">
          <w:rPr>
            <w:rStyle w:val="Hyperlink"/>
            <w:sz w:val="18"/>
            <w:szCs w:val="18"/>
          </w:rPr>
          <w:t>https://nieir.com.au/wp-content/uploads/2020/07/Fast%20Train%20Project%20Macro%20Economic%20Assessment%20July%202020.pdf</w:t>
        </w:r>
      </w:hyperlink>
    </w:p>
    <w:p w14:paraId="34E2B44E" w14:textId="77777777" w:rsidR="00BC2080" w:rsidRPr="00BC2080" w:rsidRDefault="00BC2080">
      <w:pPr>
        <w:pStyle w:val="FootnoteText"/>
        <w:rPr>
          <w:sz w:val="18"/>
          <w:szCs w:val="18"/>
        </w:rPr>
      </w:pPr>
    </w:p>
  </w:footnote>
  <w:footnote w:id="54">
    <w:p w14:paraId="212D7FD1" w14:textId="75D5FF82" w:rsidR="00BC2080" w:rsidRPr="00BC2080" w:rsidRDefault="00BC2080">
      <w:pPr>
        <w:pStyle w:val="FootnoteText"/>
        <w:rPr>
          <w:sz w:val="18"/>
          <w:szCs w:val="18"/>
        </w:rPr>
      </w:pPr>
      <w:r w:rsidRPr="00BC2080">
        <w:rPr>
          <w:rStyle w:val="FootnoteReference"/>
          <w:sz w:val="18"/>
          <w:szCs w:val="18"/>
        </w:rPr>
        <w:footnoteRef/>
      </w:r>
      <w:r w:rsidRPr="00BC2080">
        <w:rPr>
          <w:sz w:val="18"/>
          <w:szCs w:val="18"/>
        </w:rPr>
        <w:t xml:space="preserve"> </w:t>
      </w:r>
      <w:hyperlink r:id="rId63" w:history="1">
        <w:r w:rsidRPr="00BC2080">
          <w:rPr>
            <w:rStyle w:val="Hyperlink"/>
            <w:sz w:val="18"/>
            <w:szCs w:val="18"/>
          </w:rPr>
          <w:t>https://www.infrastructureaustralia.gov.au/sites/default/files/2019-06/COAG_National_Ports_Strategy.pdf</w:t>
        </w:r>
      </w:hyperlink>
    </w:p>
    <w:p w14:paraId="42BFCA05" w14:textId="77777777" w:rsidR="00BC2080" w:rsidRPr="00BC2080" w:rsidRDefault="00BC2080">
      <w:pPr>
        <w:pStyle w:val="FootnoteText"/>
        <w:rPr>
          <w:sz w:val="18"/>
          <w:szCs w:val="18"/>
        </w:rPr>
      </w:pPr>
    </w:p>
  </w:footnote>
  <w:footnote w:id="55">
    <w:p w14:paraId="5EE76581" w14:textId="539F7FEF" w:rsidR="006C26E4" w:rsidRPr="002E7173" w:rsidRDefault="006C26E4">
      <w:pPr>
        <w:pStyle w:val="FootnoteText"/>
        <w:rPr>
          <w:sz w:val="18"/>
          <w:szCs w:val="18"/>
        </w:rPr>
      </w:pPr>
      <w:r w:rsidRPr="002E7173">
        <w:rPr>
          <w:rStyle w:val="FootnoteReference"/>
          <w:sz w:val="18"/>
          <w:szCs w:val="18"/>
        </w:rPr>
        <w:footnoteRef/>
      </w:r>
      <w:r w:rsidRPr="002E7173">
        <w:rPr>
          <w:sz w:val="18"/>
          <w:szCs w:val="18"/>
        </w:rPr>
        <w:t xml:space="preserve"> </w:t>
      </w:r>
      <w:hyperlink r:id="rId64" w:history="1">
        <w:r w:rsidRPr="002E7173">
          <w:rPr>
            <w:rStyle w:val="Hyperlink"/>
            <w:sz w:val="18"/>
            <w:szCs w:val="18"/>
          </w:rPr>
          <w:t>https://www.thejadebeagle.com/the-dog-that-didnt-bark.html</w:t>
        </w:r>
      </w:hyperlink>
    </w:p>
    <w:p w14:paraId="684ED50F" w14:textId="77777777" w:rsidR="006C26E4" w:rsidRDefault="006C26E4">
      <w:pPr>
        <w:pStyle w:val="FootnoteText"/>
      </w:pPr>
    </w:p>
  </w:footnote>
  <w:footnote w:id="56">
    <w:p w14:paraId="7746D29E" w14:textId="2A0A24A9" w:rsidR="00F10DDE" w:rsidRPr="00AC4548" w:rsidRDefault="00F10DDE">
      <w:pPr>
        <w:pStyle w:val="FootnoteText"/>
        <w:rPr>
          <w:sz w:val="18"/>
          <w:szCs w:val="18"/>
        </w:rPr>
      </w:pPr>
      <w:r w:rsidRPr="00AC4548">
        <w:rPr>
          <w:rStyle w:val="FootnoteReference"/>
          <w:sz w:val="18"/>
          <w:szCs w:val="18"/>
        </w:rPr>
        <w:footnoteRef/>
      </w:r>
      <w:r w:rsidRPr="00AC4548">
        <w:rPr>
          <w:sz w:val="18"/>
          <w:szCs w:val="18"/>
        </w:rPr>
        <w:t xml:space="preserve"> In a non-competitive market, a monopolist restricts </w:t>
      </w:r>
      <w:r w:rsidR="00AE5902" w:rsidRPr="00AC4548">
        <w:rPr>
          <w:sz w:val="18"/>
          <w:szCs w:val="18"/>
        </w:rPr>
        <w:t xml:space="preserve">volume or quality of </w:t>
      </w:r>
      <w:r w:rsidRPr="00AC4548">
        <w:rPr>
          <w:sz w:val="18"/>
          <w:szCs w:val="18"/>
        </w:rPr>
        <w:t xml:space="preserve">supply to increase prices and profits.  </w:t>
      </w:r>
      <w:r w:rsidR="00AE5902" w:rsidRPr="00AC4548">
        <w:rPr>
          <w:sz w:val="18"/>
          <w:szCs w:val="18"/>
        </w:rPr>
        <w:t xml:space="preserve">An implication is: were the owners of Botany artificially shielded from competition, a container terminal at Port Kembla may be delayed beyond the socially optimal time.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700E" w14:textId="77777777" w:rsidR="005D1078" w:rsidRDefault="005D1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DF04" w14:textId="77777777" w:rsidR="005D1078" w:rsidRDefault="005D1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55DB" w14:textId="77777777" w:rsidR="005D1078" w:rsidRDefault="005D1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330"/>
    <w:multiLevelType w:val="hybridMultilevel"/>
    <w:tmpl w:val="3ABCA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43832"/>
    <w:multiLevelType w:val="hybridMultilevel"/>
    <w:tmpl w:val="184471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411B8F"/>
    <w:multiLevelType w:val="hybridMultilevel"/>
    <w:tmpl w:val="F90CD68C"/>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813C54"/>
    <w:multiLevelType w:val="hybridMultilevel"/>
    <w:tmpl w:val="46D0F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84CF8"/>
    <w:multiLevelType w:val="multilevel"/>
    <w:tmpl w:val="2E8C295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AC6AB1"/>
    <w:multiLevelType w:val="hybridMultilevel"/>
    <w:tmpl w:val="A386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441404"/>
    <w:multiLevelType w:val="hybridMultilevel"/>
    <w:tmpl w:val="49024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2386E"/>
    <w:multiLevelType w:val="hybridMultilevel"/>
    <w:tmpl w:val="66F8B73A"/>
    <w:lvl w:ilvl="0" w:tplc="0C090019">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AE3DD1"/>
    <w:multiLevelType w:val="singleLevel"/>
    <w:tmpl w:val="49ACD4B2"/>
    <w:lvl w:ilvl="0">
      <w:start w:val="1"/>
      <w:numFmt w:val="decimal"/>
      <w:lvlRestart w:val="0"/>
      <w:pStyle w:val="ParaNumbering"/>
      <w:lvlText w:val="%1"/>
      <w:lvlJc w:val="left"/>
      <w:pPr>
        <w:tabs>
          <w:tab w:val="num" w:pos="1866"/>
        </w:tabs>
        <w:ind w:left="1146" w:hanging="720"/>
      </w:pPr>
      <w:rPr>
        <w:rFonts w:hint="default"/>
        <w:i w:val="0"/>
        <w:sz w:val="20"/>
      </w:rPr>
    </w:lvl>
  </w:abstractNum>
  <w:abstractNum w:abstractNumId="9" w15:restartNumberingAfterBreak="0">
    <w:nsid w:val="2F2565B0"/>
    <w:multiLevelType w:val="hybridMultilevel"/>
    <w:tmpl w:val="5282D88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856FA7"/>
    <w:multiLevelType w:val="multilevel"/>
    <w:tmpl w:val="F8DE0A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4281AC6"/>
    <w:multiLevelType w:val="hybridMultilevel"/>
    <w:tmpl w:val="85CA13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5E750F"/>
    <w:multiLevelType w:val="hybridMultilevel"/>
    <w:tmpl w:val="9F66925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8E4A06"/>
    <w:multiLevelType w:val="hybridMultilevel"/>
    <w:tmpl w:val="38BE2BD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C317AD"/>
    <w:multiLevelType w:val="hybridMultilevel"/>
    <w:tmpl w:val="1BFE67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2F4813"/>
    <w:multiLevelType w:val="multilevel"/>
    <w:tmpl w:val="877AC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521417"/>
    <w:multiLevelType w:val="hybridMultilevel"/>
    <w:tmpl w:val="C71C3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A45CAF"/>
    <w:multiLevelType w:val="multilevel"/>
    <w:tmpl w:val="C4A20CC4"/>
    <w:lvl w:ilvl="0">
      <w:start w:val="3"/>
      <w:numFmt w:val="decimal"/>
      <w:lvlText w:val="%1"/>
      <w:lvlJc w:val="left"/>
      <w:pPr>
        <w:ind w:left="360" w:hanging="360"/>
      </w:pPr>
      <w:rPr>
        <w:rFonts w:cstheme="minorBidi" w:hint="default"/>
      </w:rPr>
    </w:lvl>
    <w:lvl w:ilvl="1">
      <w:start w:val="2"/>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9" w15:restartNumberingAfterBreak="0">
    <w:nsid w:val="716915F9"/>
    <w:multiLevelType w:val="hybridMultilevel"/>
    <w:tmpl w:val="879014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1D6A4C"/>
    <w:multiLevelType w:val="hybridMultilevel"/>
    <w:tmpl w:val="49BAD71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1" w15:restartNumberingAfterBreak="0">
    <w:nsid w:val="7C936263"/>
    <w:multiLevelType w:val="hybridMultilevel"/>
    <w:tmpl w:val="737E1A8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370B20"/>
    <w:multiLevelType w:val="hybridMultilevel"/>
    <w:tmpl w:val="16AAF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0"/>
  </w:num>
  <w:num w:numId="5">
    <w:abstractNumId w:val="22"/>
  </w:num>
  <w:num w:numId="6">
    <w:abstractNumId w:val="7"/>
  </w:num>
  <w:num w:numId="7">
    <w:abstractNumId w:val="3"/>
  </w:num>
  <w:num w:numId="8">
    <w:abstractNumId w:val="1"/>
  </w:num>
  <w:num w:numId="9">
    <w:abstractNumId w:val="20"/>
  </w:num>
  <w:num w:numId="10">
    <w:abstractNumId w:val="6"/>
  </w:num>
  <w:num w:numId="11">
    <w:abstractNumId w:val="14"/>
  </w:num>
  <w:num w:numId="12">
    <w:abstractNumId w:val="21"/>
  </w:num>
  <w:num w:numId="13">
    <w:abstractNumId w:val="5"/>
  </w:num>
  <w:num w:numId="14">
    <w:abstractNumId w:val="11"/>
  </w:num>
  <w:num w:numId="15">
    <w:abstractNumId w:val="19"/>
  </w:num>
  <w:num w:numId="16">
    <w:abstractNumId w:val="10"/>
  </w:num>
  <w:num w:numId="17">
    <w:abstractNumId w:val="4"/>
  </w:num>
  <w:num w:numId="18">
    <w:abstractNumId w:val="17"/>
  </w:num>
  <w:num w:numId="19">
    <w:abstractNumId w:val="15"/>
  </w:num>
  <w:num w:numId="20">
    <w:abstractNumId w:val="2"/>
  </w:num>
  <w:num w:numId="21">
    <w:abstractNumId w:val="13"/>
  </w:num>
  <w:num w:numId="22">
    <w:abstractNumId w:val="8"/>
  </w:num>
  <w:num w:numId="23">
    <w:abstractNumId w:val="18"/>
  </w:num>
  <w:num w:numId="24">
    <w:abstractNumId w:val="8"/>
    <w:lvlOverride w:ilvl="0">
      <w:startOverride w:val="1161"/>
    </w:lvlOverride>
  </w:num>
  <w:num w:numId="2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68"/>
    <w:rsid w:val="0000454C"/>
    <w:rsid w:val="00006504"/>
    <w:rsid w:val="000129A3"/>
    <w:rsid w:val="00015EC9"/>
    <w:rsid w:val="00016B34"/>
    <w:rsid w:val="00016F17"/>
    <w:rsid w:val="00017F3C"/>
    <w:rsid w:val="00020350"/>
    <w:rsid w:val="00034E4F"/>
    <w:rsid w:val="00036A77"/>
    <w:rsid w:val="00044E2C"/>
    <w:rsid w:val="000506B2"/>
    <w:rsid w:val="00051BC4"/>
    <w:rsid w:val="00052690"/>
    <w:rsid w:val="00053776"/>
    <w:rsid w:val="0005668C"/>
    <w:rsid w:val="000771CB"/>
    <w:rsid w:val="000808AC"/>
    <w:rsid w:val="00080B77"/>
    <w:rsid w:val="00082B1D"/>
    <w:rsid w:val="00084D72"/>
    <w:rsid w:val="00085150"/>
    <w:rsid w:val="00085F9F"/>
    <w:rsid w:val="00091165"/>
    <w:rsid w:val="00093321"/>
    <w:rsid w:val="00096219"/>
    <w:rsid w:val="00096A6C"/>
    <w:rsid w:val="000976F5"/>
    <w:rsid w:val="000A4296"/>
    <w:rsid w:val="000A6DA8"/>
    <w:rsid w:val="000B0ADD"/>
    <w:rsid w:val="000B4882"/>
    <w:rsid w:val="000B4B25"/>
    <w:rsid w:val="000B626C"/>
    <w:rsid w:val="000C1B91"/>
    <w:rsid w:val="000E3D9A"/>
    <w:rsid w:val="000E7140"/>
    <w:rsid w:val="000E7A80"/>
    <w:rsid w:val="000F2852"/>
    <w:rsid w:val="000F45A0"/>
    <w:rsid w:val="000F4974"/>
    <w:rsid w:val="001052FB"/>
    <w:rsid w:val="00106C53"/>
    <w:rsid w:val="001106E9"/>
    <w:rsid w:val="0011494E"/>
    <w:rsid w:val="00116849"/>
    <w:rsid w:val="0012021E"/>
    <w:rsid w:val="00126C65"/>
    <w:rsid w:val="00131BEE"/>
    <w:rsid w:val="00135EA0"/>
    <w:rsid w:val="00140F87"/>
    <w:rsid w:val="00141735"/>
    <w:rsid w:val="001475F9"/>
    <w:rsid w:val="00147B41"/>
    <w:rsid w:val="001517B4"/>
    <w:rsid w:val="00152594"/>
    <w:rsid w:val="00153605"/>
    <w:rsid w:val="00154FD9"/>
    <w:rsid w:val="00160D76"/>
    <w:rsid w:val="0016595D"/>
    <w:rsid w:val="00165A82"/>
    <w:rsid w:val="001767B2"/>
    <w:rsid w:val="00180790"/>
    <w:rsid w:val="001859EB"/>
    <w:rsid w:val="0018656C"/>
    <w:rsid w:val="00186E78"/>
    <w:rsid w:val="00191457"/>
    <w:rsid w:val="00197F60"/>
    <w:rsid w:val="001A112D"/>
    <w:rsid w:val="001A218B"/>
    <w:rsid w:val="001A3174"/>
    <w:rsid w:val="001B1809"/>
    <w:rsid w:val="001B641E"/>
    <w:rsid w:val="001C7A12"/>
    <w:rsid w:val="001D25EF"/>
    <w:rsid w:val="001E2019"/>
    <w:rsid w:val="001E439A"/>
    <w:rsid w:val="001E5789"/>
    <w:rsid w:val="001E5F20"/>
    <w:rsid w:val="001F28C9"/>
    <w:rsid w:val="001F2FD5"/>
    <w:rsid w:val="001F638B"/>
    <w:rsid w:val="001F67CB"/>
    <w:rsid w:val="001F7B44"/>
    <w:rsid w:val="00202D9F"/>
    <w:rsid w:val="00204366"/>
    <w:rsid w:val="00205FA8"/>
    <w:rsid w:val="00207A3D"/>
    <w:rsid w:val="002126F1"/>
    <w:rsid w:val="00213B77"/>
    <w:rsid w:val="00220235"/>
    <w:rsid w:val="00227C79"/>
    <w:rsid w:val="002379AA"/>
    <w:rsid w:val="00237E9B"/>
    <w:rsid w:val="0024010A"/>
    <w:rsid w:val="00246F98"/>
    <w:rsid w:val="0025664C"/>
    <w:rsid w:val="002577F9"/>
    <w:rsid w:val="00262E50"/>
    <w:rsid w:val="00266E4E"/>
    <w:rsid w:val="00267D10"/>
    <w:rsid w:val="00270CA1"/>
    <w:rsid w:val="0027586E"/>
    <w:rsid w:val="002826BC"/>
    <w:rsid w:val="00282D1C"/>
    <w:rsid w:val="0028674E"/>
    <w:rsid w:val="002875A6"/>
    <w:rsid w:val="0029225A"/>
    <w:rsid w:val="0029242C"/>
    <w:rsid w:val="00292CEB"/>
    <w:rsid w:val="00293E3E"/>
    <w:rsid w:val="002A1B9C"/>
    <w:rsid w:val="002A37EC"/>
    <w:rsid w:val="002A40CA"/>
    <w:rsid w:val="002A7759"/>
    <w:rsid w:val="002B1D51"/>
    <w:rsid w:val="002B21E7"/>
    <w:rsid w:val="002B2E51"/>
    <w:rsid w:val="002B7397"/>
    <w:rsid w:val="002B7BFB"/>
    <w:rsid w:val="002C049B"/>
    <w:rsid w:val="002C071F"/>
    <w:rsid w:val="002C3E25"/>
    <w:rsid w:val="002C476A"/>
    <w:rsid w:val="002C734F"/>
    <w:rsid w:val="002C7856"/>
    <w:rsid w:val="002E24F5"/>
    <w:rsid w:val="002E4E14"/>
    <w:rsid w:val="002E64E0"/>
    <w:rsid w:val="002E7173"/>
    <w:rsid w:val="002F053F"/>
    <w:rsid w:val="002F5EC2"/>
    <w:rsid w:val="003022D3"/>
    <w:rsid w:val="003025AA"/>
    <w:rsid w:val="00302E5E"/>
    <w:rsid w:val="00305B25"/>
    <w:rsid w:val="00307A44"/>
    <w:rsid w:val="00310A68"/>
    <w:rsid w:val="00310DEE"/>
    <w:rsid w:val="003113A8"/>
    <w:rsid w:val="00323D3D"/>
    <w:rsid w:val="00353E1B"/>
    <w:rsid w:val="00354E1F"/>
    <w:rsid w:val="00355F30"/>
    <w:rsid w:val="003570F4"/>
    <w:rsid w:val="00357203"/>
    <w:rsid w:val="003579B1"/>
    <w:rsid w:val="00362798"/>
    <w:rsid w:val="003631CB"/>
    <w:rsid w:val="003709F0"/>
    <w:rsid w:val="00374321"/>
    <w:rsid w:val="003766DE"/>
    <w:rsid w:val="00380448"/>
    <w:rsid w:val="00383971"/>
    <w:rsid w:val="003912CA"/>
    <w:rsid w:val="003916E0"/>
    <w:rsid w:val="00393886"/>
    <w:rsid w:val="00393C96"/>
    <w:rsid w:val="00394F96"/>
    <w:rsid w:val="0039655C"/>
    <w:rsid w:val="003A4E32"/>
    <w:rsid w:val="003A6A36"/>
    <w:rsid w:val="003A6C87"/>
    <w:rsid w:val="003B012C"/>
    <w:rsid w:val="003B3965"/>
    <w:rsid w:val="003B3D43"/>
    <w:rsid w:val="003B439F"/>
    <w:rsid w:val="003B45D3"/>
    <w:rsid w:val="003D0BAA"/>
    <w:rsid w:val="003D2422"/>
    <w:rsid w:val="003D4E0C"/>
    <w:rsid w:val="003D6354"/>
    <w:rsid w:val="003D79AC"/>
    <w:rsid w:val="003E137B"/>
    <w:rsid w:val="003E3603"/>
    <w:rsid w:val="003F50EF"/>
    <w:rsid w:val="003F6B34"/>
    <w:rsid w:val="003F7BAA"/>
    <w:rsid w:val="004077C1"/>
    <w:rsid w:val="00411281"/>
    <w:rsid w:val="004113D3"/>
    <w:rsid w:val="0042138C"/>
    <w:rsid w:val="00433B38"/>
    <w:rsid w:val="00437A6B"/>
    <w:rsid w:val="004451D6"/>
    <w:rsid w:val="00446A9F"/>
    <w:rsid w:val="0045133D"/>
    <w:rsid w:val="00452B2B"/>
    <w:rsid w:val="004534EC"/>
    <w:rsid w:val="00454103"/>
    <w:rsid w:val="00461778"/>
    <w:rsid w:val="004633AF"/>
    <w:rsid w:val="004634B3"/>
    <w:rsid w:val="00483665"/>
    <w:rsid w:val="00484AA8"/>
    <w:rsid w:val="00485C76"/>
    <w:rsid w:val="00491A37"/>
    <w:rsid w:val="00494963"/>
    <w:rsid w:val="004A0BBB"/>
    <w:rsid w:val="004A0DF2"/>
    <w:rsid w:val="004A2466"/>
    <w:rsid w:val="004A2B65"/>
    <w:rsid w:val="004A3849"/>
    <w:rsid w:val="004A6F3D"/>
    <w:rsid w:val="004A73B7"/>
    <w:rsid w:val="004A798B"/>
    <w:rsid w:val="004A7B93"/>
    <w:rsid w:val="004B59EC"/>
    <w:rsid w:val="004C5B99"/>
    <w:rsid w:val="004D1E1A"/>
    <w:rsid w:val="004D63E0"/>
    <w:rsid w:val="004D7860"/>
    <w:rsid w:val="004E065B"/>
    <w:rsid w:val="004E1406"/>
    <w:rsid w:val="004E32B3"/>
    <w:rsid w:val="004E6AD2"/>
    <w:rsid w:val="004E7224"/>
    <w:rsid w:val="004F18E1"/>
    <w:rsid w:val="004F636E"/>
    <w:rsid w:val="004F6FA9"/>
    <w:rsid w:val="0050436F"/>
    <w:rsid w:val="00505061"/>
    <w:rsid w:val="005064DC"/>
    <w:rsid w:val="00510756"/>
    <w:rsid w:val="00510B6D"/>
    <w:rsid w:val="00512F5D"/>
    <w:rsid w:val="00516D44"/>
    <w:rsid w:val="005230C8"/>
    <w:rsid w:val="005355AC"/>
    <w:rsid w:val="00535B96"/>
    <w:rsid w:val="00537422"/>
    <w:rsid w:val="00543F61"/>
    <w:rsid w:val="00546E26"/>
    <w:rsid w:val="00547B0E"/>
    <w:rsid w:val="00547E90"/>
    <w:rsid w:val="00553044"/>
    <w:rsid w:val="00555E16"/>
    <w:rsid w:val="00555FDE"/>
    <w:rsid w:val="0056015C"/>
    <w:rsid w:val="00565E8A"/>
    <w:rsid w:val="00566381"/>
    <w:rsid w:val="005668E5"/>
    <w:rsid w:val="005676E2"/>
    <w:rsid w:val="00571F41"/>
    <w:rsid w:val="005729B7"/>
    <w:rsid w:val="00573FB2"/>
    <w:rsid w:val="0057406A"/>
    <w:rsid w:val="00575C3D"/>
    <w:rsid w:val="00581303"/>
    <w:rsid w:val="00582F8D"/>
    <w:rsid w:val="0058535F"/>
    <w:rsid w:val="00591A90"/>
    <w:rsid w:val="00593D35"/>
    <w:rsid w:val="00593E88"/>
    <w:rsid w:val="00597F5B"/>
    <w:rsid w:val="005A4170"/>
    <w:rsid w:val="005A45E9"/>
    <w:rsid w:val="005A539F"/>
    <w:rsid w:val="005A7E9A"/>
    <w:rsid w:val="005B187B"/>
    <w:rsid w:val="005C29F3"/>
    <w:rsid w:val="005C3B53"/>
    <w:rsid w:val="005C5B89"/>
    <w:rsid w:val="005C64EC"/>
    <w:rsid w:val="005D041E"/>
    <w:rsid w:val="005D1078"/>
    <w:rsid w:val="005D627D"/>
    <w:rsid w:val="005E00C4"/>
    <w:rsid w:val="005E417A"/>
    <w:rsid w:val="005E49E1"/>
    <w:rsid w:val="005F1388"/>
    <w:rsid w:val="005F2B4E"/>
    <w:rsid w:val="005F6B60"/>
    <w:rsid w:val="005F73D5"/>
    <w:rsid w:val="005F7A64"/>
    <w:rsid w:val="00602EC0"/>
    <w:rsid w:val="00605A15"/>
    <w:rsid w:val="006072C6"/>
    <w:rsid w:val="00607F13"/>
    <w:rsid w:val="00612D9D"/>
    <w:rsid w:val="00613F48"/>
    <w:rsid w:val="00615CF2"/>
    <w:rsid w:val="006175E0"/>
    <w:rsid w:val="006226FF"/>
    <w:rsid w:val="006258FD"/>
    <w:rsid w:val="00626631"/>
    <w:rsid w:val="00627FEE"/>
    <w:rsid w:val="00641572"/>
    <w:rsid w:val="006449D5"/>
    <w:rsid w:val="00645A15"/>
    <w:rsid w:val="006469DC"/>
    <w:rsid w:val="00657DC0"/>
    <w:rsid w:val="00663AFE"/>
    <w:rsid w:val="00666D1D"/>
    <w:rsid w:val="006738C6"/>
    <w:rsid w:val="00675DBA"/>
    <w:rsid w:val="00691EEB"/>
    <w:rsid w:val="00692D32"/>
    <w:rsid w:val="0069315E"/>
    <w:rsid w:val="00693329"/>
    <w:rsid w:val="006A3308"/>
    <w:rsid w:val="006A3E98"/>
    <w:rsid w:val="006A7254"/>
    <w:rsid w:val="006A73FB"/>
    <w:rsid w:val="006B18B7"/>
    <w:rsid w:val="006B31A2"/>
    <w:rsid w:val="006B3799"/>
    <w:rsid w:val="006B3E79"/>
    <w:rsid w:val="006B4DDF"/>
    <w:rsid w:val="006B5375"/>
    <w:rsid w:val="006B74AD"/>
    <w:rsid w:val="006C26E4"/>
    <w:rsid w:val="006C365D"/>
    <w:rsid w:val="006C3997"/>
    <w:rsid w:val="006D17D8"/>
    <w:rsid w:val="006D6D42"/>
    <w:rsid w:val="006E3126"/>
    <w:rsid w:val="006E32F9"/>
    <w:rsid w:val="006E380A"/>
    <w:rsid w:val="006F2455"/>
    <w:rsid w:val="006F5082"/>
    <w:rsid w:val="006F50D4"/>
    <w:rsid w:val="006F5F28"/>
    <w:rsid w:val="007131B8"/>
    <w:rsid w:val="007136E4"/>
    <w:rsid w:val="00714D2F"/>
    <w:rsid w:val="007213CA"/>
    <w:rsid w:val="0072555F"/>
    <w:rsid w:val="00726022"/>
    <w:rsid w:val="00737494"/>
    <w:rsid w:val="00740AB1"/>
    <w:rsid w:val="00740C3F"/>
    <w:rsid w:val="0074176E"/>
    <w:rsid w:val="00741D51"/>
    <w:rsid w:val="007441A3"/>
    <w:rsid w:val="007516D1"/>
    <w:rsid w:val="0075350F"/>
    <w:rsid w:val="00765F2C"/>
    <w:rsid w:val="00774277"/>
    <w:rsid w:val="0077663A"/>
    <w:rsid w:val="0077756C"/>
    <w:rsid w:val="00777C25"/>
    <w:rsid w:val="00780CB1"/>
    <w:rsid w:val="007846C8"/>
    <w:rsid w:val="0079713B"/>
    <w:rsid w:val="007A0326"/>
    <w:rsid w:val="007A161D"/>
    <w:rsid w:val="007A230E"/>
    <w:rsid w:val="007A6297"/>
    <w:rsid w:val="007A6765"/>
    <w:rsid w:val="007A7DDF"/>
    <w:rsid w:val="007B1E85"/>
    <w:rsid w:val="007B2226"/>
    <w:rsid w:val="007C2076"/>
    <w:rsid w:val="007C6AEA"/>
    <w:rsid w:val="007D6483"/>
    <w:rsid w:val="007D6D13"/>
    <w:rsid w:val="007E0817"/>
    <w:rsid w:val="007E11BC"/>
    <w:rsid w:val="007E197C"/>
    <w:rsid w:val="007E7EF2"/>
    <w:rsid w:val="007F2554"/>
    <w:rsid w:val="007F7AEC"/>
    <w:rsid w:val="007F7AF4"/>
    <w:rsid w:val="00806899"/>
    <w:rsid w:val="00806FF8"/>
    <w:rsid w:val="00815D0A"/>
    <w:rsid w:val="00823947"/>
    <w:rsid w:val="008255A6"/>
    <w:rsid w:val="00825938"/>
    <w:rsid w:val="008268AE"/>
    <w:rsid w:val="0083189B"/>
    <w:rsid w:val="0083417C"/>
    <w:rsid w:val="00834D4D"/>
    <w:rsid w:val="0083763F"/>
    <w:rsid w:val="008400A1"/>
    <w:rsid w:val="0084720D"/>
    <w:rsid w:val="0084791A"/>
    <w:rsid w:val="00851FCC"/>
    <w:rsid w:val="00855732"/>
    <w:rsid w:val="00856011"/>
    <w:rsid w:val="00857AE2"/>
    <w:rsid w:val="0086344F"/>
    <w:rsid w:val="00866887"/>
    <w:rsid w:val="00867670"/>
    <w:rsid w:val="008679FA"/>
    <w:rsid w:val="00871635"/>
    <w:rsid w:val="00872D07"/>
    <w:rsid w:val="00874C5C"/>
    <w:rsid w:val="00874D18"/>
    <w:rsid w:val="00875082"/>
    <w:rsid w:val="008755DC"/>
    <w:rsid w:val="008759E0"/>
    <w:rsid w:val="00883914"/>
    <w:rsid w:val="00885F5D"/>
    <w:rsid w:val="00890466"/>
    <w:rsid w:val="00892C1D"/>
    <w:rsid w:val="00894E5C"/>
    <w:rsid w:val="00894F04"/>
    <w:rsid w:val="008A0E2D"/>
    <w:rsid w:val="008A5AE0"/>
    <w:rsid w:val="008B198C"/>
    <w:rsid w:val="008B1B40"/>
    <w:rsid w:val="008B3E2A"/>
    <w:rsid w:val="008B421D"/>
    <w:rsid w:val="008B45C1"/>
    <w:rsid w:val="008B6E33"/>
    <w:rsid w:val="008B7B07"/>
    <w:rsid w:val="008C22AD"/>
    <w:rsid w:val="008C2BBE"/>
    <w:rsid w:val="008C2DD6"/>
    <w:rsid w:val="008C7FDA"/>
    <w:rsid w:val="008D1D20"/>
    <w:rsid w:val="008D5D3A"/>
    <w:rsid w:val="008D72FF"/>
    <w:rsid w:val="008E09AB"/>
    <w:rsid w:val="008E10E6"/>
    <w:rsid w:val="008F10B9"/>
    <w:rsid w:val="008F1681"/>
    <w:rsid w:val="008F18ED"/>
    <w:rsid w:val="008F38E8"/>
    <w:rsid w:val="008F3D44"/>
    <w:rsid w:val="008F439B"/>
    <w:rsid w:val="008F5AEE"/>
    <w:rsid w:val="00905120"/>
    <w:rsid w:val="00906DB6"/>
    <w:rsid w:val="00907DCF"/>
    <w:rsid w:val="00925433"/>
    <w:rsid w:val="00925457"/>
    <w:rsid w:val="00925F04"/>
    <w:rsid w:val="00925F6C"/>
    <w:rsid w:val="00926054"/>
    <w:rsid w:val="00930B25"/>
    <w:rsid w:val="009361D3"/>
    <w:rsid w:val="009426C2"/>
    <w:rsid w:val="00943C8D"/>
    <w:rsid w:val="0094428C"/>
    <w:rsid w:val="00944656"/>
    <w:rsid w:val="00952C52"/>
    <w:rsid w:val="0096222E"/>
    <w:rsid w:val="00965583"/>
    <w:rsid w:val="00966019"/>
    <w:rsid w:val="009666BD"/>
    <w:rsid w:val="00966BCE"/>
    <w:rsid w:val="00967C27"/>
    <w:rsid w:val="00970B54"/>
    <w:rsid w:val="00972303"/>
    <w:rsid w:val="00975DFE"/>
    <w:rsid w:val="00982A08"/>
    <w:rsid w:val="009834E1"/>
    <w:rsid w:val="00986AED"/>
    <w:rsid w:val="00990097"/>
    <w:rsid w:val="009903FC"/>
    <w:rsid w:val="0099289A"/>
    <w:rsid w:val="0099447E"/>
    <w:rsid w:val="0099771C"/>
    <w:rsid w:val="009A0910"/>
    <w:rsid w:val="009A5BE0"/>
    <w:rsid w:val="009A6956"/>
    <w:rsid w:val="009B1ACB"/>
    <w:rsid w:val="009B340A"/>
    <w:rsid w:val="009B707F"/>
    <w:rsid w:val="009C0978"/>
    <w:rsid w:val="009C3876"/>
    <w:rsid w:val="009C4CAD"/>
    <w:rsid w:val="009D0197"/>
    <w:rsid w:val="009D68A5"/>
    <w:rsid w:val="009E04E6"/>
    <w:rsid w:val="009E1C7C"/>
    <w:rsid w:val="009E4320"/>
    <w:rsid w:val="009E7434"/>
    <w:rsid w:val="009F11FB"/>
    <w:rsid w:val="009F3F91"/>
    <w:rsid w:val="009F4297"/>
    <w:rsid w:val="009F73F5"/>
    <w:rsid w:val="00A03A47"/>
    <w:rsid w:val="00A10ABC"/>
    <w:rsid w:val="00A12574"/>
    <w:rsid w:val="00A225C0"/>
    <w:rsid w:val="00A26E0B"/>
    <w:rsid w:val="00A30F7C"/>
    <w:rsid w:val="00A36424"/>
    <w:rsid w:val="00A37A01"/>
    <w:rsid w:val="00A4562A"/>
    <w:rsid w:val="00A51F1D"/>
    <w:rsid w:val="00A56782"/>
    <w:rsid w:val="00A5765F"/>
    <w:rsid w:val="00A57958"/>
    <w:rsid w:val="00A60CCB"/>
    <w:rsid w:val="00A64B80"/>
    <w:rsid w:val="00A66F95"/>
    <w:rsid w:val="00A67767"/>
    <w:rsid w:val="00A70A4C"/>
    <w:rsid w:val="00A723EE"/>
    <w:rsid w:val="00A72C0B"/>
    <w:rsid w:val="00A73541"/>
    <w:rsid w:val="00A73996"/>
    <w:rsid w:val="00A774C6"/>
    <w:rsid w:val="00A8149C"/>
    <w:rsid w:val="00A854E3"/>
    <w:rsid w:val="00A877A1"/>
    <w:rsid w:val="00A93484"/>
    <w:rsid w:val="00A95674"/>
    <w:rsid w:val="00A97FBC"/>
    <w:rsid w:val="00AA00B0"/>
    <w:rsid w:val="00AA144E"/>
    <w:rsid w:val="00AA6624"/>
    <w:rsid w:val="00AB58E1"/>
    <w:rsid w:val="00AB5EC8"/>
    <w:rsid w:val="00AC4548"/>
    <w:rsid w:val="00AC5B39"/>
    <w:rsid w:val="00AC67EB"/>
    <w:rsid w:val="00AD0730"/>
    <w:rsid w:val="00AD20CB"/>
    <w:rsid w:val="00AD4E81"/>
    <w:rsid w:val="00AD7C20"/>
    <w:rsid w:val="00AE19A8"/>
    <w:rsid w:val="00AE3306"/>
    <w:rsid w:val="00AE5902"/>
    <w:rsid w:val="00AE6703"/>
    <w:rsid w:val="00AE7FBE"/>
    <w:rsid w:val="00AF0228"/>
    <w:rsid w:val="00AF27A2"/>
    <w:rsid w:val="00AF42DD"/>
    <w:rsid w:val="00AF7CDD"/>
    <w:rsid w:val="00B13A20"/>
    <w:rsid w:val="00B1556F"/>
    <w:rsid w:val="00B224C9"/>
    <w:rsid w:val="00B268B7"/>
    <w:rsid w:val="00B36115"/>
    <w:rsid w:val="00B52C84"/>
    <w:rsid w:val="00B52FB8"/>
    <w:rsid w:val="00B540D1"/>
    <w:rsid w:val="00B54D3A"/>
    <w:rsid w:val="00B57A5B"/>
    <w:rsid w:val="00B65D7F"/>
    <w:rsid w:val="00B7003C"/>
    <w:rsid w:val="00B91828"/>
    <w:rsid w:val="00B942A7"/>
    <w:rsid w:val="00B94FDF"/>
    <w:rsid w:val="00BA43D7"/>
    <w:rsid w:val="00BA488A"/>
    <w:rsid w:val="00BA504F"/>
    <w:rsid w:val="00BA54AA"/>
    <w:rsid w:val="00BB115A"/>
    <w:rsid w:val="00BB732D"/>
    <w:rsid w:val="00BC2080"/>
    <w:rsid w:val="00BC2A3F"/>
    <w:rsid w:val="00BC523C"/>
    <w:rsid w:val="00BC6ABE"/>
    <w:rsid w:val="00BC7F3D"/>
    <w:rsid w:val="00BE1FF7"/>
    <w:rsid w:val="00BE3121"/>
    <w:rsid w:val="00BF2C52"/>
    <w:rsid w:val="00BF3B14"/>
    <w:rsid w:val="00BF4CAC"/>
    <w:rsid w:val="00BF5BE0"/>
    <w:rsid w:val="00C00D4F"/>
    <w:rsid w:val="00C00F43"/>
    <w:rsid w:val="00C0165A"/>
    <w:rsid w:val="00C02519"/>
    <w:rsid w:val="00C05E06"/>
    <w:rsid w:val="00C1063D"/>
    <w:rsid w:val="00C11760"/>
    <w:rsid w:val="00C13373"/>
    <w:rsid w:val="00C139CB"/>
    <w:rsid w:val="00C20EC7"/>
    <w:rsid w:val="00C2232D"/>
    <w:rsid w:val="00C2406D"/>
    <w:rsid w:val="00C250BF"/>
    <w:rsid w:val="00C32DF1"/>
    <w:rsid w:val="00C34441"/>
    <w:rsid w:val="00C4362B"/>
    <w:rsid w:val="00C452D2"/>
    <w:rsid w:val="00C4632B"/>
    <w:rsid w:val="00C53195"/>
    <w:rsid w:val="00C6104D"/>
    <w:rsid w:val="00C64823"/>
    <w:rsid w:val="00C67B7E"/>
    <w:rsid w:val="00C71899"/>
    <w:rsid w:val="00C73CED"/>
    <w:rsid w:val="00C767EE"/>
    <w:rsid w:val="00C845B2"/>
    <w:rsid w:val="00C8536C"/>
    <w:rsid w:val="00C87078"/>
    <w:rsid w:val="00C8751F"/>
    <w:rsid w:val="00C90320"/>
    <w:rsid w:val="00C90F22"/>
    <w:rsid w:val="00C92878"/>
    <w:rsid w:val="00C963BA"/>
    <w:rsid w:val="00CA0EC8"/>
    <w:rsid w:val="00CA2F2F"/>
    <w:rsid w:val="00CA3F10"/>
    <w:rsid w:val="00CB2E0A"/>
    <w:rsid w:val="00CB3642"/>
    <w:rsid w:val="00CB6A28"/>
    <w:rsid w:val="00CC6E43"/>
    <w:rsid w:val="00CD70DB"/>
    <w:rsid w:val="00CF1DB3"/>
    <w:rsid w:val="00D027F0"/>
    <w:rsid w:val="00D02C80"/>
    <w:rsid w:val="00D0693D"/>
    <w:rsid w:val="00D24D87"/>
    <w:rsid w:val="00D27A1A"/>
    <w:rsid w:val="00D305F3"/>
    <w:rsid w:val="00D30BC5"/>
    <w:rsid w:val="00D3334A"/>
    <w:rsid w:val="00D3753B"/>
    <w:rsid w:val="00D3798C"/>
    <w:rsid w:val="00D52C16"/>
    <w:rsid w:val="00D61AC8"/>
    <w:rsid w:val="00D61D9B"/>
    <w:rsid w:val="00D6288E"/>
    <w:rsid w:val="00D8196E"/>
    <w:rsid w:val="00D81F3A"/>
    <w:rsid w:val="00D856B3"/>
    <w:rsid w:val="00D86C60"/>
    <w:rsid w:val="00D86CC0"/>
    <w:rsid w:val="00D9122A"/>
    <w:rsid w:val="00D9667B"/>
    <w:rsid w:val="00DA3DB4"/>
    <w:rsid w:val="00DA4D69"/>
    <w:rsid w:val="00DB0CEE"/>
    <w:rsid w:val="00DB7819"/>
    <w:rsid w:val="00DC1F68"/>
    <w:rsid w:val="00DC2153"/>
    <w:rsid w:val="00DC38CB"/>
    <w:rsid w:val="00DD2A62"/>
    <w:rsid w:val="00DD3D8B"/>
    <w:rsid w:val="00DD54A1"/>
    <w:rsid w:val="00DD5B4A"/>
    <w:rsid w:val="00DD78D8"/>
    <w:rsid w:val="00DE31BD"/>
    <w:rsid w:val="00DE5B9B"/>
    <w:rsid w:val="00DF4483"/>
    <w:rsid w:val="00E006C0"/>
    <w:rsid w:val="00E01DDF"/>
    <w:rsid w:val="00E04277"/>
    <w:rsid w:val="00E045A9"/>
    <w:rsid w:val="00E05D71"/>
    <w:rsid w:val="00E07EBE"/>
    <w:rsid w:val="00E12982"/>
    <w:rsid w:val="00E13C7D"/>
    <w:rsid w:val="00E14689"/>
    <w:rsid w:val="00E15A65"/>
    <w:rsid w:val="00E17EB9"/>
    <w:rsid w:val="00E2163A"/>
    <w:rsid w:val="00E25E01"/>
    <w:rsid w:val="00E26EC1"/>
    <w:rsid w:val="00E301F9"/>
    <w:rsid w:val="00E347B6"/>
    <w:rsid w:val="00E35090"/>
    <w:rsid w:val="00E45E3B"/>
    <w:rsid w:val="00E461B3"/>
    <w:rsid w:val="00E47B94"/>
    <w:rsid w:val="00E61D33"/>
    <w:rsid w:val="00E6516D"/>
    <w:rsid w:val="00E7013B"/>
    <w:rsid w:val="00E71204"/>
    <w:rsid w:val="00E72B8C"/>
    <w:rsid w:val="00E73096"/>
    <w:rsid w:val="00E90435"/>
    <w:rsid w:val="00E91039"/>
    <w:rsid w:val="00E91102"/>
    <w:rsid w:val="00E962F1"/>
    <w:rsid w:val="00EA0D17"/>
    <w:rsid w:val="00EA37E1"/>
    <w:rsid w:val="00EB225F"/>
    <w:rsid w:val="00EB733B"/>
    <w:rsid w:val="00ED027C"/>
    <w:rsid w:val="00ED13AD"/>
    <w:rsid w:val="00ED1774"/>
    <w:rsid w:val="00EE1049"/>
    <w:rsid w:val="00EE18C4"/>
    <w:rsid w:val="00EE2CA2"/>
    <w:rsid w:val="00EE5361"/>
    <w:rsid w:val="00EE56E6"/>
    <w:rsid w:val="00F01CAF"/>
    <w:rsid w:val="00F032AC"/>
    <w:rsid w:val="00F0510A"/>
    <w:rsid w:val="00F06C53"/>
    <w:rsid w:val="00F07832"/>
    <w:rsid w:val="00F07AC1"/>
    <w:rsid w:val="00F10126"/>
    <w:rsid w:val="00F10CE3"/>
    <w:rsid w:val="00F10DDE"/>
    <w:rsid w:val="00F13900"/>
    <w:rsid w:val="00F160F9"/>
    <w:rsid w:val="00F163E8"/>
    <w:rsid w:val="00F17EB3"/>
    <w:rsid w:val="00F23ECD"/>
    <w:rsid w:val="00F24D60"/>
    <w:rsid w:val="00F2502D"/>
    <w:rsid w:val="00F27C4E"/>
    <w:rsid w:val="00F34483"/>
    <w:rsid w:val="00F41A30"/>
    <w:rsid w:val="00F47606"/>
    <w:rsid w:val="00F53F8B"/>
    <w:rsid w:val="00F54BF5"/>
    <w:rsid w:val="00F574A1"/>
    <w:rsid w:val="00F75812"/>
    <w:rsid w:val="00F84D1C"/>
    <w:rsid w:val="00F866E8"/>
    <w:rsid w:val="00F87ABE"/>
    <w:rsid w:val="00F90448"/>
    <w:rsid w:val="00F94EB1"/>
    <w:rsid w:val="00F95D3F"/>
    <w:rsid w:val="00FA20E9"/>
    <w:rsid w:val="00FA26D6"/>
    <w:rsid w:val="00FA4C3C"/>
    <w:rsid w:val="00FA5608"/>
    <w:rsid w:val="00FB01C0"/>
    <w:rsid w:val="00FB2EC3"/>
    <w:rsid w:val="00FB39DF"/>
    <w:rsid w:val="00FB4129"/>
    <w:rsid w:val="00FB68BA"/>
    <w:rsid w:val="00FC47F0"/>
    <w:rsid w:val="00FC5919"/>
    <w:rsid w:val="00FD09BF"/>
    <w:rsid w:val="00FD5611"/>
    <w:rsid w:val="00FD64C8"/>
    <w:rsid w:val="00FE009E"/>
    <w:rsid w:val="00FE3E2B"/>
    <w:rsid w:val="00FE449A"/>
    <w:rsid w:val="00FF16AD"/>
    <w:rsid w:val="00FF1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98EA"/>
  <w15:chartTrackingRefBased/>
  <w15:docId w15:val="{D589A213-8FB5-4DC4-B002-075C5DB7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6B34"/>
    <w:pPr>
      <w:spacing w:before="100" w:beforeAutospacing="1" w:after="100" w:afterAutospacing="1" w:line="240" w:lineRule="auto"/>
      <w:outlineLvl w:val="0"/>
    </w:pPr>
    <w:rPr>
      <w:rFonts w:eastAsia="Times New Roman" w:cs="Times New Roman"/>
      <w:bCs/>
      <w:kern w:val="36"/>
      <w:sz w:val="40"/>
      <w:szCs w:val="48"/>
      <w:lang w:eastAsia="en-AU"/>
    </w:rPr>
  </w:style>
  <w:style w:type="paragraph" w:styleId="Heading2">
    <w:name w:val="heading 2"/>
    <w:basedOn w:val="Normal"/>
    <w:next w:val="Normal"/>
    <w:link w:val="Heading2Char"/>
    <w:uiPriority w:val="9"/>
    <w:unhideWhenUsed/>
    <w:qFormat/>
    <w:rsid w:val="003F6B34"/>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966019"/>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A161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140F8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B34"/>
    <w:rPr>
      <w:rFonts w:eastAsia="Times New Roman" w:cs="Times New Roman"/>
      <w:bCs/>
      <w:kern w:val="36"/>
      <w:sz w:val="40"/>
      <w:szCs w:val="48"/>
      <w:lang w:eastAsia="en-AU"/>
    </w:rPr>
  </w:style>
  <w:style w:type="character" w:customStyle="1" w:styleId="meta-sep">
    <w:name w:val="meta-sep"/>
    <w:basedOn w:val="DefaultParagraphFont"/>
    <w:rsid w:val="00310A68"/>
  </w:style>
  <w:style w:type="character" w:customStyle="1" w:styleId="author">
    <w:name w:val="author"/>
    <w:basedOn w:val="DefaultParagraphFont"/>
    <w:rsid w:val="00310A68"/>
  </w:style>
  <w:style w:type="character" w:styleId="Hyperlink">
    <w:name w:val="Hyperlink"/>
    <w:basedOn w:val="DefaultParagraphFont"/>
    <w:uiPriority w:val="99"/>
    <w:unhideWhenUsed/>
    <w:rsid w:val="00310A68"/>
    <w:rPr>
      <w:color w:val="0000FF"/>
      <w:u w:val="single"/>
    </w:rPr>
  </w:style>
  <w:style w:type="character" w:customStyle="1" w:styleId="meta-prep">
    <w:name w:val="meta-prep"/>
    <w:basedOn w:val="DefaultParagraphFont"/>
    <w:rsid w:val="00310A68"/>
  </w:style>
  <w:style w:type="character" w:customStyle="1" w:styleId="entry-date">
    <w:name w:val="entry-date"/>
    <w:basedOn w:val="DefaultParagraphFont"/>
    <w:rsid w:val="00310A68"/>
  </w:style>
  <w:style w:type="paragraph" w:styleId="NormalWeb">
    <w:name w:val="Normal (Web)"/>
    <w:basedOn w:val="Normal"/>
    <w:uiPriority w:val="99"/>
    <w:semiHidden/>
    <w:unhideWhenUsed/>
    <w:rsid w:val="00310A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10A68"/>
    <w:rPr>
      <w:i/>
      <w:iCs/>
    </w:rPr>
  </w:style>
  <w:style w:type="character" w:styleId="Strong">
    <w:name w:val="Strong"/>
    <w:basedOn w:val="DefaultParagraphFont"/>
    <w:uiPriority w:val="22"/>
    <w:qFormat/>
    <w:rsid w:val="00310A68"/>
    <w:rPr>
      <w:b/>
      <w:bCs/>
    </w:rPr>
  </w:style>
  <w:style w:type="character" w:styleId="UnresolvedMention">
    <w:name w:val="Unresolved Mention"/>
    <w:basedOn w:val="DefaultParagraphFont"/>
    <w:uiPriority w:val="99"/>
    <w:semiHidden/>
    <w:unhideWhenUsed/>
    <w:rsid w:val="00EE2CA2"/>
    <w:rPr>
      <w:color w:val="605E5C"/>
      <w:shd w:val="clear" w:color="auto" w:fill="E1DFDD"/>
    </w:rPr>
  </w:style>
  <w:style w:type="paragraph" w:styleId="EndnoteText">
    <w:name w:val="endnote text"/>
    <w:basedOn w:val="Normal"/>
    <w:link w:val="EndnoteTextChar"/>
    <w:uiPriority w:val="99"/>
    <w:unhideWhenUsed/>
    <w:rsid w:val="00737494"/>
    <w:pPr>
      <w:spacing w:after="0" w:line="240" w:lineRule="auto"/>
    </w:pPr>
    <w:rPr>
      <w:sz w:val="20"/>
      <w:szCs w:val="20"/>
    </w:rPr>
  </w:style>
  <w:style w:type="character" w:customStyle="1" w:styleId="EndnoteTextChar">
    <w:name w:val="Endnote Text Char"/>
    <w:basedOn w:val="DefaultParagraphFont"/>
    <w:link w:val="EndnoteText"/>
    <w:uiPriority w:val="99"/>
    <w:rsid w:val="00737494"/>
    <w:rPr>
      <w:sz w:val="20"/>
      <w:szCs w:val="20"/>
    </w:rPr>
  </w:style>
  <w:style w:type="character" w:styleId="EndnoteReference">
    <w:name w:val="endnote reference"/>
    <w:basedOn w:val="DefaultParagraphFont"/>
    <w:uiPriority w:val="99"/>
    <w:semiHidden/>
    <w:unhideWhenUsed/>
    <w:rsid w:val="00737494"/>
    <w:rPr>
      <w:vertAlign w:val="superscript"/>
    </w:rPr>
  </w:style>
  <w:style w:type="paragraph" w:styleId="NoSpacing">
    <w:name w:val="No Spacing"/>
    <w:uiPriority w:val="1"/>
    <w:qFormat/>
    <w:rsid w:val="007B2226"/>
    <w:pPr>
      <w:spacing w:after="0" w:line="240" w:lineRule="auto"/>
    </w:pPr>
  </w:style>
  <w:style w:type="character" w:styleId="CommentReference">
    <w:name w:val="annotation reference"/>
    <w:basedOn w:val="DefaultParagraphFont"/>
    <w:uiPriority w:val="99"/>
    <w:semiHidden/>
    <w:unhideWhenUsed/>
    <w:rsid w:val="009F4297"/>
    <w:rPr>
      <w:sz w:val="16"/>
      <w:szCs w:val="16"/>
    </w:rPr>
  </w:style>
  <w:style w:type="paragraph" w:styleId="CommentText">
    <w:name w:val="annotation text"/>
    <w:basedOn w:val="Normal"/>
    <w:link w:val="CommentTextChar"/>
    <w:uiPriority w:val="99"/>
    <w:semiHidden/>
    <w:unhideWhenUsed/>
    <w:rsid w:val="009F4297"/>
    <w:pPr>
      <w:spacing w:line="240" w:lineRule="auto"/>
    </w:pPr>
    <w:rPr>
      <w:sz w:val="20"/>
      <w:szCs w:val="20"/>
    </w:rPr>
  </w:style>
  <w:style w:type="character" w:customStyle="1" w:styleId="CommentTextChar">
    <w:name w:val="Comment Text Char"/>
    <w:basedOn w:val="DefaultParagraphFont"/>
    <w:link w:val="CommentText"/>
    <w:uiPriority w:val="99"/>
    <w:semiHidden/>
    <w:rsid w:val="009F4297"/>
    <w:rPr>
      <w:sz w:val="20"/>
      <w:szCs w:val="20"/>
    </w:rPr>
  </w:style>
  <w:style w:type="paragraph" w:styleId="CommentSubject">
    <w:name w:val="annotation subject"/>
    <w:basedOn w:val="CommentText"/>
    <w:next w:val="CommentText"/>
    <w:link w:val="CommentSubjectChar"/>
    <w:uiPriority w:val="99"/>
    <w:semiHidden/>
    <w:unhideWhenUsed/>
    <w:rsid w:val="009F4297"/>
    <w:rPr>
      <w:b/>
      <w:bCs/>
    </w:rPr>
  </w:style>
  <w:style w:type="character" w:customStyle="1" w:styleId="CommentSubjectChar">
    <w:name w:val="Comment Subject Char"/>
    <w:basedOn w:val="CommentTextChar"/>
    <w:link w:val="CommentSubject"/>
    <w:uiPriority w:val="99"/>
    <w:semiHidden/>
    <w:rsid w:val="009F4297"/>
    <w:rPr>
      <w:b/>
      <w:bCs/>
      <w:sz w:val="20"/>
      <w:szCs w:val="20"/>
    </w:rPr>
  </w:style>
  <w:style w:type="paragraph" w:styleId="ListParagraph">
    <w:name w:val="List Paragraph"/>
    <w:basedOn w:val="Normal"/>
    <w:uiPriority w:val="34"/>
    <w:qFormat/>
    <w:rsid w:val="00535B96"/>
    <w:pPr>
      <w:ind w:left="720"/>
      <w:contextualSpacing/>
    </w:pPr>
  </w:style>
  <w:style w:type="character" w:customStyle="1" w:styleId="Heading2Char">
    <w:name w:val="Heading 2 Char"/>
    <w:basedOn w:val="DefaultParagraphFont"/>
    <w:link w:val="Heading2"/>
    <w:uiPriority w:val="9"/>
    <w:rsid w:val="003F6B34"/>
    <w:rPr>
      <w:rFonts w:eastAsiaTheme="majorEastAsia" w:cstheme="majorBidi"/>
      <w:b/>
      <w:color w:val="2F5496" w:themeColor="accent1" w:themeShade="BF"/>
      <w:sz w:val="26"/>
      <w:szCs w:val="26"/>
    </w:rPr>
  </w:style>
  <w:style w:type="paragraph" w:customStyle="1" w:styleId="00a5363e">
    <w:name w:val="00a5363e"/>
    <w:basedOn w:val="Normal"/>
    <w:rsid w:val="006A3E9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00506254">
    <w:name w:val="00506254"/>
    <w:basedOn w:val="Normal"/>
    <w:rsid w:val="006A3E9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009131a8">
    <w:name w:val="009131a8"/>
    <w:basedOn w:val="Normal"/>
    <w:rsid w:val="006A3E9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00473aed">
    <w:name w:val="00473aed"/>
    <w:basedOn w:val="Normal"/>
    <w:rsid w:val="006A3E9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00520d47">
    <w:name w:val="00520d47"/>
    <w:basedOn w:val="Normal"/>
    <w:rsid w:val="006A3E9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00e211eb">
    <w:name w:val="00e211eb"/>
    <w:basedOn w:val="Normal"/>
    <w:rsid w:val="006A3E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66019"/>
    <w:rPr>
      <w:rFonts w:eastAsiaTheme="majorEastAsia" w:cstheme="majorBidi"/>
      <w:color w:val="1F3763" w:themeColor="accent1" w:themeShade="7F"/>
      <w:sz w:val="24"/>
      <w:szCs w:val="24"/>
    </w:rPr>
  </w:style>
  <w:style w:type="character" w:customStyle="1" w:styleId="Heading4Char">
    <w:name w:val="Heading 4 Char"/>
    <w:basedOn w:val="DefaultParagraphFont"/>
    <w:link w:val="Heading4"/>
    <w:uiPriority w:val="9"/>
    <w:rsid w:val="007A161D"/>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5D1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078"/>
  </w:style>
  <w:style w:type="paragraph" w:styleId="Footer">
    <w:name w:val="footer"/>
    <w:basedOn w:val="Normal"/>
    <w:link w:val="FooterChar"/>
    <w:uiPriority w:val="99"/>
    <w:unhideWhenUsed/>
    <w:rsid w:val="005D1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078"/>
  </w:style>
  <w:style w:type="paragraph" w:styleId="TOCHeading">
    <w:name w:val="TOC Heading"/>
    <w:basedOn w:val="Heading1"/>
    <w:next w:val="Normal"/>
    <w:uiPriority w:val="39"/>
    <w:unhideWhenUsed/>
    <w:qFormat/>
    <w:rsid w:val="009C3876"/>
    <w:pPr>
      <w:keepNext/>
      <w:keepLines/>
      <w:spacing w:before="240" w:beforeAutospacing="0" w:after="0" w:afterAutospacing="0" w:line="259" w:lineRule="auto"/>
      <w:outlineLvl w:val="9"/>
    </w:pPr>
    <w:rPr>
      <w:rFonts w:asciiTheme="majorHAnsi" w:eastAsiaTheme="majorEastAsia" w:hAnsiTheme="majorHAnsi" w:cstheme="majorBidi"/>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9C3876"/>
    <w:pPr>
      <w:spacing w:after="100"/>
    </w:pPr>
  </w:style>
  <w:style w:type="paragraph" w:styleId="TOC2">
    <w:name w:val="toc 2"/>
    <w:basedOn w:val="Normal"/>
    <w:next w:val="Normal"/>
    <w:autoRedefine/>
    <w:uiPriority w:val="39"/>
    <w:unhideWhenUsed/>
    <w:rsid w:val="009C3876"/>
    <w:pPr>
      <w:spacing w:after="100"/>
      <w:ind w:left="220"/>
    </w:pPr>
  </w:style>
  <w:style w:type="paragraph" w:styleId="TOC3">
    <w:name w:val="toc 3"/>
    <w:basedOn w:val="Normal"/>
    <w:next w:val="Normal"/>
    <w:autoRedefine/>
    <w:uiPriority w:val="39"/>
    <w:unhideWhenUsed/>
    <w:rsid w:val="009C3876"/>
    <w:pPr>
      <w:spacing w:after="100"/>
      <w:ind w:left="440"/>
    </w:pPr>
  </w:style>
  <w:style w:type="paragraph" w:styleId="FootnoteText">
    <w:name w:val="footnote text"/>
    <w:basedOn w:val="Normal"/>
    <w:link w:val="FootnoteTextChar"/>
    <w:uiPriority w:val="99"/>
    <w:semiHidden/>
    <w:unhideWhenUsed/>
    <w:rsid w:val="008679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9FA"/>
    <w:rPr>
      <w:sz w:val="20"/>
      <w:szCs w:val="20"/>
    </w:rPr>
  </w:style>
  <w:style w:type="character" w:styleId="FootnoteReference">
    <w:name w:val="footnote reference"/>
    <w:basedOn w:val="DefaultParagraphFont"/>
    <w:uiPriority w:val="99"/>
    <w:semiHidden/>
    <w:unhideWhenUsed/>
    <w:rsid w:val="008679FA"/>
    <w:rPr>
      <w:vertAlign w:val="superscript"/>
    </w:rPr>
  </w:style>
  <w:style w:type="character" w:styleId="FollowedHyperlink">
    <w:name w:val="FollowedHyperlink"/>
    <w:basedOn w:val="DefaultParagraphFont"/>
    <w:uiPriority w:val="99"/>
    <w:semiHidden/>
    <w:unhideWhenUsed/>
    <w:rsid w:val="008679FA"/>
    <w:rPr>
      <w:color w:val="954F72" w:themeColor="followedHyperlink"/>
      <w:u w:val="single"/>
    </w:rPr>
  </w:style>
  <w:style w:type="character" w:styleId="HTMLCite">
    <w:name w:val="HTML Cite"/>
    <w:basedOn w:val="DefaultParagraphFont"/>
    <w:uiPriority w:val="99"/>
    <w:semiHidden/>
    <w:unhideWhenUsed/>
    <w:rsid w:val="003B3965"/>
    <w:rPr>
      <w:i/>
      <w:iCs/>
    </w:rPr>
  </w:style>
  <w:style w:type="character" w:customStyle="1" w:styleId="dyjrff">
    <w:name w:val="dyjrff"/>
    <w:basedOn w:val="DefaultParagraphFont"/>
    <w:rsid w:val="003B3965"/>
  </w:style>
  <w:style w:type="paragraph" w:customStyle="1" w:styleId="action-menu-item">
    <w:name w:val="action-menu-item"/>
    <w:basedOn w:val="Normal"/>
    <w:rsid w:val="003B39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zgwo7">
    <w:name w:val="zgwo7"/>
    <w:basedOn w:val="DefaultParagraphFont"/>
    <w:rsid w:val="003B3965"/>
  </w:style>
  <w:style w:type="character" w:customStyle="1" w:styleId="muxgbd">
    <w:name w:val="muxgbd"/>
    <w:basedOn w:val="DefaultParagraphFont"/>
    <w:rsid w:val="003B3965"/>
  </w:style>
  <w:style w:type="paragraph" w:customStyle="1" w:styleId="Quote1">
    <w:name w:val="Quote1"/>
    <w:rsid w:val="00FF16AD"/>
    <w:pPr>
      <w:widowControl w:val="0"/>
      <w:spacing w:after="180" w:line="240" w:lineRule="auto"/>
      <w:ind w:left="737" w:right="737"/>
      <w:jc w:val="both"/>
    </w:pPr>
    <w:rPr>
      <w:rFonts w:ascii="Times New Roman" w:eastAsia="Batang" w:hAnsi="Times New Roman" w:cs="Times New Roman"/>
      <w:szCs w:val="20"/>
    </w:rPr>
  </w:style>
  <w:style w:type="paragraph" w:customStyle="1" w:styleId="ParaNumbering">
    <w:name w:val="ParaNumbering"/>
    <w:basedOn w:val="Normal"/>
    <w:rsid w:val="001D25EF"/>
    <w:pPr>
      <w:numPr>
        <w:numId w:val="22"/>
      </w:numPr>
      <w:tabs>
        <w:tab w:val="clear" w:pos="1866"/>
        <w:tab w:val="num" w:pos="3425"/>
        <w:tab w:val="num" w:pos="3709"/>
        <w:tab w:val="num" w:pos="3851"/>
        <w:tab w:val="num" w:pos="3992"/>
        <w:tab w:val="num" w:pos="4134"/>
        <w:tab w:val="num" w:pos="6686"/>
      </w:tabs>
      <w:spacing w:before="180" w:after="180" w:line="360" w:lineRule="auto"/>
      <w:ind w:left="0"/>
      <w:jc w:val="both"/>
    </w:pPr>
    <w:rPr>
      <w:rFonts w:ascii="Times New Roman" w:eastAsia="Batang" w:hAnsi="Times New Roman" w:cs="Times New Roman"/>
      <w:sz w:val="24"/>
      <w:szCs w:val="20"/>
    </w:rPr>
  </w:style>
  <w:style w:type="paragraph" w:customStyle="1" w:styleId="Quote1Bullet">
    <w:name w:val="Quote1 Bullet"/>
    <w:basedOn w:val="Quote1"/>
    <w:rsid w:val="001D25EF"/>
    <w:pPr>
      <w:numPr>
        <w:numId w:val="23"/>
      </w:numPr>
    </w:pPr>
  </w:style>
  <w:style w:type="character" w:customStyle="1" w:styleId="Heading8Char">
    <w:name w:val="Heading 8 Char"/>
    <w:basedOn w:val="DefaultParagraphFont"/>
    <w:link w:val="Heading8"/>
    <w:uiPriority w:val="9"/>
    <w:semiHidden/>
    <w:rsid w:val="00140F87"/>
    <w:rPr>
      <w:rFonts w:asciiTheme="majorHAnsi" w:eastAsiaTheme="majorEastAsia" w:hAnsiTheme="majorHAnsi" w:cstheme="majorBidi"/>
      <w:color w:val="272727" w:themeColor="text1" w:themeTint="D8"/>
      <w:sz w:val="21"/>
      <w:szCs w:val="21"/>
    </w:rPr>
  </w:style>
  <w:style w:type="paragraph" w:styleId="EnvelopeAddress">
    <w:name w:val="envelope address"/>
    <w:basedOn w:val="Normal"/>
    <w:semiHidden/>
    <w:rsid w:val="00F10CE3"/>
    <w:pPr>
      <w:framePr w:w="7920" w:h="1980" w:hRule="exact" w:hSpace="180" w:wrap="auto" w:hAnchor="page" w:xAlign="center" w:yAlign="bottom"/>
      <w:spacing w:after="0" w:line="360" w:lineRule="auto"/>
      <w:ind w:left="2880"/>
      <w:jc w:val="both"/>
    </w:pPr>
    <w:rPr>
      <w:rFonts w:ascii="Arial" w:eastAsia="Batang"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53132">
      <w:bodyDiv w:val="1"/>
      <w:marLeft w:val="0"/>
      <w:marRight w:val="0"/>
      <w:marTop w:val="0"/>
      <w:marBottom w:val="0"/>
      <w:divBdr>
        <w:top w:val="none" w:sz="0" w:space="0" w:color="auto"/>
        <w:left w:val="none" w:sz="0" w:space="0" w:color="auto"/>
        <w:bottom w:val="none" w:sz="0" w:space="0" w:color="auto"/>
        <w:right w:val="none" w:sz="0" w:space="0" w:color="auto"/>
      </w:divBdr>
      <w:divsChild>
        <w:div w:id="266697028">
          <w:marLeft w:val="0"/>
          <w:marRight w:val="0"/>
          <w:marTop w:val="0"/>
          <w:marBottom w:val="0"/>
          <w:divBdr>
            <w:top w:val="none" w:sz="0" w:space="0" w:color="auto"/>
            <w:left w:val="none" w:sz="0" w:space="0" w:color="auto"/>
            <w:bottom w:val="none" w:sz="0" w:space="0" w:color="auto"/>
            <w:right w:val="none" w:sz="0" w:space="0" w:color="auto"/>
          </w:divBdr>
        </w:div>
        <w:div w:id="570236774">
          <w:marLeft w:val="0"/>
          <w:marRight w:val="0"/>
          <w:marTop w:val="0"/>
          <w:marBottom w:val="0"/>
          <w:divBdr>
            <w:top w:val="none" w:sz="0" w:space="0" w:color="auto"/>
            <w:left w:val="none" w:sz="0" w:space="0" w:color="auto"/>
            <w:bottom w:val="none" w:sz="0" w:space="0" w:color="auto"/>
            <w:right w:val="none" w:sz="0" w:space="0" w:color="auto"/>
          </w:divBdr>
          <w:divsChild>
            <w:div w:id="1488593590">
              <w:marLeft w:val="0"/>
              <w:marRight w:val="0"/>
              <w:marTop w:val="150"/>
              <w:marBottom w:val="150"/>
              <w:divBdr>
                <w:top w:val="none" w:sz="0" w:space="0" w:color="auto"/>
                <w:left w:val="none" w:sz="0" w:space="0" w:color="auto"/>
                <w:bottom w:val="none" w:sz="0" w:space="0" w:color="auto"/>
                <w:right w:val="none" w:sz="0" w:space="0" w:color="auto"/>
              </w:divBdr>
              <w:divsChild>
                <w:div w:id="12415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7679">
      <w:bodyDiv w:val="1"/>
      <w:marLeft w:val="0"/>
      <w:marRight w:val="0"/>
      <w:marTop w:val="0"/>
      <w:marBottom w:val="0"/>
      <w:divBdr>
        <w:top w:val="none" w:sz="0" w:space="0" w:color="auto"/>
        <w:left w:val="none" w:sz="0" w:space="0" w:color="auto"/>
        <w:bottom w:val="none" w:sz="0" w:space="0" w:color="auto"/>
        <w:right w:val="none" w:sz="0" w:space="0" w:color="auto"/>
      </w:divBdr>
    </w:div>
    <w:div w:id="648707545">
      <w:bodyDiv w:val="1"/>
      <w:marLeft w:val="0"/>
      <w:marRight w:val="0"/>
      <w:marTop w:val="0"/>
      <w:marBottom w:val="0"/>
      <w:divBdr>
        <w:top w:val="none" w:sz="0" w:space="0" w:color="auto"/>
        <w:left w:val="none" w:sz="0" w:space="0" w:color="auto"/>
        <w:bottom w:val="none" w:sz="0" w:space="0" w:color="auto"/>
        <w:right w:val="none" w:sz="0" w:space="0" w:color="auto"/>
      </w:divBdr>
    </w:div>
    <w:div w:id="946280488">
      <w:bodyDiv w:val="1"/>
      <w:marLeft w:val="0"/>
      <w:marRight w:val="0"/>
      <w:marTop w:val="0"/>
      <w:marBottom w:val="0"/>
      <w:divBdr>
        <w:top w:val="none" w:sz="0" w:space="0" w:color="auto"/>
        <w:left w:val="none" w:sz="0" w:space="0" w:color="auto"/>
        <w:bottom w:val="none" w:sz="0" w:space="0" w:color="auto"/>
        <w:right w:val="none" w:sz="0" w:space="0" w:color="auto"/>
      </w:divBdr>
      <w:divsChild>
        <w:div w:id="1068652719">
          <w:marLeft w:val="0"/>
          <w:marRight w:val="0"/>
          <w:marTop w:val="0"/>
          <w:marBottom w:val="0"/>
          <w:divBdr>
            <w:top w:val="none" w:sz="0" w:space="0" w:color="auto"/>
            <w:left w:val="none" w:sz="0" w:space="0" w:color="auto"/>
            <w:bottom w:val="none" w:sz="0" w:space="0" w:color="auto"/>
            <w:right w:val="none" w:sz="0" w:space="0" w:color="auto"/>
          </w:divBdr>
        </w:div>
        <w:div w:id="2143689697">
          <w:marLeft w:val="0"/>
          <w:marRight w:val="0"/>
          <w:marTop w:val="0"/>
          <w:marBottom w:val="0"/>
          <w:divBdr>
            <w:top w:val="none" w:sz="0" w:space="0" w:color="auto"/>
            <w:left w:val="none" w:sz="0" w:space="0" w:color="auto"/>
            <w:bottom w:val="none" w:sz="0" w:space="0" w:color="auto"/>
            <w:right w:val="none" w:sz="0" w:space="0" w:color="auto"/>
          </w:divBdr>
          <w:divsChild>
            <w:div w:id="817038586">
              <w:marLeft w:val="0"/>
              <w:marRight w:val="0"/>
              <w:marTop w:val="0"/>
              <w:marBottom w:val="0"/>
              <w:divBdr>
                <w:top w:val="none" w:sz="0" w:space="0" w:color="auto"/>
                <w:left w:val="none" w:sz="0" w:space="0" w:color="auto"/>
                <w:bottom w:val="none" w:sz="0" w:space="0" w:color="auto"/>
                <w:right w:val="none" w:sz="0" w:space="0" w:color="auto"/>
              </w:divBdr>
              <w:divsChild>
                <w:div w:id="199008823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339434557">
          <w:marLeft w:val="0"/>
          <w:marRight w:val="0"/>
          <w:marTop w:val="0"/>
          <w:marBottom w:val="0"/>
          <w:divBdr>
            <w:top w:val="none" w:sz="0" w:space="0" w:color="auto"/>
            <w:left w:val="none" w:sz="0" w:space="0" w:color="auto"/>
            <w:bottom w:val="none" w:sz="0" w:space="0" w:color="auto"/>
            <w:right w:val="none" w:sz="0" w:space="0" w:color="auto"/>
          </w:divBdr>
        </w:div>
      </w:divsChild>
    </w:div>
    <w:div w:id="983316693">
      <w:bodyDiv w:val="1"/>
      <w:marLeft w:val="0"/>
      <w:marRight w:val="0"/>
      <w:marTop w:val="0"/>
      <w:marBottom w:val="0"/>
      <w:divBdr>
        <w:top w:val="none" w:sz="0" w:space="0" w:color="auto"/>
        <w:left w:val="none" w:sz="0" w:space="0" w:color="auto"/>
        <w:bottom w:val="none" w:sz="0" w:space="0" w:color="auto"/>
        <w:right w:val="none" w:sz="0" w:space="0" w:color="auto"/>
      </w:divBdr>
    </w:div>
    <w:div w:id="20321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jadebeagle.com/time-for-federal-action-newcastle-port.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www.thejadebeagle.com/badgerys-creek.html" TargetMode="External"/><Relationship Id="rId18" Type="http://schemas.openxmlformats.org/officeDocument/2006/relationships/hyperlink" Target="https://www.infrastructureaustralia.gov.au/publications/national-ports-strategy-2011" TargetMode="External"/><Relationship Id="rId26" Type="http://schemas.openxmlformats.org/officeDocument/2006/relationships/hyperlink" Target="https://www.theage.com.au/national/victoria/tripling-of-truck-traffic-leaves-ombudsman-asking-government-for-answers-20210603-p57xn4.html" TargetMode="External"/><Relationship Id="rId39" Type="http://schemas.openxmlformats.org/officeDocument/2006/relationships/hyperlink" Target="https://future.transport.nsw.gov.au/plans/greater-sydney-services-and-infrastructure-plan/future-networks" TargetMode="External"/><Relationship Id="rId21" Type="http://schemas.openxmlformats.org/officeDocument/2006/relationships/hyperlink" Target="https://www.infrastructureaustralia.gov.au/sites/default/files/2019-06/ports_strategy_background_paper_20_December_2010.pdf" TargetMode="External"/><Relationship Id="rId34" Type="http://schemas.openxmlformats.org/officeDocument/2006/relationships/hyperlink" Target="https://www.atap.gov.au/parameter-values/road-transport/5-vehicle-operating-cost-voc-models" TargetMode="External"/><Relationship Id="rId42" Type="http://schemas.openxmlformats.org/officeDocument/2006/relationships/hyperlink" Target="https://www.infrastructure.nsw.gov.au/media/2154/sydney-gateway-program_final-business-case-summary.pdf" TargetMode="External"/><Relationship Id="rId47" Type="http://schemas.openxmlformats.org/officeDocument/2006/relationships/hyperlink" Target="https://future.transport.nsw.gov.au/plans/nsw-freight-and-ports-plan-2018-2023" TargetMode="External"/><Relationship Id="rId50" Type="http://schemas.openxmlformats.org/officeDocument/2006/relationships/hyperlink" Target="http://www.bom.gov.au/products/IDR714.loop.shtml" TargetMode="External"/><Relationship Id="rId55" Type="http://schemas.openxmlformats.org/officeDocument/2006/relationships/hyperlink" Target="https://roads-waterways.transport.nsw.gov.au/sydney-motorways/toll-charges/index.html" TargetMode="External"/><Relationship Id="rId63" Type="http://schemas.openxmlformats.org/officeDocument/2006/relationships/hyperlink" Target="https://www.infrastructureaustralia.gov.au/sites/default/files/2019-06/COAG_National_Ports_Strategy.pdf" TargetMode="External"/><Relationship Id="rId7" Type="http://schemas.openxmlformats.org/officeDocument/2006/relationships/hyperlink" Target="https://www.thejadebeagle.com/time-for-federal-action-newcastle-port.html" TargetMode="External"/><Relationship Id="rId2" Type="http://schemas.openxmlformats.org/officeDocument/2006/relationships/hyperlink" Target="https://www.thejadebeagle.com/election-2019.html" TargetMode="External"/><Relationship Id="rId16" Type="http://schemas.openxmlformats.org/officeDocument/2006/relationships/hyperlink" Target="https://www.thejadebeagle.com/governance.html" TargetMode="External"/><Relationship Id="rId20" Type="http://schemas.openxmlformats.org/officeDocument/2006/relationships/hyperlink" Target="https://www.thejadebeagle.com/time-for-federal-action-newcastle-port.html" TargetMode="External"/><Relationship Id="rId29" Type="http://schemas.openxmlformats.org/officeDocument/2006/relationships/hyperlink" Target="https://www.nswports.com.au/port-botany-expansion-environmental-impact-statement" TargetMode="External"/><Relationship Id="rId41" Type="http://schemas.openxmlformats.org/officeDocument/2006/relationships/hyperlink" Target="https://www.containerterminalpolicyinnsw.com.au/wp-content/uploads/2016/01/NSW-Freight-and-Ports-Strategy-November-2013.pdf" TargetMode="External"/><Relationship Id="rId54" Type="http://schemas.openxmlformats.org/officeDocument/2006/relationships/hyperlink" Target="https://www.bitre.gov.au/publications/2021/waterline-66" TargetMode="External"/><Relationship Id="rId62" Type="http://schemas.openxmlformats.org/officeDocument/2006/relationships/hyperlink" Target="https://nieir.com.au/wp-content/uploads/2020/07/Fast%20Train%20Project%20Macro%20Economic%20Assessment%20July%202020.pdf" TargetMode="External"/><Relationship Id="rId1" Type="http://schemas.openxmlformats.org/officeDocument/2006/relationships/hyperlink" Target="https://johnmenadue.com/john-menadue-newcastle-port-another-botched-privatisation-a-repost-from-5-september-2016/" TargetMode="External"/><Relationship Id="rId6" Type="http://schemas.openxmlformats.org/officeDocument/2006/relationships/hyperlink" Target="https://www.thejadebeagle.com/update-on-a-sell-out.html" TargetMode="External"/><Relationship Id="rId11" Type="http://schemas.openxmlformats.org/officeDocument/2006/relationships/hyperlink" Target="https://www.thejadebeagle.com/sydney-metro.html" TargetMode="External"/><Relationship Id="rId24" Type="http://schemas.openxmlformats.org/officeDocument/2006/relationships/hyperlink" Target="https://www.nswports.com.au/rail" TargetMode="External"/><Relationship Id="rId32" Type="http://schemas.openxmlformats.org/officeDocument/2006/relationships/hyperlink" Target="http://ecotransit.org.au/ets/files/NSW_IA_M5-Expansion/M5-Expansion_Minimum-Info-Req_2009-01-20_Part-1.pdf" TargetMode="External"/><Relationship Id="rId37" Type="http://schemas.openxmlformats.org/officeDocument/2006/relationships/hyperlink" Target="https://www.bitre.gov.au/sites/default/files/2019-11/cr_001%20%282%29.pdf" TargetMode="External"/><Relationship Id="rId40" Type="http://schemas.openxmlformats.org/officeDocument/2006/relationships/hyperlink" Target="https://www.transport.nsw.gov.au/projects/strategy/nsw-freight-and-ports-plan" TargetMode="External"/><Relationship Id="rId45" Type="http://schemas.openxmlformats.org/officeDocument/2006/relationships/hyperlink" Target="https://www.thejadebeagle.com/urbans-admonition.html" TargetMode="External"/><Relationship Id="rId53" Type="http://schemas.openxmlformats.org/officeDocument/2006/relationships/hyperlink" Target="https://roads-waterways.transport.nsw.gov.au/sydney-motorways/toll-charges/index.html" TargetMode="External"/><Relationship Id="rId58" Type="http://schemas.openxmlformats.org/officeDocument/2006/relationships/hyperlink" Target="https://www.infrastructureaustralia.gov.au/publications/assessment-framework" TargetMode="External"/><Relationship Id="rId5" Type="http://schemas.openxmlformats.org/officeDocument/2006/relationships/hyperlink" Target="https://www.judgments.fedcourt.gov.au/judgments/Judgments/fca/single/2021/2021fca0720" TargetMode="External"/><Relationship Id="rId15" Type="http://schemas.openxmlformats.org/officeDocument/2006/relationships/hyperlink" Target="https://www.thejadebeagle.com/audit.html" TargetMode="External"/><Relationship Id="rId23" Type="http://schemas.openxmlformats.org/officeDocument/2006/relationships/hyperlink" Target="http://ecotransit.org.au/ets/files/NSW_IA_M5-Expansion/M5-Expansion_Minimum-Info-Req_2009-01-20_Part-1.pdf" TargetMode="External"/><Relationship Id="rId28" Type="http://schemas.openxmlformats.org/officeDocument/2006/relationships/hyperlink" Target="https://www.nswports.com.au/sites/default/files/Uploads/Port-Botany-Expansion-EIS-Ch-21-Traffic-Transportation.pdf" TargetMode="External"/><Relationship Id="rId36" Type="http://schemas.openxmlformats.org/officeDocument/2006/relationships/hyperlink" Target="https://www.infrastructureaustralia.gov.au/sites/default/files/2019-06/NLFS_220211.pdf" TargetMode="External"/><Relationship Id="rId49" Type="http://schemas.openxmlformats.org/officeDocument/2006/relationships/hyperlink" Target="https://www.nswports.com.au/sites/default/files/Uploads/Port-Botany-Expansion-EIS-Appendix-P-Traffic-Transportation-Vol-I-III.pdf" TargetMode="External"/><Relationship Id="rId57" Type="http://schemas.openxmlformats.org/officeDocument/2006/relationships/hyperlink" Target="https://www.transport.nsw.gov.au/projects/strategy/nsw-freight-and-ports-plan" TargetMode="External"/><Relationship Id="rId61" Type="http://schemas.openxmlformats.org/officeDocument/2006/relationships/hyperlink" Target="https://www.infrastructureaustralia.gov.au/projects/westconnex-2016" TargetMode="External"/><Relationship Id="rId10" Type="http://schemas.openxmlformats.org/officeDocument/2006/relationships/hyperlink" Target="https://www.icac.nsw.gov.au/investigations/past-investigations/2016/nsw-public-officials-and-members-of-parliament-operation-spicer" TargetMode="External"/><Relationship Id="rId19" Type="http://schemas.openxmlformats.org/officeDocument/2006/relationships/hyperlink" Target="https://www.infrastructureaustralia.gov.au/sites/default/files/2019-06/national_land_freight_strategy_update_2012.pdf" TargetMode="External"/><Relationship Id="rId31" Type="http://schemas.openxmlformats.org/officeDocument/2006/relationships/hyperlink" Target="https://www.pc.gov.au/inquiries/completed/freight/submissions/new_south_wales_government__including_attachments_a,_b_and_c/sub050attachment3.pdf" TargetMode="External"/><Relationship Id="rId44" Type="http://schemas.openxmlformats.org/officeDocument/2006/relationships/hyperlink" Target="https://www.infrastructureaustralia.gov.au/sites/default/files/2019-06/Final_WestConnex_Project_Evaluation_Summary.pdf" TargetMode="External"/><Relationship Id="rId52" Type="http://schemas.openxmlformats.org/officeDocument/2006/relationships/hyperlink" Target="https://spatial.infrastructure.gov.au/portal/apps/webappviewer/index.html?id=9690eb423b4f446485781ea8a61851d2" TargetMode="External"/><Relationship Id="rId60" Type="http://schemas.openxmlformats.org/officeDocument/2006/relationships/hyperlink" Target="https://www.infrastructureaustralia.gov.au/publications/nsw-westconnex" TargetMode="External"/><Relationship Id="rId4" Type="http://schemas.openxmlformats.org/officeDocument/2006/relationships/hyperlink" Target="https://www.thejadebeagle.com/time-for-federal-action-newcastle-port.html" TargetMode="External"/><Relationship Id="rId9" Type="http://schemas.openxmlformats.org/officeDocument/2006/relationships/hyperlink" Target="https://www.containerterminalpolicyinnsw.com.au/jodi-mckays-moment-of-truth-at-icac/" TargetMode="External"/><Relationship Id="rId14" Type="http://schemas.openxmlformats.org/officeDocument/2006/relationships/hyperlink" Target="https://www.thejadebeagle.com/freight-chainsaw.html" TargetMode="External"/><Relationship Id="rId22" Type="http://schemas.openxmlformats.org/officeDocument/2006/relationships/hyperlink" Target="https://www.nswports.com.au/sites/default/files/Uploads/Port-Botany-NLG-Meeting-No-18-Minutes.pdf" TargetMode="External"/><Relationship Id="rId27" Type="http://schemas.openxmlformats.org/officeDocument/2006/relationships/hyperlink" Target="https://www.containerterminalpolicyinnsw.com.au/wp-content/uploads/2016/01/NSW-Freight-and-Ports-Strategy-November-2013.pdf" TargetMode="External"/><Relationship Id="rId30" Type="http://schemas.openxmlformats.org/officeDocument/2006/relationships/hyperlink" Target="https://www.nswports.com.au/sites/default/files/Uploads/Port-Botany-Expansion-EIS-Appendix-P-Traffic-Transportation-Vol-I-III.pdf" TargetMode="External"/><Relationship Id="rId35" Type="http://schemas.openxmlformats.org/officeDocument/2006/relationships/hyperlink" Target="https://www.bitre.gov.au/sites/default/files/wp_015.pdf.%20%20" TargetMode="External"/><Relationship Id="rId43" Type="http://schemas.openxmlformats.org/officeDocument/2006/relationships/hyperlink" Target="https://www.transport.nsw.gov.au/projects/strategy/nsw-freight-and-ports-plan" TargetMode="External"/><Relationship Id="rId48" Type="http://schemas.openxmlformats.org/officeDocument/2006/relationships/hyperlink" Target="https://www.pc.gov.au/inquiries/completed/freight/submissions/new_south_wales_government__including_attachments_a,_b_and_c/sub050attachment3.pdf" TargetMode="External"/><Relationship Id="rId56" Type="http://schemas.openxmlformats.org/officeDocument/2006/relationships/hyperlink" Target="https://www2.deloitte.com/au/en/pages/economics/articles/port-newcastle-nsw-container-port-policy.html" TargetMode="External"/><Relationship Id="rId64" Type="http://schemas.openxmlformats.org/officeDocument/2006/relationships/hyperlink" Target="https://www.thejadebeagle.com/the-dog-that-didnt-bark.html" TargetMode="External"/><Relationship Id="rId8" Type="http://schemas.openxmlformats.org/officeDocument/2006/relationships/hyperlink" Target="https://www.newcastleherald.com.au/story/5405057/secret-nsw-port-deal-costs-consumers-alp/" TargetMode="External"/><Relationship Id="rId51" Type="http://schemas.openxmlformats.org/officeDocument/2006/relationships/hyperlink" Target="https://www.transport.nsw.gov.au/projects/strategy/nsw-freight-and-ports-plan" TargetMode="External"/><Relationship Id="rId3" Type="http://schemas.openxmlformats.org/officeDocument/2006/relationships/hyperlink" Target="https://www.accc.gov.au/media-release/accc-takes-action-against-nsw-ports" TargetMode="External"/><Relationship Id="rId12" Type="http://schemas.openxmlformats.org/officeDocument/2006/relationships/hyperlink" Target="https://www.thejadebeagle.com/policy-spad.html" TargetMode="External"/><Relationship Id="rId17" Type="http://schemas.openxmlformats.org/officeDocument/2006/relationships/hyperlink" Target="https://www.thejadebeagle.com/williams-case.html" TargetMode="External"/><Relationship Id="rId25" Type="http://schemas.openxmlformats.org/officeDocument/2006/relationships/hyperlink" Target="https://www.pc.gov.au/inquiries/completed/freight/submissions/new_south_wales_government__including_attachments_a,_b_and_c/sub050attachment3.pdf" TargetMode="External"/><Relationship Id="rId33" Type="http://schemas.openxmlformats.org/officeDocument/2006/relationships/hyperlink" Target="https://www.containerterminalpolicyinnsw.com.au/wp-content/uploads/2016/01/RTA-M5-Expansion-Modelling-Report-RTA-5-May-2009.pdf" TargetMode="External"/><Relationship Id="rId38" Type="http://schemas.openxmlformats.org/officeDocument/2006/relationships/hyperlink" Target="https://www.ipart.nsw.gov.au/sites/default/files/documents/final_report_-_reforming_port_botanys_links_with_inland_transport_-_march_2008.pdf" TargetMode="External"/><Relationship Id="rId46" Type="http://schemas.openxmlformats.org/officeDocument/2006/relationships/hyperlink" Target="https://www.containerterminalpolicyinnsw.com.au/wp-content/uploads/2016/01/NSW-Freight-and-Ports-Strategy-November-2013.pdf" TargetMode="External"/><Relationship Id="rId59" Type="http://schemas.openxmlformats.org/officeDocument/2006/relationships/hyperlink" Target="https://www.infrastructureaustralia.gov.au/sites/default/files/2019-06/australian-infrastructure-audit-volum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CF80-5313-4CE7-9C24-588154F0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8630</TotalTime>
  <Pages>24</Pages>
  <Words>8104</Words>
  <Characters>46199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50</cp:revision>
  <dcterms:created xsi:type="dcterms:W3CDTF">2021-07-31T07:48:00Z</dcterms:created>
  <dcterms:modified xsi:type="dcterms:W3CDTF">2021-08-10T10:04:00Z</dcterms:modified>
</cp:coreProperties>
</file>