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524" w:rsidRDefault="00FC7524" w:rsidP="00746D1D">
      <w:pPr>
        <w:pStyle w:val="Heading1"/>
      </w:pPr>
      <w:r>
        <w:t>A</w:t>
      </w:r>
      <w:r w:rsidR="00746D1D">
        <w:t>ll things must pass - a</w:t>
      </w:r>
      <w:r>
        <w:t xml:space="preserve"> national rail policy</w:t>
      </w:r>
    </w:p>
    <w:p w:rsidR="00FC7524" w:rsidRDefault="00631E9F">
      <w:r>
        <w:t xml:space="preserve">In the absence of </w:t>
      </w:r>
      <w:r w:rsidR="00DD0F29">
        <w:t>decent</w:t>
      </w:r>
      <w:r w:rsidR="00FC7524">
        <w:t xml:space="preserve"> official polic</w:t>
      </w:r>
      <w:r>
        <w:t>ies</w:t>
      </w:r>
      <w:r w:rsidR="00FC7524">
        <w:t xml:space="preserve"> it is inevitable a lobby group will propose </w:t>
      </w:r>
      <w:r>
        <w:t>them</w:t>
      </w:r>
      <w:r w:rsidR="00FC7524">
        <w:t>.</w:t>
      </w:r>
    </w:p>
    <w:p w:rsidR="00FC7524" w:rsidRDefault="00631E9F">
      <w:r>
        <w:t>For rail</w:t>
      </w:r>
      <w:r w:rsidR="00DD0F29">
        <w:t xml:space="preserve"> this</w:t>
      </w:r>
      <w:r w:rsidR="00FC7524">
        <w:t xml:space="preserve"> has come to pass.  The industry lobby group</w:t>
      </w:r>
      <w:r w:rsidR="00CC32D0">
        <w:t>,</w:t>
      </w:r>
      <w:r w:rsidR="00FC7524">
        <w:t xml:space="preserve"> the Australasian Railways Association</w:t>
      </w:r>
      <w:r w:rsidR="0084654E">
        <w:t>,</w:t>
      </w:r>
      <w:r w:rsidR="00FC7524">
        <w:t xml:space="preserve"> recently proposed a national</w:t>
      </w:r>
      <w:r w:rsidR="00746D1D">
        <w:t xml:space="preserve"> plan ‘for the benefit of Australia’.</w:t>
      </w:r>
      <w:r w:rsidR="00746D1D">
        <w:rPr>
          <w:rStyle w:val="EndnoteReference"/>
        </w:rPr>
        <w:endnoteReference w:id="1"/>
      </w:r>
      <w:r w:rsidR="00FC7524">
        <w:t xml:space="preserve"> </w:t>
      </w:r>
    </w:p>
    <w:p w:rsidR="00746D1D" w:rsidRDefault="00746D1D">
      <w:r>
        <w:t xml:space="preserve">The proposed plan doesn’t quite nail a </w:t>
      </w:r>
      <w:r w:rsidR="0084654E">
        <w:t xml:space="preserve">national rail </w:t>
      </w:r>
      <w:r>
        <w:t>policy</w:t>
      </w:r>
      <w:r w:rsidR="0084654E">
        <w:t>.</w:t>
      </w:r>
    </w:p>
    <w:p w:rsidR="00746D1D" w:rsidRDefault="00746D1D">
      <w:r>
        <w:t xml:space="preserve">Nonetheless, it is represented as a start.  As </w:t>
      </w:r>
      <w:r w:rsidR="00631E9F">
        <w:t>were</w:t>
      </w:r>
      <w:r>
        <w:t xml:space="preserve"> its predecessors.</w:t>
      </w:r>
    </w:p>
    <w:p w:rsidR="00A614DB" w:rsidRDefault="00631E9F">
      <w:pPr>
        <w:rPr>
          <w:b/>
        </w:rPr>
      </w:pPr>
      <w:r>
        <w:t>Table 1 compares t</w:t>
      </w:r>
      <w:r w:rsidR="00746D1D">
        <w:t>he Association</w:t>
      </w:r>
      <w:r w:rsidR="0056062C">
        <w:t>’</w:t>
      </w:r>
      <w:r w:rsidR="00746D1D">
        <w:t xml:space="preserve">s </w:t>
      </w:r>
      <w:r w:rsidR="00A02956">
        <w:t>plan</w:t>
      </w:r>
      <w:r w:rsidR="00746D1D">
        <w:t xml:space="preserve"> with ‘official’ policy and </w:t>
      </w:r>
      <w:r w:rsidR="0056062C">
        <w:t>a national</w:t>
      </w:r>
      <w:r w:rsidR="00746D1D">
        <w:t xml:space="preserve"> policy</w:t>
      </w:r>
      <w:r w:rsidR="0084654E">
        <w:t xml:space="preserve"> that would reflect Australia’s history and governance – a proper policy</w:t>
      </w:r>
      <w:r w:rsidR="00746D1D">
        <w:t>.</w:t>
      </w:r>
    </w:p>
    <w:p w:rsidR="00746D1D" w:rsidRPr="00A02956" w:rsidRDefault="00746D1D" w:rsidP="00A02956">
      <w:pPr>
        <w:spacing w:after="0"/>
        <w:rPr>
          <w:b/>
          <w:sz w:val="20"/>
          <w:szCs w:val="20"/>
        </w:rPr>
      </w:pPr>
      <w:r w:rsidRPr="00A02956">
        <w:rPr>
          <w:b/>
          <w:sz w:val="20"/>
          <w:szCs w:val="20"/>
        </w:rPr>
        <w:t>Table 1: Comparison of</w:t>
      </w:r>
      <w:r w:rsidR="00DD0F29" w:rsidRPr="00A02956">
        <w:rPr>
          <w:b/>
          <w:sz w:val="20"/>
          <w:szCs w:val="20"/>
        </w:rPr>
        <w:t xml:space="preserve"> proposed</w:t>
      </w:r>
      <w:r w:rsidRPr="00A02956">
        <w:rPr>
          <w:b/>
          <w:sz w:val="20"/>
          <w:szCs w:val="20"/>
        </w:rPr>
        <w:t xml:space="preserve"> </w:t>
      </w:r>
      <w:r w:rsidR="002B3CE8" w:rsidRPr="00A02956">
        <w:rPr>
          <w:b/>
          <w:sz w:val="20"/>
          <w:szCs w:val="20"/>
        </w:rPr>
        <w:t>national rail polic</w:t>
      </w:r>
      <w:r w:rsidR="00B177EB" w:rsidRPr="00A02956">
        <w:rPr>
          <w:b/>
          <w:sz w:val="20"/>
          <w:szCs w:val="20"/>
        </w:rPr>
        <w:t>ies</w:t>
      </w:r>
    </w:p>
    <w:tbl>
      <w:tblPr>
        <w:tblStyle w:val="TableGrid"/>
        <w:tblW w:w="0" w:type="auto"/>
        <w:tblLook w:val="04A0" w:firstRow="1" w:lastRow="0" w:firstColumn="1" w:lastColumn="0" w:noHBand="0" w:noVBand="1"/>
      </w:tblPr>
      <w:tblGrid>
        <w:gridCol w:w="1696"/>
        <w:gridCol w:w="2410"/>
        <w:gridCol w:w="2656"/>
        <w:gridCol w:w="2254"/>
      </w:tblGrid>
      <w:tr w:rsidR="009F2731" w:rsidRPr="0056062C" w:rsidTr="00854451">
        <w:tc>
          <w:tcPr>
            <w:tcW w:w="1696" w:type="dxa"/>
          </w:tcPr>
          <w:p w:rsidR="009F2731" w:rsidRPr="00372CEF" w:rsidRDefault="009F2731">
            <w:pPr>
              <w:rPr>
                <w:b/>
                <w:sz w:val="20"/>
                <w:szCs w:val="20"/>
              </w:rPr>
            </w:pPr>
            <w:r w:rsidRPr="00372CEF">
              <w:rPr>
                <w:b/>
                <w:sz w:val="20"/>
                <w:szCs w:val="20"/>
              </w:rPr>
              <w:t>Issue</w:t>
            </w:r>
          </w:p>
        </w:tc>
        <w:tc>
          <w:tcPr>
            <w:tcW w:w="2410" w:type="dxa"/>
          </w:tcPr>
          <w:p w:rsidR="009F2731" w:rsidRPr="00372CEF" w:rsidRDefault="009F2731">
            <w:pPr>
              <w:rPr>
                <w:b/>
                <w:sz w:val="20"/>
                <w:szCs w:val="20"/>
              </w:rPr>
            </w:pPr>
            <w:r w:rsidRPr="00372CEF">
              <w:rPr>
                <w:b/>
                <w:sz w:val="20"/>
                <w:szCs w:val="20"/>
              </w:rPr>
              <w:t>Australasian Railways Association</w:t>
            </w:r>
            <w:r w:rsidR="00A02956">
              <w:rPr>
                <w:b/>
                <w:sz w:val="20"/>
                <w:szCs w:val="20"/>
              </w:rPr>
              <w:t xml:space="preserve"> rail plan</w:t>
            </w:r>
          </w:p>
        </w:tc>
        <w:tc>
          <w:tcPr>
            <w:tcW w:w="2656" w:type="dxa"/>
          </w:tcPr>
          <w:p w:rsidR="009F2731" w:rsidRPr="00372CEF" w:rsidRDefault="0084654E">
            <w:pPr>
              <w:rPr>
                <w:b/>
                <w:sz w:val="20"/>
                <w:szCs w:val="20"/>
              </w:rPr>
            </w:pPr>
            <w:r>
              <w:rPr>
                <w:b/>
                <w:sz w:val="20"/>
                <w:szCs w:val="20"/>
              </w:rPr>
              <w:t xml:space="preserve">Official </w:t>
            </w:r>
            <w:r w:rsidR="00854451">
              <w:rPr>
                <w:b/>
                <w:sz w:val="20"/>
                <w:szCs w:val="20"/>
              </w:rPr>
              <w:t xml:space="preserve">/Commonwealth </w:t>
            </w:r>
            <w:r>
              <w:rPr>
                <w:b/>
                <w:sz w:val="20"/>
                <w:szCs w:val="20"/>
              </w:rPr>
              <w:t>policy (a)</w:t>
            </w:r>
          </w:p>
        </w:tc>
        <w:tc>
          <w:tcPr>
            <w:tcW w:w="2254" w:type="dxa"/>
          </w:tcPr>
          <w:p w:rsidR="009F2731" w:rsidRPr="00372CEF" w:rsidRDefault="002B3CE8">
            <w:pPr>
              <w:rPr>
                <w:b/>
                <w:sz w:val="20"/>
                <w:szCs w:val="20"/>
              </w:rPr>
            </w:pPr>
            <w:r w:rsidRPr="00372CEF">
              <w:rPr>
                <w:b/>
                <w:sz w:val="20"/>
                <w:szCs w:val="20"/>
              </w:rPr>
              <w:t xml:space="preserve">Proper </w:t>
            </w:r>
            <w:r w:rsidR="0084654E">
              <w:rPr>
                <w:b/>
                <w:sz w:val="20"/>
                <w:szCs w:val="20"/>
              </w:rPr>
              <w:t xml:space="preserve">Australian national </w:t>
            </w:r>
            <w:r w:rsidR="009F2731" w:rsidRPr="00372CEF">
              <w:rPr>
                <w:b/>
                <w:sz w:val="20"/>
                <w:szCs w:val="20"/>
              </w:rPr>
              <w:t>policy</w:t>
            </w:r>
          </w:p>
        </w:tc>
      </w:tr>
      <w:tr w:rsidR="009F2731" w:rsidTr="00854451">
        <w:tc>
          <w:tcPr>
            <w:tcW w:w="1696" w:type="dxa"/>
          </w:tcPr>
          <w:p w:rsidR="009F2731" w:rsidRPr="00372CEF" w:rsidRDefault="009F2731">
            <w:pPr>
              <w:rPr>
                <w:sz w:val="20"/>
                <w:szCs w:val="20"/>
              </w:rPr>
            </w:pPr>
            <w:r w:rsidRPr="00372CEF">
              <w:rPr>
                <w:sz w:val="20"/>
                <w:szCs w:val="20"/>
              </w:rPr>
              <w:t>Relevance of rail</w:t>
            </w:r>
          </w:p>
        </w:tc>
        <w:tc>
          <w:tcPr>
            <w:tcW w:w="2410" w:type="dxa"/>
          </w:tcPr>
          <w:p w:rsidR="009F2731" w:rsidRPr="00372CEF" w:rsidRDefault="009F2731">
            <w:pPr>
              <w:rPr>
                <w:sz w:val="20"/>
                <w:szCs w:val="20"/>
              </w:rPr>
            </w:pPr>
            <w:r w:rsidRPr="00372CEF">
              <w:rPr>
                <w:sz w:val="20"/>
                <w:szCs w:val="20"/>
              </w:rPr>
              <w:t xml:space="preserve">Recognise importance of rail </w:t>
            </w:r>
          </w:p>
        </w:tc>
        <w:tc>
          <w:tcPr>
            <w:tcW w:w="2656" w:type="dxa"/>
          </w:tcPr>
          <w:p w:rsidR="009F2731" w:rsidRPr="00372CEF" w:rsidRDefault="00B177EB">
            <w:pPr>
              <w:rPr>
                <w:sz w:val="20"/>
                <w:szCs w:val="20"/>
              </w:rPr>
            </w:pPr>
            <w:r>
              <w:rPr>
                <w:sz w:val="20"/>
                <w:szCs w:val="20"/>
              </w:rPr>
              <w:t>‘Support the directions of the Transport and Infrastructure Council’</w:t>
            </w:r>
          </w:p>
        </w:tc>
        <w:tc>
          <w:tcPr>
            <w:tcW w:w="2254" w:type="dxa"/>
          </w:tcPr>
          <w:p w:rsidR="009F2731" w:rsidRPr="00372CEF" w:rsidRDefault="009F2731">
            <w:pPr>
              <w:rPr>
                <w:sz w:val="20"/>
                <w:szCs w:val="20"/>
              </w:rPr>
            </w:pPr>
            <w:r w:rsidRPr="00372CEF">
              <w:rPr>
                <w:sz w:val="20"/>
                <w:szCs w:val="20"/>
              </w:rPr>
              <w:t xml:space="preserve">Recognise </w:t>
            </w:r>
            <w:r w:rsidR="00631E9F" w:rsidRPr="00372CEF">
              <w:rPr>
                <w:sz w:val="20"/>
                <w:szCs w:val="20"/>
              </w:rPr>
              <w:t>rail</w:t>
            </w:r>
            <w:r w:rsidRPr="00372CEF">
              <w:rPr>
                <w:sz w:val="20"/>
                <w:szCs w:val="20"/>
              </w:rPr>
              <w:t xml:space="preserve"> objectives of national government</w:t>
            </w:r>
          </w:p>
        </w:tc>
      </w:tr>
      <w:tr w:rsidR="009F2731" w:rsidTr="00854451">
        <w:tc>
          <w:tcPr>
            <w:tcW w:w="1696" w:type="dxa"/>
          </w:tcPr>
          <w:p w:rsidR="009F2731" w:rsidRPr="00372CEF" w:rsidRDefault="0056062C">
            <w:pPr>
              <w:rPr>
                <w:sz w:val="20"/>
                <w:szCs w:val="20"/>
              </w:rPr>
            </w:pPr>
            <w:r w:rsidRPr="00372CEF">
              <w:rPr>
                <w:sz w:val="20"/>
                <w:szCs w:val="20"/>
              </w:rPr>
              <w:t>I</w:t>
            </w:r>
            <w:r w:rsidR="005E3609" w:rsidRPr="00372CEF">
              <w:rPr>
                <w:sz w:val="20"/>
                <w:szCs w:val="20"/>
              </w:rPr>
              <w:t>nteroperability</w:t>
            </w:r>
          </w:p>
        </w:tc>
        <w:tc>
          <w:tcPr>
            <w:tcW w:w="2410" w:type="dxa"/>
          </w:tcPr>
          <w:p w:rsidR="009F2731" w:rsidRPr="00372CEF" w:rsidRDefault="005E3609">
            <w:pPr>
              <w:rPr>
                <w:sz w:val="20"/>
                <w:szCs w:val="20"/>
              </w:rPr>
            </w:pPr>
            <w:r w:rsidRPr="00372CEF">
              <w:rPr>
                <w:sz w:val="20"/>
                <w:szCs w:val="20"/>
              </w:rPr>
              <w:t>Harmonise standards, minimise regulation, economies of scale</w:t>
            </w:r>
          </w:p>
        </w:tc>
        <w:tc>
          <w:tcPr>
            <w:tcW w:w="2656" w:type="dxa"/>
          </w:tcPr>
          <w:p w:rsidR="009F2731" w:rsidRPr="00372CEF" w:rsidRDefault="005E3609">
            <w:pPr>
              <w:rPr>
                <w:sz w:val="20"/>
                <w:szCs w:val="20"/>
              </w:rPr>
            </w:pPr>
            <w:r w:rsidRPr="00372CEF">
              <w:rPr>
                <w:sz w:val="20"/>
                <w:szCs w:val="20"/>
              </w:rPr>
              <w:t>Harmonise regulation</w:t>
            </w:r>
            <w:r w:rsidR="00B177EB">
              <w:rPr>
                <w:sz w:val="20"/>
                <w:szCs w:val="20"/>
              </w:rPr>
              <w:t>, rolling stock manufacturing standards</w:t>
            </w:r>
          </w:p>
        </w:tc>
        <w:tc>
          <w:tcPr>
            <w:tcW w:w="2254" w:type="dxa"/>
          </w:tcPr>
          <w:p w:rsidR="009F2731" w:rsidRPr="00372CEF" w:rsidRDefault="005E3609">
            <w:pPr>
              <w:rPr>
                <w:sz w:val="20"/>
                <w:szCs w:val="20"/>
              </w:rPr>
            </w:pPr>
            <w:r w:rsidRPr="00372CEF">
              <w:rPr>
                <w:sz w:val="20"/>
                <w:szCs w:val="20"/>
              </w:rPr>
              <w:t>Gauge and operational standardisation</w:t>
            </w:r>
          </w:p>
        </w:tc>
      </w:tr>
      <w:tr w:rsidR="00237452" w:rsidTr="00854451">
        <w:tc>
          <w:tcPr>
            <w:tcW w:w="1696" w:type="dxa"/>
          </w:tcPr>
          <w:p w:rsidR="00237452" w:rsidRPr="00372CEF" w:rsidRDefault="00237452">
            <w:pPr>
              <w:rPr>
                <w:sz w:val="20"/>
                <w:szCs w:val="20"/>
              </w:rPr>
            </w:pPr>
            <w:r w:rsidRPr="00372CEF">
              <w:rPr>
                <w:sz w:val="20"/>
                <w:szCs w:val="20"/>
              </w:rPr>
              <w:t>Neutrality with competing roads</w:t>
            </w:r>
          </w:p>
        </w:tc>
        <w:tc>
          <w:tcPr>
            <w:tcW w:w="2410" w:type="dxa"/>
          </w:tcPr>
          <w:p w:rsidR="00237452" w:rsidRPr="00372CEF" w:rsidRDefault="00B177EB">
            <w:pPr>
              <w:rPr>
                <w:sz w:val="20"/>
                <w:szCs w:val="20"/>
              </w:rPr>
            </w:pPr>
            <w:r>
              <w:rPr>
                <w:sz w:val="20"/>
                <w:szCs w:val="20"/>
              </w:rPr>
              <w:t>Road ‘pricing</w:t>
            </w:r>
            <w:r w:rsidR="00A02956">
              <w:rPr>
                <w:sz w:val="20"/>
                <w:szCs w:val="20"/>
              </w:rPr>
              <w:t>’</w:t>
            </w:r>
          </w:p>
        </w:tc>
        <w:tc>
          <w:tcPr>
            <w:tcW w:w="2656" w:type="dxa"/>
          </w:tcPr>
          <w:p w:rsidR="00237452" w:rsidRPr="00372CEF" w:rsidRDefault="00B177EB">
            <w:pPr>
              <w:rPr>
                <w:sz w:val="20"/>
                <w:szCs w:val="20"/>
              </w:rPr>
            </w:pPr>
            <w:r>
              <w:rPr>
                <w:sz w:val="20"/>
                <w:szCs w:val="20"/>
              </w:rPr>
              <w:t>Consider the case for broad land transport market ‘reform’</w:t>
            </w:r>
          </w:p>
        </w:tc>
        <w:tc>
          <w:tcPr>
            <w:tcW w:w="2254" w:type="dxa"/>
          </w:tcPr>
          <w:p w:rsidR="00237452" w:rsidRPr="00372CEF" w:rsidRDefault="00237452">
            <w:pPr>
              <w:rPr>
                <w:sz w:val="20"/>
                <w:szCs w:val="20"/>
              </w:rPr>
            </w:pPr>
            <w:r w:rsidRPr="00372CEF">
              <w:rPr>
                <w:sz w:val="20"/>
                <w:szCs w:val="20"/>
              </w:rPr>
              <w:t xml:space="preserve">Cost reflective </w:t>
            </w:r>
            <w:r w:rsidR="00854451">
              <w:rPr>
                <w:sz w:val="20"/>
                <w:szCs w:val="20"/>
              </w:rPr>
              <w:t>charges</w:t>
            </w:r>
            <w:r w:rsidRPr="00372CEF">
              <w:rPr>
                <w:sz w:val="20"/>
                <w:szCs w:val="20"/>
              </w:rPr>
              <w:t xml:space="preserve"> for roads that compete with rail</w:t>
            </w:r>
          </w:p>
        </w:tc>
      </w:tr>
      <w:tr w:rsidR="009F2731" w:rsidTr="00854451">
        <w:tc>
          <w:tcPr>
            <w:tcW w:w="1696" w:type="dxa"/>
          </w:tcPr>
          <w:p w:rsidR="009F2731" w:rsidRPr="00372CEF" w:rsidRDefault="005E3609">
            <w:pPr>
              <w:rPr>
                <w:sz w:val="20"/>
                <w:szCs w:val="20"/>
              </w:rPr>
            </w:pPr>
            <w:r w:rsidRPr="00372CEF">
              <w:rPr>
                <w:sz w:val="20"/>
                <w:szCs w:val="20"/>
              </w:rPr>
              <w:t>Industry development</w:t>
            </w:r>
            <w:r w:rsidR="00A02956">
              <w:rPr>
                <w:sz w:val="20"/>
                <w:szCs w:val="20"/>
              </w:rPr>
              <w:t xml:space="preserve"> (b)</w:t>
            </w:r>
          </w:p>
        </w:tc>
        <w:tc>
          <w:tcPr>
            <w:tcW w:w="2410" w:type="dxa"/>
          </w:tcPr>
          <w:p w:rsidR="009F2731" w:rsidRPr="00372CEF" w:rsidRDefault="005E3609">
            <w:pPr>
              <w:rPr>
                <w:sz w:val="20"/>
                <w:szCs w:val="20"/>
              </w:rPr>
            </w:pPr>
            <w:r w:rsidRPr="00372CEF">
              <w:rPr>
                <w:sz w:val="20"/>
                <w:szCs w:val="20"/>
              </w:rPr>
              <w:t>Grow capabilities of individuals and companies</w:t>
            </w:r>
          </w:p>
        </w:tc>
        <w:tc>
          <w:tcPr>
            <w:tcW w:w="2656" w:type="dxa"/>
          </w:tcPr>
          <w:p w:rsidR="009F2731" w:rsidRPr="00372CEF" w:rsidRDefault="005E3609">
            <w:pPr>
              <w:rPr>
                <w:sz w:val="20"/>
                <w:szCs w:val="20"/>
              </w:rPr>
            </w:pPr>
            <w:r w:rsidRPr="00372CEF">
              <w:rPr>
                <w:sz w:val="20"/>
                <w:szCs w:val="20"/>
              </w:rPr>
              <w:t>-</w:t>
            </w:r>
          </w:p>
        </w:tc>
        <w:tc>
          <w:tcPr>
            <w:tcW w:w="2254" w:type="dxa"/>
          </w:tcPr>
          <w:p w:rsidR="009F2731" w:rsidRPr="00372CEF" w:rsidRDefault="00B177EB">
            <w:pPr>
              <w:rPr>
                <w:sz w:val="20"/>
                <w:szCs w:val="20"/>
              </w:rPr>
            </w:pPr>
            <w:r>
              <w:rPr>
                <w:sz w:val="20"/>
                <w:szCs w:val="20"/>
              </w:rPr>
              <w:t>-</w:t>
            </w:r>
          </w:p>
        </w:tc>
      </w:tr>
      <w:tr w:rsidR="009F2731" w:rsidTr="00854451">
        <w:tc>
          <w:tcPr>
            <w:tcW w:w="1696" w:type="dxa"/>
          </w:tcPr>
          <w:p w:rsidR="009F2731" w:rsidRPr="00372CEF" w:rsidRDefault="005E3609">
            <w:pPr>
              <w:rPr>
                <w:sz w:val="20"/>
                <w:szCs w:val="20"/>
              </w:rPr>
            </w:pPr>
            <w:r w:rsidRPr="00372CEF">
              <w:rPr>
                <w:sz w:val="20"/>
                <w:szCs w:val="20"/>
              </w:rPr>
              <w:t>Work</w:t>
            </w:r>
            <w:r w:rsidR="00A02956">
              <w:rPr>
                <w:sz w:val="20"/>
                <w:szCs w:val="20"/>
              </w:rPr>
              <w:t xml:space="preserve"> (b)</w:t>
            </w:r>
          </w:p>
        </w:tc>
        <w:tc>
          <w:tcPr>
            <w:tcW w:w="2410" w:type="dxa"/>
          </w:tcPr>
          <w:p w:rsidR="009F2731" w:rsidRPr="00372CEF" w:rsidRDefault="005E3609">
            <w:pPr>
              <w:rPr>
                <w:sz w:val="20"/>
                <w:szCs w:val="20"/>
              </w:rPr>
            </w:pPr>
            <w:r w:rsidRPr="00372CEF">
              <w:rPr>
                <w:sz w:val="20"/>
                <w:szCs w:val="20"/>
              </w:rPr>
              <w:t>Maximise opportunities for rail companies</w:t>
            </w:r>
          </w:p>
        </w:tc>
        <w:tc>
          <w:tcPr>
            <w:tcW w:w="2656" w:type="dxa"/>
          </w:tcPr>
          <w:p w:rsidR="009F2731" w:rsidRPr="00372CEF" w:rsidRDefault="005E3609">
            <w:pPr>
              <w:rPr>
                <w:sz w:val="20"/>
                <w:szCs w:val="20"/>
              </w:rPr>
            </w:pPr>
            <w:r w:rsidRPr="00372CEF">
              <w:rPr>
                <w:sz w:val="20"/>
                <w:szCs w:val="20"/>
              </w:rPr>
              <w:t>-</w:t>
            </w:r>
          </w:p>
        </w:tc>
        <w:tc>
          <w:tcPr>
            <w:tcW w:w="2254" w:type="dxa"/>
          </w:tcPr>
          <w:p w:rsidR="009F2731" w:rsidRPr="00372CEF" w:rsidRDefault="00B177EB">
            <w:pPr>
              <w:rPr>
                <w:sz w:val="20"/>
                <w:szCs w:val="20"/>
              </w:rPr>
            </w:pPr>
            <w:r>
              <w:rPr>
                <w:sz w:val="20"/>
                <w:szCs w:val="20"/>
              </w:rPr>
              <w:t>-</w:t>
            </w:r>
          </w:p>
        </w:tc>
      </w:tr>
      <w:tr w:rsidR="009F2731" w:rsidTr="00854451">
        <w:tc>
          <w:tcPr>
            <w:tcW w:w="1696" w:type="dxa"/>
          </w:tcPr>
          <w:p w:rsidR="009F2731" w:rsidRPr="00372CEF" w:rsidRDefault="002B3CE8">
            <w:pPr>
              <w:rPr>
                <w:sz w:val="20"/>
                <w:szCs w:val="20"/>
              </w:rPr>
            </w:pPr>
            <w:r w:rsidRPr="00372CEF">
              <w:rPr>
                <w:sz w:val="20"/>
                <w:szCs w:val="20"/>
              </w:rPr>
              <w:t>Resea</w:t>
            </w:r>
            <w:r w:rsidR="00DD0F29" w:rsidRPr="00372CEF">
              <w:rPr>
                <w:sz w:val="20"/>
                <w:szCs w:val="20"/>
              </w:rPr>
              <w:t>r</w:t>
            </w:r>
            <w:r w:rsidRPr="00372CEF">
              <w:rPr>
                <w:sz w:val="20"/>
                <w:szCs w:val="20"/>
              </w:rPr>
              <w:t>ch</w:t>
            </w:r>
            <w:r w:rsidR="00A02956">
              <w:rPr>
                <w:sz w:val="20"/>
                <w:szCs w:val="20"/>
              </w:rPr>
              <w:t xml:space="preserve"> (b)</w:t>
            </w:r>
          </w:p>
        </w:tc>
        <w:tc>
          <w:tcPr>
            <w:tcW w:w="2410" w:type="dxa"/>
          </w:tcPr>
          <w:p w:rsidR="009F2731" w:rsidRPr="00372CEF" w:rsidRDefault="002B3CE8">
            <w:pPr>
              <w:rPr>
                <w:sz w:val="20"/>
                <w:szCs w:val="20"/>
              </w:rPr>
            </w:pPr>
            <w:r w:rsidRPr="00372CEF">
              <w:rPr>
                <w:sz w:val="20"/>
                <w:szCs w:val="20"/>
              </w:rPr>
              <w:t>Foster innovation, research and development</w:t>
            </w:r>
          </w:p>
        </w:tc>
        <w:tc>
          <w:tcPr>
            <w:tcW w:w="2656" w:type="dxa"/>
          </w:tcPr>
          <w:p w:rsidR="009F2731" w:rsidRPr="00372CEF" w:rsidRDefault="00B177EB">
            <w:pPr>
              <w:rPr>
                <w:sz w:val="20"/>
                <w:szCs w:val="20"/>
              </w:rPr>
            </w:pPr>
            <w:r>
              <w:rPr>
                <w:sz w:val="20"/>
                <w:szCs w:val="20"/>
              </w:rPr>
              <w:t>Maximise benefits of intelligent transport systems</w:t>
            </w:r>
          </w:p>
        </w:tc>
        <w:tc>
          <w:tcPr>
            <w:tcW w:w="2254" w:type="dxa"/>
          </w:tcPr>
          <w:p w:rsidR="009F2731" w:rsidRPr="00372CEF" w:rsidRDefault="00B177EB">
            <w:pPr>
              <w:rPr>
                <w:sz w:val="20"/>
                <w:szCs w:val="20"/>
              </w:rPr>
            </w:pPr>
            <w:r>
              <w:rPr>
                <w:sz w:val="20"/>
                <w:szCs w:val="20"/>
              </w:rPr>
              <w:t>-</w:t>
            </w:r>
          </w:p>
        </w:tc>
      </w:tr>
    </w:tbl>
    <w:p w:rsidR="0084654E" w:rsidRDefault="00B177EB" w:rsidP="00B177EB">
      <w:pPr>
        <w:pStyle w:val="ListParagraph"/>
        <w:numPr>
          <w:ilvl w:val="0"/>
          <w:numId w:val="1"/>
        </w:numPr>
        <w:rPr>
          <w:sz w:val="18"/>
          <w:szCs w:val="18"/>
        </w:rPr>
      </w:pPr>
      <w:r>
        <w:rPr>
          <w:sz w:val="18"/>
          <w:szCs w:val="18"/>
        </w:rPr>
        <w:t xml:space="preserve">From the ‘work program’ of the national rail ‘vision’ </w:t>
      </w:r>
      <w:hyperlink r:id="rId8" w:history="1">
        <w:r w:rsidRPr="00A72CD6">
          <w:rPr>
            <w:rStyle w:val="Hyperlink"/>
            <w:sz w:val="18"/>
            <w:szCs w:val="18"/>
          </w:rPr>
          <w:t>http://transportinfrastructurecouncil.gov.au/publications/files/National_rail_vision_and_work_program.pdf</w:t>
        </w:r>
      </w:hyperlink>
    </w:p>
    <w:p w:rsidR="00746D1D" w:rsidRDefault="002B3CE8" w:rsidP="002B3CE8">
      <w:pPr>
        <w:pStyle w:val="ListParagraph"/>
        <w:numPr>
          <w:ilvl w:val="0"/>
          <w:numId w:val="1"/>
        </w:numPr>
        <w:rPr>
          <w:sz w:val="18"/>
          <w:szCs w:val="18"/>
        </w:rPr>
      </w:pPr>
      <w:r w:rsidRPr="00DD0F29">
        <w:rPr>
          <w:sz w:val="18"/>
          <w:szCs w:val="18"/>
        </w:rPr>
        <w:t xml:space="preserve">These are questions for other policy fields such as industry policy, innovation and skill development.  </w:t>
      </w:r>
      <w:r w:rsidR="0056062C" w:rsidRPr="00DD0F29">
        <w:rPr>
          <w:sz w:val="18"/>
          <w:szCs w:val="18"/>
        </w:rPr>
        <w:t xml:space="preserve">They should not </w:t>
      </w:r>
      <w:r w:rsidR="00A02956">
        <w:rPr>
          <w:sz w:val="18"/>
          <w:szCs w:val="18"/>
        </w:rPr>
        <w:t>impede</w:t>
      </w:r>
      <w:r w:rsidR="0056062C" w:rsidRPr="00DD0F29">
        <w:rPr>
          <w:sz w:val="18"/>
          <w:szCs w:val="18"/>
        </w:rPr>
        <w:t xml:space="preserve"> proper </w:t>
      </w:r>
      <w:r w:rsidR="00A02956">
        <w:rPr>
          <w:sz w:val="18"/>
          <w:szCs w:val="18"/>
        </w:rPr>
        <w:t xml:space="preserve">rail </w:t>
      </w:r>
      <w:r w:rsidR="0056062C" w:rsidRPr="00DD0F29">
        <w:rPr>
          <w:sz w:val="18"/>
          <w:szCs w:val="18"/>
        </w:rPr>
        <w:t>policy matters</w:t>
      </w:r>
      <w:r w:rsidR="00A02956">
        <w:rPr>
          <w:sz w:val="18"/>
          <w:szCs w:val="18"/>
        </w:rPr>
        <w:t xml:space="preserve"> but should result from these or more general policies such as industrial policy, skills development and innovation policy</w:t>
      </w:r>
      <w:r w:rsidR="0056062C" w:rsidRPr="00DD0F29">
        <w:rPr>
          <w:sz w:val="18"/>
          <w:szCs w:val="18"/>
        </w:rPr>
        <w:t>.</w:t>
      </w:r>
    </w:p>
    <w:p w:rsidR="00A02956" w:rsidRPr="00854451" w:rsidRDefault="00A02956" w:rsidP="00854451">
      <w:pPr>
        <w:ind w:left="360"/>
        <w:rPr>
          <w:sz w:val="18"/>
          <w:szCs w:val="18"/>
        </w:rPr>
      </w:pPr>
    </w:p>
    <w:p w:rsidR="00746D1D" w:rsidRDefault="0056062C">
      <w:r>
        <w:t>There is a clear and increasingly stubborn difference between these views.</w:t>
      </w:r>
    </w:p>
    <w:p w:rsidR="00237452" w:rsidRDefault="00631E9F">
      <w:r>
        <w:t xml:space="preserve">While not </w:t>
      </w:r>
      <w:r w:rsidR="00A02956">
        <w:t>congruent with the Australian federation’s rail purposes and missing the point about road charging</w:t>
      </w:r>
      <w:r>
        <w:t>, t</w:t>
      </w:r>
      <w:r w:rsidR="0056062C">
        <w:t xml:space="preserve">he </w:t>
      </w:r>
      <w:r w:rsidR="00DD0F29">
        <w:t>Association</w:t>
      </w:r>
      <w:r w:rsidR="00237452">
        <w:t>’</w:t>
      </w:r>
      <w:r w:rsidR="00DD0F29">
        <w:t xml:space="preserve">s views are </w:t>
      </w:r>
      <w:r w:rsidR="00237452">
        <w:t xml:space="preserve">almost </w:t>
      </w:r>
      <w:r w:rsidR="00D8456D">
        <w:t>expected</w:t>
      </w:r>
      <w:r w:rsidR="00DD0F29">
        <w:t xml:space="preserve">.  </w:t>
      </w:r>
    </w:p>
    <w:p w:rsidR="00854451" w:rsidRDefault="00DD0F29">
      <w:r>
        <w:t>Association members include those with interests in preserving the status quo of gauge breaks</w:t>
      </w:r>
      <w:r w:rsidR="00237452">
        <w:t>; in preventing interoperability</w:t>
      </w:r>
      <w:r>
        <w:t xml:space="preserve">.  </w:t>
      </w:r>
    </w:p>
    <w:p w:rsidR="00237452" w:rsidRDefault="00DD0F29">
      <w:r>
        <w:t xml:space="preserve">Gauge etc. breaks </w:t>
      </w:r>
      <w:r w:rsidR="00237452">
        <w:t xml:space="preserve">are </w:t>
      </w:r>
      <w:r w:rsidR="00A02956">
        <w:t>a residual form of colonial protectionism that Australia’s federation aimed to eliminate</w:t>
      </w:r>
      <w:r w:rsidR="00237452">
        <w:t>.</w:t>
      </w:r>
      <w:r w:rsidR="00C272E4">
        <w:t xml:space="preserve">  </w:t>
      </w:r>
      <w:r w:rsidR="00A02956">
        <w:t xml:space="preserve">They are anti-competitive and a source of monopoly power.  </w:t>
      </w:r>
      <w:r w:rsidR="00237452">
        <w:t>They create</w:t>
      </w:r>
      <w:r>
        <w:t xml:space="preserve"> economic rents – unearned incomes – at </w:t>
      </w:r>
      <w:r w:rsidR="00237452">
        <w:t>locations where the gauge changes.  They also cause significant national deadweight losses</w:t>
      </w:r>
      <w:r w:rsidR="00631E9F">
        <w:t>, borne by people outside the industry</w:t>
      </w:r>
      <w:r w:rsidR="00237452">
        <w:t>.</w:t>
      </w:r>
      <w:r w:rsidR="00237452">
        <w:rPr>
          <w:rStyle w:val="EndnoteReference"/>
        </w:rPr>
        <w:endnoteReference w:id="2"/>
      </w:r>
    </w:p>
    <w:p w:rsidR="00C272E4" w:rsidRDefault="008620C2">
      <w:r>
        <w:t>S</w:t>
      </w:r>
      <w:r w:rsidR="00854451">
        <w:t>tates</w:t>
      </w:r>
      <w:r w:rsidR="00C272E4">
        <w:t xml:space="preserve"> </w:t>
      </w:r>
      <w:r>
        <w:t xml:space="preserve">als </w:t>
      </w:r>
      <w:r w:rsidR="00C272E4">
        <w:t xml:space="preserve">have no interest in standardisation.  As the saying goes: ‘turkeys don’t vote for Xmas’.  </w:t>
      </w:r>
    </w:p>
    <w:p w:rsidR="00237452" w:rsidRDefault="00237452">
      <w:r>
        <w:lastRenderedPageBreak/>
        <w:t xml:space="preserve">The Association’s </w:t>
      </w:r>
      <w:r w:rsidR="00854451">
        <w:t>missing the mark on</w:t>
      </w:r>
      <w:r>
        <w:t xml:space="preserve"> competitive road charging may </w:t>
      </w:r>
      <w:r w:rsidR="00631E9F">
        <w:t xml:space="preserve">arise from a </w:t>
      </w:r>
      <w:r>
        <w:t xml:space="preserve">wish to </w:t>
      </w:r>
      <w:r w:rsidR="00631E9F">
        <w:t xml:space="preserve">not </w:t>
      </w:r>
      <w:r w:rsidR="00A02956">
        <w:t>offend</w:t>
      </w:r>
      <w:r>
        <w:t xml:space="preserve"> </w:t>
      </w:r>
      <w:r w:rsidR="00631E9F">
        <w:t xml:space="preserve">the </w:t>
      </w:r>
      <w:r>
        <w:t xml:space="preserve">officials who continue to ignore if not suppress the </w:t>
      </w:r>
      <w:r w:rsidR="00A02956">
        <w:t>key issue; cost reflectivity where it matters – where road and rail modes compete</w:t>
      </w:r>
      <w:r>
        <w:t xml:space="preserve">.  </w:t>
      </w:r>
      <w:r w:rsidR="00854451">
        <w:t>The official search for the golden reef of universal road pricing entails a certain nobility, as well as Lasseter like futility.  The Association’</w:t>
      </w:r>
      <w:r w:rsidR="00C272E4">
        <w:t>s attitude to ‘the debate’</w:t>
      </w:r>
      <w:r>
        <w:t xml:space="preserve"> </w:t>
      </w:r>
      <w:r w:rsidR="00854451">
        <w:t>is</w:t>
      </w:r>
      <w:r>
        <w:t xml:space="preserve"> understandable</w:t>
      </w:r>
      <w:r w:rsidR="00854451">
        <w:t xml:space="preserve">; as a lobby group it would prefer </w:t>
      </w:r>
      <w:r>
        <w:t>to stay ‘inside the tent’.</w:t>
      </w:r>
      <w:r>
        <w:rPr>
          <w:rStyle w:val="EndnoteReference"/>
        </w:rPr>
        <w:endnoteReference w:id="3"/>
      </w:r>
    </w:p>
    <w:p w:rsidR="00631E9F" w:rsidRDefault="00237452">
      <w:r>
        <w:t>The</w:t>
      </w:r>
      <w:r w:rsidR="00DD0F29">
        <w:t xml:space="preserve"> </w:t>
      </w:r>
      <w:r w:rsidR="0056062C">
        <w:t>Commonwealth</w:t>
      </w:r>
      <w:r>
        <w:t xml:space="preserve"> has no such excuses.  Its position borders on negligence of both economic and Constitutional imperatives.  </w:t>
      </w:r>
    </w:p>
    <w:p w:rsidR="003763B4" w:rsidRDefault="00237452">
      <w:r>
        <w:t xml:space="preserve">Its </w:t>
      </w:r>
      <w:r w:rsidR="00854451">
        <w:t xml:space="preserve">total </w:t>
      </w:r>
      <w:r>
        <w:t>‘reliance’ on industry members to promote harmonisation if not a sign of bad faith is breathtakingly stupid.</w:t>
      </w:r>
      <w:r w:rsidR="00854451">
        <w:t xml:space="preserve">  Mr Taig migh</w:t>
      </w:r>
      <w:r w:rsidR="00A24B68">
        <w:t>t have been too polite to say this, but he did point out the need for the Government to drive harmonisation</w:t>
      </w:r>
      <w:r w:rsidR="00CF5AF7">
        <w:t xml:space="preserve"> rather than rely entirely on </w:t>
      </w:r>
      <w:r w:rsidR="00CF5AF7" w:rsidRPr="00CF5AF7">
        <w:rPr>
          <w:i/>
        </w:rPr>
        <w:t>‘highly autonomous individual cottage industries’</w:t>
      </w:r>
      <w:r w:rsidR="00A24B68">
        <w:t>.</w:t>
      </w:r>
      <w:r w:rsidR="00B27596">
        <w:rPr>
          <w:rStyle w:val="EndnoteReference"/>
        </w:rPr>
        <w:endnoteReference w:id="4"/>
      </w:r>
      <w:r>
        <w:t xml:space="preserve">  </w:t>
      </w:r>
    </w:p>
    <w:p w:rsidR="0056062C" w:rsidRDefault="00A24B68">
      <w:r>
        <w:t>The Commonwealth and Ministerial Council’s</w:t>
      </w:r>
      <w:r w:rsidR="0056062C">
        <w:t xml:space="preserve"> </w:t>
      </w:r>
      <w:r w:rsidR="00303479">
        <w:t>app</w:t>
      </w:r>
      <w:r w:rsidR="0053108B">
        <w:t>arent</w:t>
      </w:r>
      <w:r w:rsidR="00303479">
        <w:t xml:space="preserve"> focus on</w:t>
      </w:r>
      <w:r w:rsidR="00C272E4">
        <w:t xml:space="preserve"> trivial, </w:t>
      </w:r>
      <w:r w:rsidR="00DD0F29">
        <w:t xml:space="preserve">transient matters </w:t>
      </w:r>
      <w:r w:rsidR="0053108B">
        <w:t xml:space="preserve">seems to be </w:t>
      </w:r>
      <w:r w:rsidR="00237452">
        <w:t xml:space="preserve">a distraction </w:t>
      </w:r>
      <w:r w:rsidR="00B60574">
        <w:t xml:space="preserve">that </w:t>
      </w:r>
      <w:r w:rsidR="00854451">
        <w:t xml:space="preserve">at </w:t>
      </w:r>
      <w:r>
        <w:t xml:space="preserve">its </w:t>
      </w:r>
      <w:r w:rsidR="00854451">
        <w:t xml:space="preserve">best </w:t>
      </w:r>
      <w:r w:rsidR="00B60574">
        <w:t>supports short-term commercial</w:t>
      </w:r>
      <w:r w:rsidR="00DD0F29">
        <w:t xml:space="preserve"> interests</w:t>
      </w:r>
      <w:r w:rsidR="00237452">
        <w:t xml:space="preserve"> in the trucking and rail freight industries</w:t>
      </w:r>
      <w:r w:rsidR="00DD0F29">
        <w:t>.</w:t>
      </w:r>
      <w:r w:rsidR="0056062C">
        <w:t xml:space="preserve">  </w:t>
      </w:r>
    </w:p>
    <w:p w:rsidR="00CE1B1B" w:rsidRDefault="0056062C" w:rsidP="0056062C">
      <w:r>
        <w:t xml:space="preserve">The </w:t>
      </w:r>
      <w:r w:rsidR="00A24B68">
        <w:t xml:space="preserve">Australasian Railways </w:t>
      </w:r>
      <w:r>
        <w:t xml:space="preserve">Association wants to excite young people to join the industry.  </w:t>
      </w:r>
      <w:r w:rsidR="00F909EE">
        <w:t xml:space="preserve">Such </w:t>
      </w:r>
      <w:r>
        <w:t xml:space="preserve">excitement </w:t>
      </w:r>
      <w:r w:rsidR="00F909EE">
        <w:t xml:space="preserve">needs </w:t>
      </w:r>
      <w:r>
        <w:t xml:space="preserve">a firm foundation </w:t>
      </w:r>
      <w:r w:rsidR="00F909EE">
        <w:t xml:space="preserve">to avoid being a mere </w:t>
      </w:r>
      <w:r>
        <w:t>fad.</w:t>
      </w:r>
      <w:r w:rsidR="00CC6B19">
        <w:t xml:space="preserve">  </w:t>
      </w:r>
    </w:p>
    <w:p w:rsidR="0056062C" w:rsidRDefault="00CC6B19" w:rsidP="0056062C">
      <w:r>
        <w:t>The</w:t>
      </w:r>
      <w:r w:rsidR="00CE1B1B">
        <w:t xml:space="preserve"> Association</w:t>
      </w:r>
      <w:r w:rsidR="00303479">
        <w:t xml:space="preserve"> </w:t>
      </w:r>
      <w:r w:rsidR="008620C2">
        <w:t>needs to set out</w:t>
      </w:r>
      <w:r w:rsidR="00303479">
        <w:t xml:space="preserve"> a Constitutional basis for it</w:t>
      </w:r>
      <w:r w:rsidR="00CE1B1B">
        <w:t>’</w:t>
      </w:r>
      <w:r>
        <w:t>s position</w:t>
      </w:r>
      <w:r w:rsidR="008620C2">
        <w:t xml:space="preserve"> and then</w:t>
      </w:r>
      <w:r>
        <w:t xml:space="preserve"> argu</w:t>
      </w:r>
      <w:r w:rsidR="008620C2">
        <w:t>e</w:t>
      </w:r>
      <w:r>
        <w:t xml:space="preserve"> for proper Commonwealth responsibility.  Unless </w:t>
      </w:r>
      <w:r w:rsidR="008620C2">
        <w:t>it does so</w:t>
      </w:r>
      <w:r>
        <w:t xml:space="preserve"> it will be abetting a national wrong; hardly the type of thing to attract </w:t>
      </w:r>
      <w:r w:rsidR="00631E9F">
        <w:t>idealistic and principled young people</w:t>
      </w:r>
      <w:r>
        <w:t>.</w:t>
      </w:r>
      <w:r w:rsidR="008620C2">
        <w:rPr>
          <w:rStyle w:val="EndnoteReference"/>
        </w:rPr>
        <w:endnoteReference w:id="5"/>
      </w:r>
      <w:r>
        <w:t xml:space="preserve"> </w:t>
      </w:r>
    </w:p>
    <w:p w:rsidR="0056062C" w:rsidRDefault="0056062C">
      <w:r>
        <w:t xml:space="preserve">Until </w:t>
      </w:r>
      <w:r w:rsidR="0053108B">
        <w:t>it</w:t>
      </w:r>
      <w:r w:rsidR="00631E9F">
        <w:t xml:space="preserve"> pursues Commonwealth implement</w:t>
      </w:r>
      <w:r w:rsidR="00F909EE">
        <w:t xml:space="preserve">ation of </w:t>
      </w:r>
      <w:r>
        <w:t>Constitution</w:t>
      </w:r>
      <w:r w:rsidR="00F909EE">
        <w:t>al intention</w:t>
      </w:r>
      <w:r w:rsidR="00D8456D">
        <w:t>s,</w:t>
      </w:r>
      <w:r>
        <w:t xml:space="preserve"> </w:t>
      </w:r>
      <w:r w:rsidR="0053108B">
        <w:t xml:space="preserve">the Association’s plan </w:t>
      </w:r>
      <w:r>
        <w:t xml:space="preserve">like other things </w:t>
      </w:r>
      <w:r w:rsidR="00631E9F">
        <w:t xml:space="preserve">– including previous attempts at national </w:t>
      </w:r>
      <w:r w:rsidR="00A614DB">
        <w:t xml:space="preserve">transport </w:t>
      </w:r>
      <w:r w:rsidR="00631E9F">
        <w:t xml:space="preserve">policies </w:t>
      </w:r>
      <w:r w:rsidR="00F909EE">
        <w:t>–</w:t>
      </w:r>
      <w:r w:rsidR="00631E9F">
        <w:t xml:space="preserve"> </w:t>
      </w:r>
      <w:r>
        <w:t xml:space="preserve"> </w:t>
      </w:r>
      <w:r w:rsidR="00D07603">
        <w:t>is doomed to</w:t>
      </w:r>
      <w:r>
        <w:t xml:space="preserve"> </w:t>
      </w:r>
      <w:r w:rsidR="00303479">
        <w:t xml:space="preserve">quickly </w:t>
      </w:r>
      <w:r>
        <w:t>pass.</w:t>
      </w:r>
      <w:r w:rsidR="00D07603">
        <w:t xml:space="preserve">  No matter how </w:t>
      </w:r>
      <w:r w:rsidR="00B60574">
        <w:t xml:space="preserve">engaged </w:t>
      </w:r>
      <w:r w:rsidR="00C272E4">
        <w:t xml:space="preserve">some </w:t>
      </w:r>
      <w:r w:rsidR="00B60574">
        <w:t xml:space="preserve">politicians </w:t>
      </w:r>
      <w:r w:rsidR="00C272E4">
        <w:t xml:space="preserve">currently </w:t>
      </w:r>
      <w:r w:rsidR="00B60574">
        <w:t>profess to be</w:t>
      </w:r>
      <w:r w:rsidR="00C272E4">
        <w:t>,</w:t>
      </w:r>
      <w:r w:rsidR="00B60574">
        <w:t xml:space="preserve"> or how </w:t>
      </w:r>
      <w:r w:rsidR="00D07603">
        <w:t>intricate ‘the process’ from here.</w:t>
      </w:r>
      <w:r w:rsidR="00C272E4">
        <w:t xml:space="preserve">  </w:t>
      </w:r>
    </w:p>
    <w:p w:rsidR="008620C2" w:rsidRDefault="008620C2">
      <w:r>
        <w:t>Speaking of which, the other article on this page is a submission to the latest Commonwealth Parliamentary inquiry into rail.</w:t>
      </w:r>
      <w:bookmarkStart w:id="0" w:name="_GoBack"/>
      <w:bookmarkEnd w:id="0"/>
    </w:p>
    <w:p w:rsidR="0056062C" w:rsidRDefault="0056062C"/>
    <w:p w:rsidR="0056062C" w:rsidRDefault="0056062C">
      <w:r>
        <w:t>J Austen</w:t>
      </w:r>
    </w:p>
    <w:p w:rsidR="0056062C" w:rsidRDefault="00C272E4">
      <w:r>
        <w:t xml:space="preserve">15 </w:t>
      </w:r>
      <w:r w:rsidR="0056062C">
        <w:t xml:space="preserve">September 2017 </w:t>
      </w:r>
    </w:p>
    <w:sectPr w:rsidR="0056062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D0C" w:rsidRDefault="000A3D0C" w:rsidP="00746D1D">
      <w:pPr>
        <w:spacing w:after="0" w:line="240" w:lineRule="auto"/>
      </w:pPr>
      <w:r>
        <w:separator/>
      </w:r>
    </w:p>
  </w:endnote>
  <w:endnote w:type="continuationSeparator" w:id="0">
    <w:p w:rsidR="000A3D0C" w:rsidRDefault="000A3D0C" w:rsidP="00746D1D">
      <w:pPr>
        <w:spacing w:after="0" w:line="240" w:lineRule="auto"/>
      </w:pPr>
      <w:r>
        <w:continuationSeparator/>
      </w:r>
    </w:p>
  </w:endnote>
  <w:endnote w:id="1">
    <w:p w:rsidR="003763B4" w:rsidRDefault="003763B4">
      <w:pPr>
        <w:pStyle w:val="EndnoteText"/>
      </w:pPr>
      <w:r>
        <w:rPr>
          <w:rStyle w:val="EndnoteReference"/>
        </w:rPr>
        <w:endnoteRef/>
      </w:r>
      <w:r>
        <w:t xml:space="preserve"> </w:t>
      </w:r>
      <w:hyperlink r:id="rId1" w:history="1">
        <w:r w:rsidRPr="00A72CD6">
          <w:rPr>
            <w:rStyle w:val="Hyperlink"/>
          </w:rPr>
          <w:t>https://ara.net.au/content/rail-delegation-takes-national-rail-industry-plan-parliament</w:t>
        </w:r>
      </w:hyperlink>
    </w:p>
    <w:p w:rsidR="003763B4" w:rsidRDefault="000A3D0C">
      <w:pPr>
        <w:pStyle w:val="EndnoteText"/>
      </w:pPr>
      <w:hyperlink r:id="rId2" w:history="1">
        <w:r w:rsidR="003763B4" w:rsidRPr="00A72CD6">
          <w:rPr>
            <w:rStyle w:val="Hyperlink"/>
          </w:rPr>
          <w:t>http://transportinfrastructurecouncil.gov.au/publications/files/National_rail_vision_and_work_program.pdf</w:t>
        </w:r>
      </w:hyperlink>
    </w:p>
    <w:p w:rsidR="003763B4" w:rsidRDefault="003763B4">
      <w:pPr>
        <w:pStyle w:val="EndnoteText"/>
      </w:pPr>
      <w:r>
        <w:t>plan</w:t>
      </w:r>
    </w:p>
    <w:p w:rsidR="00C272E4" w:rsidRDefault="00C272E4">
      <w:pPr>
        <w:pStyle w:val="EndnoteText"/>
      </w:pPr>
    </w:p>
  </w:endnote>
  <w:endnote w:id="2">
    <w:p w:rsidR="003763B4" w:rsidRDefault="003763B4">
      <w:pPr>
        <w:pStyle w:val="EndnoteText"/>
      </w:pPr>
      <w:r>
        <w:rPr>
          <w:rStyle w:val="EndnoteReference"/>
        </w:rPr>
        <w:endnoteRef/>
      </w:r>
      <w:r>
        <w:t xml:space="preserve"> Association members include rail service providers, manufacturers and suppliers </w:t>
      </w:r>
      <w:hyperlink r:id="rId3" w:history="1">
        <w:r w:rsidR="00C272E4" w:rsidRPr="00A72CD6">
          <w:rPr>
            <w:rStyle w:val="Hyperlink"/>
          </w:rPr>
          <w:t>https://ara.net.au/</w:t>
        </w:r>
      </w:hyperlink>
    </w:p>
    <w:p w:rsidR="00C272E4" w:rsidRDefault="00C272E4">
      <w:pPr>
        <w:pStyle w:val="EndnoteText"/>
      </w:pPr>
    </w:p>
  </w:endnote>
  <w:endnote w:id="3">
    <w:p w:rsidR="00C272E4" w:rsidRDefault="003763B4">
      <w:pPr>
        <w:pStyle w:val="EndnoteText"/>
      </w:pPr>
      <w:r>
        <w:rPr>
          <w:rStyle w:val="EndnoteReference"/>
        </w:rPr>
        <w:endnoteRef/>
      </w:r>
      <w:r>
        <w:t xml:space="preserve"> </w:t>
      </w:r>
      <w:r w:rsidR="00C272E4">
        <w:t>Road charging aims at economic cost recovery and thus is important to economic efficiency via cross modal neutrality; it is most relevant where roads and rail compete.</w:t>
      </w:r>
    </w:p>
    <w:p w:rsidR="00C272E4" w:rsidRDefault="00C272E4">
      <w:pPr>
        <w:pStyle w:val="EndnoteText"/>
      </w:pPr>
      <w:r>
        <w:t>Road pricing is a different matter; it aims to ‘clear’ the road use market at an economically optimum level, which is largely relevant only to places and times where road capacity is constrained, whether or not there is competition from railways.  The issue it aims to tackle is congestion.</w:t>
      </w:r>
    </w:p>
    <w:p w:rsidR="003763B4" w:rsidRDefault="00C272E4">
      <w:pPr>
        <w:pStyle w:val="EndnoteText"/>
      </w:pPr>
      <w:r>
        <w:t xml:space="preserve">See: </w:t>
      </w:r>
      <w:hyperlink r:id="rId4" w:history="1">
        <w:r w:rsidR="003763B4" w:rsidRPr="00A72CD6">
          <w:rPr>
            <w:rStyle w:val="Hyperlink"/>
          </w:rPr>
          <w:t>http://www.thejadebeagle.com/road-pricing.html</w:t>
        </w:r>
      </w:hyperlink>
      <w:r w:rsidR="003763B4">
        <w:t xml:space="preserve">  </w:t>
      </w:r>
      <w:hyperlink r:id="rId5" w:history="1">
        <w:r w:rsidR="003763B4" w:rsidRPr="00A72CD6">
          <w:rPr>
            <w:rStyle w:val="Hyperlink"/>
          </w:rPr>
          <w:t>http://www.thejadebeagle.com/road-reform.html</w:t>
        </w:r>
      </w:hyperlink>
      <w:r>
        <w:t xml:space="preserve"> and </w:t>
      </w:r>
    </w:p>
    <w:p w:rsidR="003763B4" w:rsidRDefault="000A3D0C">
      <w:pPr>
        <w:pStyle w:val="EndnoteText"/>
      </w:pPr>
      <w:hyperlink r:id="rId6" w:history="1">
        <w:r w:rsidR="003763B4" w:rsidRPr="00A72CD6">
          <w:rPr>
            <w:rStyle w:val="Hyperlink"/>
          </w:rPr>
          <w:t>http://www.thejadebeagle.com/heavy-vehicle-price-regulator.html</w:t>
        </w:r>
      </w:hyperlink>
    </w:p>
    <w:p w:rsidR="00C272E4" w:rsidRDefault="00C272E4">
      <w:pPr>
        <w:pStyle w:val="EndnoteText"/>
      </w:pPr>
    </w:p>
  </w:endnote>
  <w:endnote w:id="4">
    <w:p w:rsidR="001365C1" w:rsidRDefault="003763B4">
      <w:pPr>
        <w:pStyle w:val="EndnoteText"/>
      </w:pPr>
      <w:r>
        <w:rPr>
          <w:rStyle w:val="EndnoteReference"/>
        </w:rPr>
        <w:endnoteRef/>
      </w:r>
      <w:r w:rsidR="00C272E4">
        <w:t xml:space="preserve"> </w:t>
      </w:r>
      <w:r w:rsidR="001365C1">
        <w:t>I</w:t>
      </w:r>
      <w:r w:rsidR="00C272E4">
        <w:t>t is unlikely that industry members</w:t>
      </w:r>
      <w:r w:rsidR="001365C1">
        <w:t xml:space="preserve"> with</w:t>
      </w:r>
      <w:r w:rsidR="00C272E4">
        <w:t xml:space="preserve"> a private interest</w:t>
      </w:r>
      <w:r w:rsidR="001365C1">
        <w:t xml:space="preserve"> in maintaining economic rents will agree to ‘harmonisation’ of the type leading to standardisation since that would increase competition in the industry.</w:t>
      </w:r>
    </w:p>
    <w:p w:rsidR="00A24B68" w:rsidRDefault="001365C1" w:rsidP="00A24B68">
      <w:pPr>
        <w:pStyle w:val="EndnoteText"/>
      </w:pPr>
      <w:r>
        <w:t xml:space="preserve">It is extraordinarily unlikely that such members would accept harmonisation that imposed costs on them (as well as putting their revenue under pressure).  </w:t>
      </w:r>
    </w:p>
    <w:p w:rsidR="00CF5AF7" w:rsidRDefault="00A24B68" w:rsidP="00A24B68">
      <w:pPr>
        <w:pStyle w:val="EndnoteText"/>
      </w:pPr>
      <w:r>
        <w:t xml:space="preserve">The idea that ‘industry’ – much of which emanated from State governments - would progress standardisation of its own volition is extraordinary; it is more likely that those most ‘active’ in the debate are those with most to lose in moves towards standardisation.  </w:t>
      </w:r>
    </w:p>
    <w:p w:rsidR="00A24B68" w:rsidRDefault="00A24B68">
      <w:pPr>
        <w:pStyle w:val="EndnoteText"/>
      </w:pPr>
      <w:r>
        <w:t xml:space="preserve">Taig commented: </w:t>
      </w:r>
    </w:p>
    <w:p w:rsidR="00A24B68" w:rsidRPr="00A24B68" w:rsidRDefault="00A24B68" w:rsidP="00A24B68">
      <w:pPr>
        <w:pStyle w:val="EndnoteText"/>
        <w:ind w:left="720"/>
        <w:rPr>
          <w:i/>
        </w:rPr>
      </w:pPr>
      <w:r w:rsidRPr="00A24B68">
        <w:rPr>
          <w:i/>
        </w:rPr>
        <w:t>‘There are clearly substantial barriers to harmonisation in terms of the high levels of autonomy within individual States and railway organisations, and the very large sunk costs in existing diverse systems.’</w:t>
      </w:r>
    </w:p>
    <w:p w:rsidR="00A24B68" w:rsidRDefault="00A24B68">
      <w:pPr>
        <w:pStyle w:val="EndnoteText"/>
      </w:pPr>
      <w:r>
        <w:t xml:space="preserve">Taig concluded: </w:t>
      </w:r>
    </w:p>
    <w:p w:rsidR="00A24B68" w:rsidRDefault="00A24B68" w:rsidP="00A24B68">
      <w:pPr>
        <w:pStyle w:val="EndnoteText"/>
        <w:ind w:left="720"/>
        <w:rPr>
          <w:i/>
        </w:rPr>
      </w:pPr>
      <w:r w:rsidRPr="00A24B68">
        <w:rPr>
          <w:i/>
        </w:rPr>
        <w:t>‘The Governments should identify a senior level person or group to provide clear leadership towards railway harmonisation in Australia..... governments should not rule out legislation if other forms of influence (e.g. via regulation or governments’ funding role prove too unwieldy or ineffective.’</w:t>
      </w:r>
    </w:p>
    <w:p w:rsidR="00CF5AF7" w:rsidRDefault="000A3D0C" w:rsidP="00CF5AF7">
      <w:pPr>
        <w:pStyle w:val="EndnoteText"/>
        <w:rPr>
          <w:i/>
        </w:rPr>
      </w:pPr>
      <w:hyperlink r:id="rId7" w:history="1">
        <w:r w:rsidR="00CF5AF7" w:rsidRPr="00A72CD6">
          <w:rPr>
            <w:rStyle w:val="Hyperlink"/>
          </w:rPr>
          <w:t>http://transportinfrastructurecouncil.gov.au/publications/files/RISSB_review_report.pdf</w:t>
        </w:r>
      </w:hyperlink>
      <w:r w:rsidR="00CF5AF7">
        <w:rPr>
          <w:i/>
        </w:rPr>
        <w:t>.</w:t>
      </w:r>
    </w:p>
    <w:p w:rsidR="00DF1009" w:rsidRDefault="001365C1">
      <w:pPr>
        <w:pStyle w:val="EndnoteText"/>
      </w:pPr>
      <w:r>
        <w:t xml:space="preserve">This is an institutional reason </w:t>
      </w:r>
      <w:r w:rsidR="00CF5AF7">
        <w:t xml:space="preserve">Australian </w:t>
      </w:r>
      <w:r>
        <w:t>rail safety regulation as a permission based system is unable to advance interoperability</w:t>
      </w:r>
      <w:r w:rsidR="00A24B68">
        <w:t xml:space="preserve">. </w:t>
      </w:r>
      <w:r w:rsidR="00DF1009">
        <w:t xml:space="preserve"> </w:t>
      </w:r>
      <w:r>
        <w:t xml:space="preserve">This also is </w:t>
      </w:r>
      <w:r w:rsidR="00DF1009">
        <w:t>a</w:t>
      </w:r>
      <w:r>
        <w:t xml:space="preserve"> reason behind Infrastructure Australia’s failure to recognise the matter as a national priority.</w:t>
      </w:r>
    </w:p>
    <w:p w:rsidR="003763B4" w:rsidRDefault="001365C1">
      <w:pPr>
        <w:pStyle w:val="EndnoteText"/>
      </w:pPr>
      <w:r>
        <w:t>The Commonwealth, however, would argue that it should be excused from pursuing its responsibility because of budget constraints</w:t>
      </w:r>
      <w:r w:rsidR="00DF1009">
        <w:t>.  T</w:t>
      </w:r>
      <w:r>
        <w:t>hat may be so, but such constraints are no excuse for the Commonwealth’s failure to put the matter on the agenda</w:t>
      </w:r>
      <w:r w:rsidR="00DF1009">
        <w:t xml:space="preserve">, or for its preference to hide behind calls for ‘regulatory’ reform which, due to the permissioning system, are merely part of a smokescreen for </w:t>
      </w:r>
      <w:r w:rsidR="00CF5AF7">
        <w:t xml:space="preserve">substantive </w:t>
      </w:r>
      <w:r w:rsidR="00DF1009">
        <w:t>inactivity.</w:t>
      </w:r>
      <w:r>
        <w:t xml:space="preserve"> </w:t>
      </w:r>
      <w:r w:rsidR="003763B4">
        <w:t xml:space="preserve"> </w:t>
      </w:r>
    </w:p>
    <w:p w:rsidR="008620C2" w:rsidRDefault="008620C2">
      <w:pPr>
        <w:pStyle w:val="EndnoteText"/>
      </w:pPr>
    </w:p>
  </w:endnote>
  <w:endnote w:id="5">
    <w:p w:rsidR="008620C2" w:rsidRDefault="008620C2">
      <w:pPr>
        <w:pStyle w:val="EndnoteTex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DE" w:rsidRDefault="00934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036042"/>
      <w:docPartObj>
        <w:docPartGallery w:val="Page Numbers (Bottom of Page)"/>
        <w:docPartUnique/>
      </w:docPartObj>
    </w:sdtPr>
    <w:sdtEndPr>
      <w:rPr>
        <w:noProof/>
      </w:rPr>
    </w:sdtEndPr>
    <w:sdtContent>
      <w:p w:rsidR="00934ADE" w:rsidRDefault="00934ADE">
        <w:pPr>
          <w:pStyle w:val="Footer"/>
          <w:jc w:val="center"/>
        </w:pPr>
        <w:r>
          <w:fldChar w:fldCharType="begin"/>
        </w:r>
        <w:r>
          <w:instrText xml:space="preserve"> PAGE   \* MERGEFORMAT </w:instrText>
        </w:r>
        <w:r>
          <w:fldChar w:fldCharType="separate"/>
        </w:r>
        <w:r w:rsidR="008620C2">
          <w:rPr>
            <w:noProof/>
          </w:rPr>
          <w:t>2</w:t>
        </w:r>
        <w:r>
          <w:rPr>
            <w:noProof/>
          </w:rPr>
          <w:fldChar w:fldCharType="end"/>
        </w:r>
      </w:p>
    </w:sdtContent>
  </w:sdt>
  <w:p w:rsidR="00934ADE" w:rsidRDefault="00934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DE" w:rsidRDefault="00934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D0C" w:rsidRDefault="000A3D0C" w:rsidP="00746D1D">
      <w:pPr>
        <w:spacing w:after="0" w:line="240" w:lineRule="auto"/>
      </w:pPr>
      <w:r>
        <w:separator/>
      </w:r>
    </w:p>
  </w:footnote>
  <w:footnote w:type="continuationSeparator" w:id="0">
    <w:p w:rsidR="000A3D0C" w:rsidRDefault="000A3D0C" w:rsidP="00746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DE" w:rsidRDefault="00934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DE" w:rsidRDefault="00934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ADE" w:rsidRDefault="00934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B1BE2"/>
    <w:multiLevelType w:val="hybridMultilevel"/>
    <w:tmpl w:val="CE74D21E"/>
    <w:lvl w:ilvl="0" w:tplc="90B4D2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24"/>
    <w:rsid w:val="000A3D0C"/>
    <w:rsid w:val="001365C1"/>
    <w:rsid w:val="00155B6F"/>
    <w:rsid w:val="00237452"/>
    <w:rsid w:val="002B3CE8"/>
    <w:rsid w:val="00303479"/>
    <w:rsid w:val="00372CEF"/>
    <w:rsid w:val="003763B4"/>
    <w:rsid w:val="003D4310"/>
    <w:rsid w:val="0053108B"/>
    <w:rsid w:val="0056062C"/>
    <w:rsid w:val="005E3609"/>
    <w:rsid w:val="00631E9F"/>
    <w:rsid w:val="0064227F"/>
    <w:rsid w:val="00746D1D"/>
    <w:rsid w:val="0084654E"/>
    <w:rsid w:val="00854451"/>
    <w:rsid w:val="008620C2"/>
    <w:rsid w:val="00934ADE"/>
    <w:rsid w:val="009F2731"/>
    <w:rsid w:val="00A02956"/>
    <w:rsid w:val="00A24B68"/>
    <w:rsid w:val="00A614DB"/>
    <w:rsid w:val="00B177EB"/>
    <w:rsid w:val="00B27596"/>
    <w:rsid w:val="00B54498"/>
    <w:rsid w:val="00B60574"/>
    <w:rsid w:val="00C272E4"/>
    <w:rsid w:val="00CC32D0"/>
    <w:rsid w:val="00CC6B19"/>
    <w:rsid w:val="00CE1B1B"/>
    <w:rsid w:val="00CF5AF7"/>
    <w:rsid w:val="00D07603"/>
    <w:rsid w:val="00D8456D"/>
    <w:rsid w:val="00DD0F29"/>
    <w:rsid w:val="00DF1009"/>
    <w:rsid w:val="00F33257"/>
    <w:rsid w:val="00F909EE"/>
    <w:rsid w:val="00FC75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4543"/>
  <w15:chartTrackingRefBased/>
  <w15:docId w15:val="{0C238072-04E6-4023-A6CE-8D22922D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6D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D1D"/>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746D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6D1D"/>
    <w:rPr>
      <w:sz w:val="20"/>
      <w:szCs w:val="20"/>
    </w:rPr>
  </w:style>
  <w:style w:type="character" w:styleId="EndnoteReference">
    <w:name w:val="endnote reference"/>
    <w:basedOn w:val="DefaultParagraphFont"/>
    <w:uiPriority w:val="99"/>
    <w:semiHidden/>
    <w:unhideWhenUsed/>
    <w:rsid w:val="00746D1D"/>
    <w:rPr>
      <w:vertAlign w:val="superscript"/>
    </w:rPr>
  </w:style>
  <w:style w:type="table" w:styleId="TableGrid">
    <w:name w:val="Table Grid"/>
    <w:basedOn w:val="TableNormal"/>
    <w:uiPriority w:val="39"/>
    <w:rsid w:val="009F2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CE8"/>
    <w:pPr>
      <w:ind w:left="720"/>
      <w:contextualSpacing/>
    </w:pPr>
  </w:style>
  <w:style w:type="character" w:styleId="Hyperlink">
    <w:name w:val="Hyperlink"/>
    <w:basedOn w:val="DefaultParagraphFont"/>
    <w:uiPriority w:val="99"/>
    <w:unhideWhenUsed/>
    <w:rsid w:val="0084654E"/>
    <w:rPr>
      <w:color w:val="0563C1" w:themeColor="hyperlink"/>
      <w:u w:val="single"/>
    </w:rPr>
  </w:style>
  <w:style w:type="character" w:styleId="UnresolvedMention">
    <w:name w:val="Unresolved Mention"/>
    <w:basedOn w:val="DefaultParagraphFont"/>
    <w:uiPriority w:val="99"/>
    <w:semiHidden/>
    <w:unhideWhenUsed/>
    <w:rsid w:val="0084654E"/>
    <w:rPr>
      <w:color w:val="808080"/>
      <w:shd w:val="clear" w:color="auto" w:fill="E6E6E6"/>
    </w:rPr>
  </w:style>
  <w:style w:type="paragraph" w:styleId="Header">
    <w:name w:val="header"/>
    <w:basedOn w:val="Normal"/>
    <w:link w:val="HeaderChar"/>
    <w:uiPriority w:val="99"/>
    <w:unhideWhenUsed/>
    <w:rsid w:val="00642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27F"/>
  </w:style>
  <w:style w:type="paragraph" w:styleId="Footer">
    <w:name w:val="footer"/>
    <w:basedOn w:val="Normal"/>
    <w:link w:val="FooterChar"/>
    <w:uiPriority w:val="99"/>
    <w:unhideWhenUsed/>
    <w:rsid w:val="00642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ortinfrastructurecouncil.gov.au/publications/files/National_rail_vision_and_work_program.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ara.net.au/" TargetMode="External"/><Relationship Id="rId7" Type="http://schemas.openxmlformats.org/officeDocument/2006/relationships/hyperlink" Target="http://transportinfrastructurecouncil.gov.au/publications/files/RISSB_review_report.pdf" TargetMode="External"/><Relationship Id="rId2" Type="http://schemas.openxmlformats.org/officeDocument/2006/relationships/hyperlink" Target="http://transportinfrastructurecouncil.gov.au/publications/files/National_rail_vision_and_work_program.pdf" TargetMode="External"/><Relationship Id="rId1" Type="http://schemas.openxmlformats.org/officeDocument/2006/relationships/hyperlink" Target="https://ara.net.au/content/rail-delegation-takes-national-rail-industry-plan-parliament" TargetMode="External"/><Relationship Id="rId6" Type="http://schemas.openxmlformats.org/officeDocument/2006/relationships/hyperlink" Target="http://www.thejadebeagle.com/heavy-vehicle-price-regulator.html" TargetMode="External"/><Relationship Id="rId5" Type="http://schemas.openxmlformats.org/officeDocument/2006/relationships/hyperlink" Target="http://www.thejadebeagle.com/road-reform.html" TargetMode="External"/><Relationship Id="rId4" Type="http://schemas.openxmlformats.org/officeDocument/2006/relationships/hyperlink" Target="http://www.thejadebeagle.com/road-pric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1D8E6-EDF2-4FA1-BF15-F814C7F8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19</cp:revision>
  <dcterms:created xsi:type="dcterms:W3CDTF">2017-09-14T01:50:00Z</dcterms:created>
  <dcterms:modified xsi:type="dcterms:W3CDTF">2017-09-16T05:15:00Z</dcterms:modified>
</cp:coreProperties>
</file>